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底部为不平坦的侵蚀面。 冲溢扇的主要沉积构造为水平层理，但在其边缘部位可出现向陆倾斜的中型前积层，在潮湿的气候条件下可以遭受生物扰动。其中最容易保存下来的部分是与潮坪、沼泽和泻湖沉积物呈指状交错的远端部分。在现代沉积中，单个冲溢扇的沉积单元自下而上有如下序列：冲刷面—含混合生物介壳的基底层—具有平行层理、沙文层理获逆行砂丘纹层的砂质沉积。</w:t>
      </w:r>
    </w:p>
    <w:p w:rsidR="00E9384C" w:rsidRPr="00A3674D" w:rsidRDefault="00E9384C" w:rsidP="00E9384C">
      <w:pPr>
        <w:spacing w:after="0"/>
        <w:ind w:firstLineChars="200" w:firstLine="560"/>
        <w:rPr>
          <w:rFonts w:ascii="宋体" w:eastAsia="宋体" w:hAnsi="宋体" w:hint="eastAsia"/>
          <w:b/>
          <w:sz w:val="28"/>
          <w:szCs w:val="28"/>
        </w:rPr>
      </w:pPr>
      <w:r>
        <w:rPr>
          <w:b/>
          <w:noProof/>
          <w:sz w:val="28"/>
          <w:szCs w:val="28"/>
        </w:rPr>
        <w:drawing>
          <wp:anchor distT="0" distB="0" distL="114300" distR="114300" simplePos="0" relativeHeight="251660288" behindDoc="0" locked="0" layoutInCell="1" allowOverlap="1">
            <wp:simplePos x="0" y="0"/>
            <wp:positionH relativeFrom="column">
              <wp:posOffset>2727325</wp:posOffset>
            </wp:positionH>
            <wp:positionV relativeFrom="paragraph">
              <wp:posOffset>6985</wp:posOffset>
            </wp:positionV>
            <wp:extent cx="2494280" cy="3264535"/>
            <wp:effectExtent l="19050" t="0" r="1270" b="0"/>
            <wp:wrapSquare wrapText="bothSides"/>
            <wp:docPr id="6" name="图片 2" descr="德国亚德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德国亚德湾"/>
                    <pic:cNvPicPr>
                      <a:picLocks noChangeAspect="1" noChangeArrowheads="1"/>
                    </pic:cNvPicPr>
                  </pic:nvPicPr>
                  <pic:blipFill>
                    <a:blip r:embed="rId5" cstate="print"/>
                    <a:srcRect/>
                    <a:stretch>
                      <a:fillRect/>
                    </a:stretch>
                  </pic:blipFill>
                  <pic:spPr bwMode="auto">
                    <a:xfrm>
                      <a:off x="0" y="0"/>
                      <a:ext cx="2494280" cy="3264535"/>
                    </a:xfrm>
                    <a:prstGeom prst="rect">
                      <a:avLst/>
                    </a:prstGeom>
                    <a:noFill/>
                    <a:ln w="9525">
                      <a:noFill/>
                      <a:miter lim="800000"/>
                      <a:headEnd/>
                      <a:tailEnd/>
                    </a:ln>
                  </pic:spPr>
                </pic:pic>
              </a:graphicData>
            </a:graphic>
          </wp:anchor>
        </w:drawing>
      </w:r>
      <w:r w:rsidRPr="00A3674D">
        <w:rPr>
          <w:rFonts w:ascii="宋体" w:eastAsia="宋体" w:hAnsi="宋体" w:hint="eastAsia"/>
          <w:b/>
          <w:sz w:val="28"/>
          <w:szCs w:val="28"/>
        </w:rPr>
        <w:t>六、潮坪相</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潮坪又成为潮滩，主要发育在波浪作用较弱的中—潮差海岸，并同海湾、泻湖、河口湾以及受潮汐影响的三角洲环境伴生。潮坪的主要部分位于潮间带，其中除了被潮道和潮沟切割外，几乎一个没有什么特征的向海缓倾斜的平坦地带。潮坪上潮汐水位升降的幅度（即潮差）一般为2—3m，最大可达10—15m，因此，在平面上可出现相当宽阔的潮间带。如德国北海潮坪的潮差为2.4—4m，其潮间带宽度可达7km。在超涨期间，潮水进入潮道，然后漫过堤岸，淹没临近的潮坪；平潮期之后，潮水又通过潮道外泄，潮坪又重新出露（如图5所示）</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（一）水动力条件                    图5德国北海亚德湾潮坪</w:t>
      </w:r>
    </w:p>
    <w:p w:rsidR="00E9384C" w:rsidRDefault="00E9384C" w:rsidP="00E9384C">
      <w:pPr>
        <w:ind w:firstLineChars="1850" w:firstLine="4440"/>
        <w:rPr>
          <w:rFonts w:ascii="宋体" w:eastAsia="宋体" w:hAnsi="宋体" w:hint="eastAsia"/>
          <w:sz w:val="24"/>
          <w:szCs w:val="24"/>
        </w:rPr>
      </w:pPr>
      <w:r>
        <w:rPr>
          <w:rFonts w:ascii="宋体" w:eastAsia="宋体" w:hAnsi="宋体" w:hint="eastAsia"/>
          <w:sz w:val="24"/>
          <w:szCs w:val="24"/>
        </w:rPr>
        <w:t>（据</w:t>
      </w:r>
      <w:proofErr w:type="spellStart"/>
      <w:r>
        <w:rPr>
          <w:rFonts w:ascii="宋体" w:eastAsia="宋体" w:hAnsi="宋体" w:hint="eastAsia"/>
          <w:sz w:val="24"/>
          <w:szCs w:val="24"/>
        </w:rPr>
        <w:t>Reineck</w:t>
      </w:r>
      <w:proofErr w:type="spellEnd"/>
      <w:r>
        <w:rPr>
          <w:rFonts w:ascii="宋体" w:eastAsia="宋体" w:hAnsi="宋体" w:hint="eastAsia"/>
          <w:sz w:val="24"/>
          <w:szCs w:val="24"/>
        </w:rPr>
        <w:t xml:space="preserve"> and Singh，1973）</w:t>
      </w:r>
    </w:p>
    <w:p w:rsidR="00E9384C" w:rsidRDefault="00E9384C" w:rsidP="00E9384C">
      <w:pPr>
        <w:ind w:leftChars="2035" w:left="5437" w:hangingChars="400" w:hanging="960"/>
        <w:rPr>
          <w:rFonts w:ascii="宋体" w:eastAsia="宋体" w:hAnsi="宋体" w:hint="eastAsia"/>
          <w:sz w:val="24"/>
          <w:szCs w:val="24"/>
        </w:rPr>
      </w:pPr>
      <w:r>
        <w:rPr>
          <w:rFonts w:ascii="宋体" w:eastAsia="宋体" w:hAnsi="宋体" w:hint="eastAsia"/>
          <w:sz w:val="24"/>
          <w:szCs w:val="24"/>
        </w:rPr>
        <w:t>1—陆地；2—朝见坪；3—潮下带；4—5m等深线</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潮坪上的水动力条件总的来说是从潮下带向潮上带逐渐减弱的。潮道和潮沟是潮流通过的地方，水动力最强，而且呈双向流动，因此沉积物最粗，发育人字形交错层理。潮坪表面水流样式比较复杂，水流和波浪的流向与强度变化较大。在未露出睡眠时，水流方向受水位差的控制。当一部分潮坪露出水面时，水流方向受地形、坡度控制。强劲的风也可影响水流方向，因此潮坪上的波浪方向变化很大。</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潮汐的周期性变化对沉积物有深刻影像。在低潮线附近，波浪的活动与潮坪较高部位相比要较强一些，作用的时间也较长。因此，主要为砂质沉积，称为砂坪。而簸选出来的泥主要沉积在高潮线附近的泥坪，其原因除了水动力条件较弱外，还由于在高潮期沉积细粒沉积物的低流速期比低潮期要长得多。砂坪和泥坪之间的砂与泥质的混合沉积带，称为混合坪。</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（二）沉积特征</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1、砂坪沉积</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lastRenderedPageBreak/>
        <w:t>主要为具有小型流水沙纹交错层理的砂岩，有时也有人字形交错层理及再作用面（如图6所示）。</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2、混合坪沉积</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主要为砂岩与泥岩的薄互层。典型的沉积构造为压扁层理、波状层理和透镜状层理以及砂、泥薄互层状的潮汐韵律层理等复合层理。它们是潮流活动期的砂质沉积与憩流期的泥质沉积交替出现的结果。</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 xml:space="preserve">在砂坪及混合坪沉积中有丰富多样的流水与浪成波痕，它们可以相互叠加，也可因出露水面被改造为圆脊尖谷波痕或平脊波痕。 </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3、泥坪沉积</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主要为厚的泥质沉积，常夹有薄的砂质沉积，发育水平纹层获水平波状纹层层理。在干燥气候下，泥坪由于强烈的蒸发形成石膏和石盐晶体，可使原始层理破坏。泥坪上生物较多，扰动现象强烈，藻类生物亦较发育，如藻叠层和藻席等。干裂、雨痕、冰雹痕、鸟眼、泥皮、足迹、爬痕、虫孔等常见，并可被流水破坏，改造为泥屑透镜体。</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4、潮上盐沼或沼泽沉积</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盐沼或沼泽主要分布于潮上带。由于它们长期保持暴露状态，水动力条件最弱，所以沉积物很细。在温湿气候区，潮上带长满植物；而在干旱区，则发育盐沼（萨布哈），具有不规则波纹状层理，干裂发育，还可见到石膏和石盐晶体及动物足迹。</w:t>
      </w:r>
    </w:p>
    <w:p w:rsidR="00E9384C" w:rsidRDefault="00E9384C" w:rsidP="00E9384C">
      <w:pPr>
        <w:ind w:firstLineChars="200" w:firstLine="480"/>
        <w:rPr>
          <w:rFonts w:ascii="宋体" w:eastAsia="宋体" w:hAnsi="宋体" w:hint="eastAsia"/>
          <w:sz w:val="24"/>
          <w:szCs w:val="24"/>
        </w:rPr>
      </w:pPr>
      <w:r>
        <w:rPr>
          <w:rFonts w:ascii="宋体" w:eastAsia="宋体" w:hAnsi="宋体" w:hint="eastAsia"/>
          <w:sz w:val="24"/>
          <w:szCs w:val="24"/>
        </w:rPr>
        <w:t>5、潮道（潮沟）沉积</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潮道（潮沟）是涨潮与退潮的通道，水流较急。大的潮道主要为砂质沉积，并富含介壳和泥砾等滞留沉积。砂体在剖面上呈水道状透镜体，发育双向水流成因的人字形交错层理、羽状交错层理和再作用面（如图6所示）。再作用面是指两个倾斜相同的交错层系间向下游倾斜的侵蚀间断面。它们是次要潮流期的潮流对主要潮流期形成的沙纹获砂丘表面冲刷改造而成的一种波状起伏面，反映双向流水的特征。</w:t>
      </w:r>
    </w:p>
    <w:p w:rsidR="00E9384C" w:rsidRDefault="00E9384C" w:rsidP="00E9384C">
      <w:pPr>
        <w:spacing w:after="0"/>
        <w:ind w:firstLineChars="200" w:firstLine="440"/>
        <w:rPr>
          <w:rFonts w:ascii="宋体" w:eastAsia="宋体" w:hAnsi="宋体" w:hint="eastAsia"/>
          <w:sz w:val="24"/>
          <w:szCs w:val="24"/>
        </w:rPr>
      </w:pPr>
      <w:r>
        <w:rPr>
          <w:noProof/>
        </w:rPr>
        <w:drawing>
          <wp:anchor distT="0" distB="0" distL="114300" distR="114300" simplePos="0" relativeHeight="251661312" behindDoc="0" locked="0" layoutInCell="1" allowOverlap="1">
            <wp:simplePos x="0" y="0"/>
            <wp:positionH relativeFrom="column">
              <wp:posOffset>-42545</wp:posOffset>
            </wp:positionH>
            <wp:positionV relativeFrom="paragraph">
              <wp:posOffset>130810</wp:posOffset>
            </wp:positionV>
            <wp:extent cx="1915795" cy="2402840"/>
            <wp:effectExtent l="19050" t="0" r="8255" b="0"/>
            <wp:wrapSquare wrapText="bothSides"/>
            <wp:docPr id="5" name="图片 3" descr="IMG_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3291"/>
                    <pic:cNvPicPr>
                      <a:picLocks noChangeAspect="1" noChangeArrowheads="1"/>
                    </pic:cNvPicPr>
                  </pic:nvPicPr>
                  <pic:blipFill>
                    <a:blip r:embed="rId6" cstate="print">
                      <a:lum bright="20000" contrast="20000"/>
                    </a:blip>
                    <a:srcRect t="5376"/>
                    <a:stretch>
                      <a:fillRect/>
                    </a:stretch>
                  </pic:blipFill>
                  <pic:spPr bwMode="auto">
                    <a:xfrm>
                      <a:off x="0" y="0"/>
                      <a:ext cx="1915795" cy="2402840"/>
                    </a:xfrm>
                    <a:prstGeom prst="rect">
                      <a:avLst/>
                    </a:prstGeom>
                    <a:noFill/>
                    <a:ln w="9525">
                      <a:noFill/>
                      <a:miter lim="800000"/>
                      <a:headEnd/>
                      <a:tailEnd/>
                    </a:ln>
                  </pic:spPr>
                </pic:pic>
              </a:graphicData>
            </a:graphic>
          </wp:anchor>
        </w:drawing>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（三）潮坪沉积带的识别标志</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潮坪沉积在古代沉积层中十分常见，其突出的沉积特征可以归纳为以下几点：</w:t>
      </w:r>
    </w:p>
    <w:p w:rsidR="00E9384C" w:rsidRDefault="00E9384C" w:rsidP="00E9384C">
      <w:pPr>
        <w:numPr>
          <w:ilvl w:val="0"/>
          <w:numId w:val="1"/>
        </w:numPr>
        <w:spacing w:after="0"/>
        <w:rPr>
          <w:rFonts w:ascii="宋体" w:eastAsia="宋体" w:hAnsi="宋体" w:hint="eastAsia"/>
          <w:sz w:val="24"/>
          <w:szCs w:val="24"/>
        </w:rPr>
      </w:pPr>
      <w:r>
        <w:rPr>
          <w:rFonts w:ascii="宋体" w:eastAsia="宋体" w:hAnsi="宋体" w:hint="eastAsia"/>
          <w:sz w:val="24"/>
          <w:szCs w:val="24"/>
        </w:rPr>
        <w:t>具有流水方向截然相反的人字形交错层理和再作用面。</w:t>
      </w:r>
    </w:p>
    <w:p w:rsidR="00E9384C" w:rsidRDefault="00E9384C" w:rsidP="00E9384C">
      <w:pPr>
        <w:numPr>
          <w:ilvl w:val="0"/>
          <w:numId w:val="1"/>
        </w:numPr>
        <w:spacing w:after="0"/>
        <w:rPr>
          <w:rFonts w:ascii="宋体" w:eastAsia="宋体" w:hAnsi="宋体" w:hint="eastAsia"/>
          <w:sz w:val="24"/>
          <w:szCs w:val="24"/>
        </w:rPr>
      </w:pPr>
      <w:r>
        <w:rPr>
          <w:rFonts w:ascii="宋体" w:eastAsia="宋体" w:hAnsi="宋体" w:hint="eastAsia"/>
          <w:sz w:val="24"/>
          <w:szCs w:val="24"/>
        </w:rPr>
        <w:t>压扁层理、波状层理及透镜状层理发育，反映流水强弱的交替出现。</w:t>
      </w:r>
    </w:p>
    <w:p w:rsidR="00E9384C" w:rsidRDefault="00E9384C" w:rsidP="00E9384C">
      <w:pPr>
        <w:numPr>
          <w:ilvl w:val="0"/>
          <w:numId w:val="1"/>
        </w:numPr>
        <w:spacing w:after="0"/>
        <w:rPr>
          <w:rFonts w:ascii="宋体" w:eastAsia="宋体" w:hAnsi="宋体" w:hint="eastAsia"/>
          <w:sz w:val="24"/>
          <w:szCs w:val="24"/>
        </w:rPr>
      </w:pPr>
      <w:r>
        <w:rPr>
          <w:rFonts w:ascii="宋体" w:eastAsia="宋体" w:hAnsi="宋体" w:hint="eastAsia"/>
          <w:sz w:val="24"/>
          <w:szCs w:val="24"/>
        </w:rPr>
        <w:t>具有干裂、雨痕、植物根迹、动物足迹、蒸发岩、泥炭和薄层等反映间歇性陆上暴露的标志。</w:t>
      </w:r>
    </w:p>
    <w:p w:rsidR="00E9384C" w:rsidRDefault="00E9384C" w:rsidP="00E9384C">
      <w:pPr>
        <w:numPr>
          <w:ilvl w:val="0"/>
          <w:numId w:val="1"/>
        </w:numPr>
        <w:spacing w:after="0"/>
        <w:rPr>
          <w:rFonts w:ascii="宋体" w:eastAsia="宋体" w:hAnsi="宋体" w:hint="eastAsia"/>
          <w:sz w:val="24"/>
          <w:szCs w:val="24"/>
        </w:rPr>
      </w:pPr>
      <w:r>
        <w:rPr>
          <w:rFonts w:ascii="宋体" w:eastAsia="宋体" w:hAnsi="宋体" w:hint="eastAsia"/>
          <w:sz w:val="24"/>
          <w:szCs w:val="24"/>
        </w:rPr>
        <w:t>具有水道冲刷、泥质碎片和簸选的泥质透镜体等暴露与积交替出现的标志。</w:t>
      </w:r>
    </w:p>
    <w:p w:rsidR="00E9384C" w:rsidRPr="005C7D52" w:rsidRDefault="00E9384C" w:rsidP="00E9384C">
      <w:pPr>
        <w:spacing w:after="0"/>
        <w:jc w:val="both"/>
        <w:rPr>
          <w:rFonts w:ascii="宋体" w:eastAsia="宋体" w:hAnsi="宋体" w:hint="eastAsia"/>
          <w:sz w:val="21"/>
          <w:szCs w:val="21"/>
        </w:rPr>
      </w:pPr>
      <w:r w:rsidRPr="005C7D52">
        <w:rPr>
          <w:rFonts w:ascii="宋体" w:eastAsia="宋体" w:hAnsi="宋体" w:hint="eastAsia"/>
          <w:sz w:val="21"/>
          <w:szCs w:val="21"/>
        </w:rPr>
        <w:lastRenderedPageBreak/>
        <w:t>图6  与潮汐流相关的再作用面</w:t>
      </w:r>
    </w:p>
    <w:p w:rsidR="00E9384C" w:rsidRDefault="00E9384C" w:rsidP="00E9384C">
      <w:pPr>
        <w:spacing w:after="0"/>
        <w:ind w:firstLineChars="250" w:firstLine="525"/>
        <w:jc w:val="both"/>
        <w:rPr>
          <w:rFonts w:ascii="宋体" w:eastAsia="宋体" w:hAnsi="宋体" w:hint="eastAsia"/>
          <w:sz w:val="21"/>
          <w:szCs w:val="21"/>
        </w:rPr>
      </w:pPr>
      <w:r w:rsidRPr="005C7D52">
        <w:rPr>
          <w:rFonts w:ascii="宋体" w:eastAsia="宋体" w:hAnsi="宋体" w:hint="eastAsia"/>
          <w:sz w:val="21"/>
          <w:szCs w:val="21"/>
        </w:rPr>
        <w:t>（R）的成因图解</w:t>
      </w:r>
    </w:p>
    <w:p w:rsidR="00E9384C" w:rsidRPr="005C7D52" w:rsidRDefault="00E9384C" w:rsidP="00E9384C">
      <w:pPr>
        <w:spacing w:after="0"/>
        <w:ind w:firstLineChars="200" w:firstLine="420"/>
        <w:jc w:val="both"/>
        <w:rPr>
          <w:rFonts w:ascii="宋体" w:eastAsia="宋体" w:hAnsi="宋体" w:hint="eastAsia"/>
          <w:sz w:val="21"/>
          <w:szCs w:val="21"/>
        </w:rPr>
      </w:pPr>
      <w:r w:rsidRPr="005C7D52">
        <w:rPr>
          <w:rFonts w:ascii="宋体" w:eastAsia="宋体" w:hAnsi="宋体" w:hint="eastAsia"/>
          <w:sz w:val="21"/>
          <w:szCs w:val="21"/>
        </w:rPr>
        <w:t>（据Klein，1990）</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sz w:val="24"/>
          <w:szCs w:val="24"/>
        </w:rPr>
        <w:t>G</w:t>
      </w:r>
      <w:r>
        <w:rPr>
          <w:rFonts w:ascii="宋体" w:eastAsia="宋体" w:hAnsi="宋体" w:hint="eastAsia"/>
          <w:sz w:val="24"/>
          <w:szCs w:val="24"/>
        </w:rPr>
        <w:t>insburg(1975)认为，上述沉积构造可用于潮坪沉积的识别。如果在</w:t>
      </w:r>
    </w:p>
    <w:p w:rsidR="00E9384C" w:rsidRDefault="00E9384C" w:rsidP="00E9384C">
      <w:pPr>
        <w:spacing w:after="0"/>
        <w:rPr>
          <w:rFonts w:ascii="宋体" w:eastAsia="宋体" w:hAnsi="宋体" w:hint="eastAsia"/>
          <w:sz w:val="24"/>
          <w:szCs w:val="24"/>
        </w:rPr>
      </w:pPr>
      <w:r>
        <w:rPr>
          <w:rFonts w:ascii="宋体" w:eastAsia="宋体" w:hAnsi="宋体" w:hint="eastAsia"/>
          <w:sz w:val="24"/>
          <w:szCs w:val="24"/>
        </w:rPr>
        <w:t>沉积剖面中具有上述的全部构造组合或前三种标志，那么就可以把它们解释为潮坪；如果只有组合中的两种，就难于做出肯定的结论。</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潮坪沉积是一个向上变细的沉积序列（如图7所示）。下部为潮下带的潮道沉积，通常为块状砂体，具有滞留沉积和人字形交错层理。其上为砂坪沉积，具有人字形交错层理和再作用面等双向流水构造以及反映水位变化和间歇性暴露的标志。再上位粉砂岩和泥岩组成的混合坪沉积，潮汐层理发育。泥坪沉积具有发育的干裂，有时顶部还可以出现潮上湖沼或盐沼沉积。按</w:t>
      </w:r>
      <w:proofErr w:type="spellStart"/>
      <w:r>
        <w:rPr>
          <w:rFonts w:ascii="宋体" w:eastAsia="宋体" w:hAnsi="宋体" w:hint="eastAsia"/>
          <w:sz w:val="24"/>
          <w:szCs w:val="24"/>
        </w:rPr>
        <w:t>klein</w:t>
      </w:r>
      <w:proofErr w:type="spellEnd"/>
      <w:r>
        <w:rPr>
          <w:rFonts w:ascii="宋体" w:eastAsia="宋体" w:hAnsi="宋体" w:hint="eastAsia"/>
          <w:sz w:val="24"/>
          <w:szCs w:val="24"/>
        </w:rPr>
        <w:t xml:space="preserve">的意见，低潮坪（砂坪）至高潮坪（泥坪）的厚度相当于潮坪形成时的古潮差。  </w:t>
      </w:r>
    </w:p>
    <w:p w:rsidR="00E9384C" w:rsidRDefault="00E9384C" w:rsidP="00E9384C">
      <w:pPr>
        <w:spacing w:after="0"/>
        <w:jc w:val="center"/>
        <w:rPr>
          <w:rFonts w:ascii="宋体" w:eastAsia="宋体" w:hAnsi="宋体" w:hint="eastAsia"/>
          <w:sz w:val="24"/>
          <w:szCs w:val="24"/>
        </w:rPr>
      </w:pPr>
      <w:r>
        <w:rPr>
          <w:rFonts w:ascii="宋体" w:eastAsia="宋体" w:hAnsi="宋体"/>
          <w:noProof/>
          <w:sz w:val="24"/>
          <w:szCs w:val="24"/>
        </w:rPr>
        <w:drawing>
          <wp:inline distT="0" distB="0" distL="0" distR="0">
            <wp:extent cx="4610100" cy="3019425"/>
            <wp:effectExtent l="19050" t="0" r="0" b="0"/>
            <wp:docPr id="1" name="图片 1" descr="IMG_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3307"/>
                    <pic:cNvPicPr>
                      <a:picLocks noChangeAspect="1" noChangeArrowheads="1"/>
                    </pic:cNvPicPr>
                  </pic:nvPicPr>
                  <pic:blipFill>
                    <a:blip r:embed="rId7" cstate="print">
                      <a:lum bright="20000" contrast="80000"/>
                    </a:blip>
                    <a:srcRect b="12599"/>
                    <a:stretch>
                      <a:fillRect/>
                    </a:stretch>
                  </pic:blipFill>
                  <pic:spPr bwMode="auto">
                    <a:xfrm>
                      <a:off x="0" y="0"/>
                      <a:ext cx="4610100" cy="3019425"/>
                    </a:xfrm>
                    <a:prstGeom prst="rect">
                      <a:avLst/>
                    </a:prstGeom>
                    <a:noFill/>
                    <a:ln w="9525">
                      <a:noFill/>
                      <a:miter lim="800000"/>
                      <a:headEnd/>
                      <a:tailEnd/>
                    </a:ln>
                  </pic:spPr>
                </pic:pic>
              </a:graphicData>
            </a:graphic>
          </wp:inline>
        </w:drawing>
      </w:r>
    </w:p>
    <w:p w:rsidR="00E9384C" w:rsidRDefault="00E9384C" w:rsidP="00E9384C">
      <w:pPr>
        <w:spacing w:after="0"/>
        <w:jc w:val="center"/>
        <w:rPr>
          <w:rFonts w:ascii="宋体" w:eastAsia="宋体" w:hAnsi="宋体" w:hint="eastAsia"/>
          <w:sz w:val="24"/>
          <w:szCs w:val="24"/>
        </w:rPr>
      </w:pPr>
      <w:r>
        <w:rPr>
          <w:rFonts w:ascii="宋体" w:eastAsia="宋体" w:hAnsi="宋体" w:hint="eastAsia"/>
          <w:sz w:val="24"/>
          <w:szCs w:val="24"/>
        </w:rPr>
        <w:t>图7  潮坪沉积的理想层序（据</w:t>
      </w:r>
      <w:proofErr w:type="spellStart"/>
      <w:r>
        <w:rPr>
          <w:rFonts w:ascii="宋体" w:eastAsia="宋体" w:hAnsi="宋体" w:hint="eastAsia"/>
          <w:sz w:val="24"/>
          <w:szCs w:val="24"/>
        </w:rPr>
        <w:t>A.J.Tankerd</w:t>
      </w:r>
      <w:proofErr w:type="spellEnd"/>
      <w:r>
        <w:rPr>
          <w:rFonts w:ascii="宋体" w:eastAsia="宋体" w:hAnsi="宋体" w:hint="eastAsia"/>
          <w:sz w:val="24"/>
          <w:szCs w:val="24"/>
        </w:rPr>
        <w:t>，1977）</w:t>
      </w:r>
    </w:p>
    <w:p w:rsidR="00E9384C" w:rsidRPr="00BD6F16" w:rsidRDefault="00E9384C" w:rsidP="00E9384C">
      <w:pPr>
        <w:spacing w:after="0"/>
        <w:ind w:firstLineChars="200" w:firstLine="562"/>
        <w:rPr>
          <w:rFonts w:ascii="宋体" w:eastAsia="宋体" w:hAnsi="宋体" w:hint="eastAsia"/>
          <w:b/>
          <w:sz w:val="28"/>
          <w:szCs w:val="28"/>
        </w:rPr>
      </w:pPr>
      <w:r w:rsidRPr="00BD6F16">
        <w:rPr>
          <w:rFonts w:ascii="宋体" w:eastAsia="宋体" w:hAnsi="宋体" w:hint="eastAsia"/>
          <w:b/>
          <w:sz w:val="28"/>
          <w:szCs w:val="28"/>
        </w:rPr>
        <w:t>七、障壁海岸相沉积组合及其与能源矿产的关系</w:t>
      </w:r>
    </w:p>
    <w:p w:rsidR="00E9384C" w:rsidRDefault="00E9384C" w:rsidP="00E9384C">
      <w:pPr>
        <w:spacing w:after="0"/>
        <w:ind w:firstLineChars="150" w:firstLine="360"/>
        <w:rPr>
          <w:rFonts w:ascii="宋体" w:eastAsia="宋体" w:hAnsi="宋体" w:hint="eastAsia"/>
          <w:sz w:val="24"/>
          <w:szCs w:val="24"/>
        </w:rPr>
      </w:pPr>
      <w:r>
        <w:rPr>
          <w:rFonts w:ascii="宋体" w:eastAsia="宋体" w:hAnsi="宋体" w:hint="eastAsia"/>
          <w:sz w:val="24"/>
          <w:szCs w:val="24"/>
        </w:rPr>
        <w:t>（一）沉积相组合</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障壁海岸相发育于海陆过度地带，平面上向海方向以障壁岛与滨岸相相衔接，向陆方向以泻湖或潮坪与大陆沉积相组的沼泽相与冲积相相毗邻。因此，横向上，在海陆过度地带构成了障壁岛—泻湖—潮坪组成的障壁海岸沉积体系或沉积相组合。</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在海退的情况下，上述沉积体系在垂向剖面上自上而下可出现下列进积型层序或相组合：冲击相；沼泽相（泥炭和煤），在干旱条件下为“萨布哈”或盐沼沉积；泻湖或潮坪相；障壁岛相；滨岸相；浅海陆棚相。</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当海平面上升，在海岸线向大陆推进的海侵相序中，该沉积体系在垂向剖面上的相序递变与上述情况相反，障壁岛相则上覆于泻湖、潮坪与沼泽之上。在海岸线相对稳定、沉积速度和沉降速度相补偿的情况下，泻湖、障壁岛与滨岸相在垂向上呈指状交错。</w:t>
      </w:r>
    </w:p>
    <w:p w:rsidR="00E9384C" w:rsidRDefault="00E9384C" w:rsidP="00E9384C">
      <w:pPr>
        <w:spacing w:after="0"/>
        <w:ind w:firstLineChars="150" w:firstLine="360"/>
        <w:rPr>
          <w:rFonts w:ascii="宋体" w:eastAsia="宋体" w:hAnsi="宋体" w:hint="eastAsia"/>
          <w:sz w:val="24"/>
          <w:szCs w:val="24"/>
        </w:rPr>
      </w:pPr>
      <w:r>
        <w:rPr>
          <w:rFonts w:ascii="宋体" w:eastAsia="宋体" w:hAnsi="宋体" w:hint="eastAsia"/>
          <w:sz w:val="24"/>
          <w:szCs w:val="24"/>
        </w:rPr>
        <w:t>（二）与油气的关系</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泻湖、潮坪、障壁岛的环境和沉积特征决定了它们具有良好的生、储、盖条件。</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lastRenderedPageBreak/>
        <w:t>在泻湖环境中，生物种类单调但数量多，且水体安静，有利于有机质的堆积；泻湖底部常形成富H2S的还原环境，有利于有机质的保存和向石油的转化，故泻湖相乃是良好的生油相带。</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障壁岛及潮坪相斗发育有不同类型的砂体，有利于油气的储集。尤其障壁岛砂体，砂质碎屑的粒度适中、分选好、岩性均一，横向上与泻湖、浅海等有利生油的相带相邻，对油气的储集均有利。</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泻湖、潮坪广泛发育泥质沉积，也可以形成良好的盖层。</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由于海侵与海退的交替变化，使泻湖、潮坪、障壁岛相在垂向上作有规律的递变，有利于形成完整的生、储、盖组合。</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（三）与煤的关系</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1、</w:t>
      </w:r>
      <w:r w:rsidRPr="00EE0324">
        <w:rPr>
          <w:rFonts w:ascii="宋体" w:eastAsia="宋体" w:hAnsi="宋体" w:hint="eastAsia"/>
          <w:sz w:val="24"/>
          <w:szCs w:val="24"/>
        </w:rPr>
        <w:t xml:space="preserve">泻湖淤浅后沼泽化 </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2、</w:t>
      </w:r>
      <w:r w:rsidRPr="00EE0324">
        <w:rPr>
          <w:rFonts w:ascii="宋体" w:eastAsia="宋体" w:hAnsi="宋体" w:hint="eastAsia"/>
          <w:sz w:val="24"/>
          <w:szCs w:val="24"/>
        </w:rPr>
        <w:t>障壁岛后成煤模式</w:t>
      </w:r>
      <w:r>
        <w:rPr>
          <w:rFonts w:ascii="宋体" w:eastAsia="宋体" w:hAnsi="宋体" w:hint="eastAsia"/>
          <w:sz w:val="24"/>
          <w:szCs w:val="24"/>
        </w:rPr>
        <w:t xml:space="preserve"> </w:t>
      </w:r>
      <w:r w:rsidRPr="00EE0324">
        <w:rPr>
          <w:rFonts w:ascii="宋体" w:eastAsia="宋体" w:hAnsi="宋体" w:hint="eastAsia"/>
          <w:sz w:val="24"/>
          <w:szCs w:val="24"/>
        </w:rPr>
        <w:t xml:space="preserve"> </w:t>
      </w:r>
    </w:p>
    <w:p w:rsidR="00E9384C" w:rsidRDefault="00E9384C" w:rsidP="00E9384C">
      <w:pPr>
        <w:spacing w:after="0"/>
        <w:ind w:firstLineChars="200" w:firstLine="480"/>
        <w:rPr>
          <w:rFonts w:ascii="宋体" w:eastAsia="宋体" w:hAnsi="宋体" w:hint="eastAsia"/>
          <w:sz w:val="24"/>
          <w:szCs w:val="24"/>
        </w:rPr>
      </w:pPr>
      <w:r>
        <w:rPr>
          <w:rFonts w:ascii="宋体" w:eastAsia="宋体" w:hAnsi="宋体" w:hint="eastAsia"/>
          <w:sz w:val="24"/>
          <w:szCs w:val="24"/>
        </w:rPr>
        <w:t>3、</w:t>
      </w:r>
      <w:r w:rsidRPr="00EE0324">
        <w:rPr>
          <w:rFonts w:ascii="宋体" w:eastAsia="宋体" w:hAnsi="宋体" w:hint="eastAsia"/>
          <w:sz w:val="24"/>
          <w:szCs w:val="24"/>
        </w:rPr>
        <w:t>障壁岛间成煤模式</w:t>
      </w:r>
    </w:p>
    <w:p w:rsidR="00E9384C" w:rsidRDefault="00E9384C" w:rsidP="00E9384C">
      <w:pPr>
        <w:spacing w:after="0"/>
        <w:jc w:val="center"/>
        <w:rPr>
          <w:rFonts w:ascii="宋体" w:eastAsia="宋体" w:hAnsi="宋体" w:hint="eastAsia"/>
          <w:sz w:val="24"/>
          <w:szCs w:val="24"/>
        </w:rPr>
      </w:pPr>
      <w:r>
        <w:rPr>
          <w:rFonts w:ascii="宋体" w:eastAsia="宋体" w:hAnsi="宋体"/>
          <w:noProof/>
          <w:sz w:val="24"/>
          <w:szCs w:val="24"/>
        </w:rPr>
        <w:drawing>
          <wp:inline distT="0" distB="0" distL="0" distR="0">
            <wp:extent cx="3028950" cy="2457450"/>
            <wp:effectExtent l="19050" t="0" r="0" b="0"/>
            <wp:docPr id="2" name="图片 1" descr="E:\能源地质学\百科全书图处理结果\P2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E:\能源地质学\百科全书图处理结果\P232.JPG"/>
                    <pic:cNvPicPr>
                      <a:picLocks noChangeAspect="1" noChangeArrowheads="1"/>
                    </pic:cNvPicPr>
                  </pic:nvPicPr>
                  <pic:blipFill>
                    <a:blip r:embed="rId8" cstate="print">
                      <a:lum contrast="18000"/>
                    </a:blip>
                    <a:srcRect/>
                    <a:stretch>
                      <a:fillRect/>
                    </a:stretch>
                  </pic:blipFill>
                  <pic:spPr bwMode="auto">
                    <a:xfrm>
                      <a:off x="0" y="0"/>
                      <a:ext cx="3028950" cy="2457450"/>
                    </a:xfrm>
                    <a:prstGeom prst="rect">
                      <a:avLst/>
                    </a:prstGeom>
                    <a:noFill/>
                    <a:ln w="9525">
                      <a:noFill/>
                      <a:miter lim="800000"/>
                      <a:headEnd/>
                      <a:tailEnd/>
                    </a:ln>
                  </pic:spPr>
                </pic:pic>
              </a:graphicData>
            </a:graphic>
          </wp:inline>
        </w:drawing>
      </w:r>
    </w:p>
    <w:p w:rsidR="00E9384C" w:rsidRDefault="00E9384C" w:rsidP="00E9384C">
      <w:pPr>
        <w:spacing w:after="0"/>
        <w:jc w:val="center"/>
        <w:rPr>
          <w:rFonts w:ascii="宋体" w:eastAsia="宋体" w:hAnsi="宋体" w:hint="eastAsia"/>
          <w:sz w:val="24"/>
          <w:szCs w:val="24"/>
        </w:rPr>
      </w:pPr>
      <w:r w:rsidRPr="00EE0324">
        <w:rPr>
          <w:rFonts w:ascii="宋体" w:eastAsia="宋体" w:hAnsi="宋体" w:hint="eastAsia"/>
          <w:sz w:val="24"/>
          <w:szCs w:val="24"/>
        </w:rPr>
        <w:t>适用于滨海地区聚煤模式图（Horne等，1978）</w:t>
      </w:r>
    </w:p>
    <w:p w:rsidR="00E9384C" w:rsidRDefault="00E9384C" w:rsidP="00E9384C">
      <w:pPr>
        <w:spacing w:after="0"/>
        <w:jc w:val="center"/>
        <w:rPr>
          <w:rFonts w:ascii="宋体" w:eastAsia="宋体" w:hAnsi="宋体" w:hint="eastAsia"/>
          <w:sz w:val="24"/>
          <w:szCs w:val="24"/>
        </w:rPr>
      </w:pPr>
      <w:r>
        <w:rPr>
          <w:rFonts w:ascii="宋体" w:eastAsia="宋体" w:hAnsi="宋体"/>
          <w:noProof/>
          <w:sz w:val="24"/>
          <w:szCs w:val="24"/>
        </w:rPr>
        <w:drawing>
          <wp:inline distT="0" distB="0" distL="0" distR="0">
            <wp:extent cx="1933575" cy="2419350"/>
            <wp:effectExtent l="19050" t="0" r="9525" b="0"/>
            <wp:docPr id="3" name="图片 2" descr="C:\My Documents\energyF+T\f5-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My Documents\energyF+T\f5-24.bmp"/>
                    <pic:cNvPicPr>
                      <a:picLocks noChangeAspect="1" noChangeArrowheads="1"/>
                    </pic:cNvPicPr>
                  </pic:nvPicPr>
                  <pic:blipFill>
                    <a:blip r:embed="rId9" cstate="print"/>
                    <a:srcRect l="33334" t="2882" r="33409" b="25294"/>
                    <a:stretch>
                      <a:fillRect/>
                    </a:stretch>
                  </pic:blipFill>
                  <pic:spPr bwMode="auto">
                    <a:xfrm>
                      <a:off x="0" y="0"/>
                      <a:ext cx="1933575" cy="2419350"/>
                    </a:xfrm>
                    <a:prstGeom prst="rect">
                      <a:avLst/>
                    </a:prstGeom>
                    <a:noFill/>
                    <a:ln w="9525">
                      <a:noFill/>
                      <a:miter lim="800000"/>
                      <a:headEnd/>
                      <a:tailEnd/>
                    </a:ln>
                  </pic:spPr>
                </pic:pic>
              </a:graphicData>
            </a:graphic>
          </wp:inline>
        </w:drawing>
      </w:r>
      <w:r>
        <w:rPr>
          <w:rFonts w:ascii="宋体" w:eastAsia="宋体" w:hAnsi="宋体"/>
          <w:noProof/>
          <w:sz w:val="24"/>
          <w:szCs w:val="24"/>
        </w:rPr>
        <w:drawing>
          <wp:inline distT="0" distB="0" distL="0" distR="0">
            <wp:extent cx="1390650" cy="2352675"/>
            <wp:effectExtent l="19050" t="0" r="0" b="0"/>
            <wp:docPr id="4" name="图片 3" descr="E:\能源地质学\百科全书图处理结果\P232(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E:\能源地质学\百科全书图处理结果\P232(a).jpg"/>
                    <pic:cNvPicPr>
                      <a:picLocks noChangeAspect="1" noChangeArrowheads="1"/>
                    </pic:cNvPicPr>
                  </pic:nvPicPr>
                  <pic:blipFill>
                    <a:blip r:embed="rId10" cstate="print">
                      <a:lum contrast="12000"/>
                    </a:blip>
                    <a:srcRect/>
                    <a:stretch>
                      <a:fillRect/>
                    </a:stretch>
                  </pic:blipFill>
                  <pic:spPr bwMode="auto">
                    <a:xfrm>
                      <a:off x="0" y="0"/>
                      <a:ext cx="1390650" cy="2352675"/>
                    </a:xfrm>
                    <a:prstGeom prst="rect">
                      <a:avLst/>
                    </a:prstGeom>
                    <a:noFill/>
                    <a:ln w="9525">
                      <a:noFill/>
                      <a:miter lim="800000"/>
                      <a:headEnd/>
                      <a:tailEnd/>
                    </a:ln>
                  </pic:spPr>
                </pic:pic>
              </a:graphicData>
            </a:graphic>
          </wp:inline>
        </w:drawing>
      </w:r>
    </w:p>
    <w:p w:rsidR="00E9384C" w:rsidRPr="006357DD" w:rsidRDefault="00E9384C" w:rsidP="00E9384C">
      <w:pPr>
        <w:spacing w:after="0"/>
        <w:jc w:val="center"/>
        <w:rPr>
          <w:rFonts w:ascii="宋体" w:eastAsia="宋体" w:hAnsi="宋体" w:hint="eastAsia"/>
          <w:sz w:val="24"/>
          <w:szCs w:val="24"/>
        </w:rPr>
      </w:pPr>
      <w:r w:rsidRPr="004331AF">
        <w:rPr>
          <w:rFonts w:ascii="宋体" w:eastAsia="宋体" w:hAnsi="宋体" w:hint="eastAsia"/>
          <w:sz w:val="24"/>
          <w:szCs w:val="24"/>
        </w:rPr>
        <w:t>适用于滨海地区聚煤模式图（Horne等，1978）</w:t>
      </w:r>
    </w:p>
    <w:p w:rsidR="004358AB" w:rsidRDefault="004358AB" w:rsidP="00D31D50">
      <w:pPr>
        <w:spacing w:line="220" w:lineRule="atLeast"/>
        <w:rPr>
          <w:rFonts w:hint="eastAsia"/>
        </w:rPr>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5861E9"/>
    <w:multiLevelType w:val="hybridMultilevel"/>
    <w:tmpl w:val="61E05774"/>
    <w:lvl w:ilvl="0" w:tplc="15B6526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4F6835"/>
    <w:rsid w:val="008B7726"/>
    <w:rsid w:val="00D31D50"/>
    <w:rsid w:val="00E938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84C"/>
    <w:pPr>
      <w:adjustRightInd w:val="0"/>
      <w:snapToGrid w:val="0"/>
      <w:spacing w:line="240" w:lineRule="auto"/>
    </w:pPr>
    <w:rPr>
      <w:rFonts w:ascii="Tahoma" w:hAnsi="Tahom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9384C"/>
    <w:pPr>
      <w:spacing w:after="0"/>
    </w:pPr>
    <w:rPr>
      <w:sz w:val="18"/>
      <w:szCs w:val="18"/>
    </w:rPr>
  </w:style>
  <w:style w:type="character" w:customStyle="1" w:styleId="Char">
    <w:name w:val="批注框文本 Char"/>
    <w:basedOn w:val="a0"/>
    <w:link w:val="a3"/>
    <w:uiPriority w:val="99"/>
    <w:semiHidden/>
    <w:rsid w:val="00E9384C"/>
    <w:rPr>
      <w:rFonts w:ascii="Tahoma" w:hAnsi="Tahoma"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423</Words>
  <Characters>2416</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MyPC</cp:lastModifiedBy>
  <cp:revision>2</cp:revision>
  <dcterms:created xsi:type="dcterms:W3CDTF">2008-09-11T17:20:00Z</dcterms:created>
  <dcterms:modified xsi:type="dcterms:W3CDTF">2010-08-16T13:04:00Z</dcterms:modified>
</cp:coreProperties>
</file>