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7EB7" w:rsidRPr="00C37EB7" w:rsidRDefault="00C37EB7" w:rsidP="00C37EB7">
      <w:pPr>
        <w:widowControl/>
        <w:shd w:val="clear" w:color="auto" w:fill="FFFFFF"/>
        <w:spacing w:after="210" w:line="630" w:lineRule="atLeast"/>
        <w:jc w:val="center"/>
        <w:outlineLvl w:val="2"/>
        <w:rPr>
          <w:rFonts w:ascii="微软雅黑" w:eastAsia="微软雅黑" w:hAnsi="微软雅黑" w:cs="宋体"/>
          <w:b/>
          <w:bCs/>
          <w:color w:val="000000"/>
          <w:kern w:val="0"/>
          <w:sz w:val="36"/>
          <w:szCs w:val="36"/>
        </w:rPr>
      </w:pPr>
      <w:r w:rsidRPr="00C37EB7">
        <w:rPr>
          <w:rFonts w:ascii="微软雅黑" w:eastAsia="微软雅黑" w:hAnsi="微软雅黑" w:cs="宋体" w:hint="eastAsia"/>
          <w:b/>
          <w:bCs/>
          <w:color w:val="000000"/>
          <w:kern w:val="0"/>
          <w:sz w:val="36"/>
          <w:szCs w:val="36"/>
        </w:rPr>
        <w:t>自然资源部办公厅关于明确存量采矿用地复垦修复土地验收有关要求的通知</w:t>
      </w:r>
    </w:p>
    <w:p w:rsidR="00C37EB7" w:rsidRDefault="00C37EB7" w:rsidP="00C37EB7">
      <w:pPr>
        <w:widowControl/>
        <w:shd w:val="clear" w:color="auto" w:fill="FFFFFF"/>
        <w:jc w:val="left"/>
        <w:rPr>
          <w:rFonts w:ascii="微软雅黑" w:eastAsia="微软雅黑" w:hAnsi="微软雅黑" w:cs="宋体"/>
          <w:color w:val="000000"/>
          <w:kern w:val="0"/>
          <w:sz w:val="24"/>
          <w:szCs w:val="24"/>
        </w:rPr>
      </w:pPr>
      <w:r>
        <w:rPr>
          <w:rFonts w:ascii="微软雅黑" w:eastAsia="微软雅黑" w:hAnsi="微软雅黑" w:cs="宋体" w:hint="eastAsia"/>
          <w:color w:val="000000"/>
          <w:kern w:val="0"/>
          <w:sz w:val="24"/>
          <w:szCs w:val="24"/>
        </w:rPr>
        <w:t xml:space="preserve">                       </w:t>
      </w:r>
      <w:bookmarkStart w:id="0" w:name="_GoBack"/>
      <w:bookmarkEnd w:id="0"/>
      <w:r>
        <w:rPr>
          <w:rFonts w:ascii="微软雅黑" w:eastAsia="微软雅黑" w:hAnsi="微软雅黑" w:hint="eastAsia"/>
          <w:color w:val="000000"/>
          <w:szCs w:val="21"/>
          <w:shd w:val="clear" w:color="auto" w:fill="FFFFFF"/>
        </w:rPr>
        <w:t>自然资办发〔2023〕26号</w:t>
      </w:r>
    </w:p>
    <w:p w:rsidR="00C37EB7" w:rsidRPr="00C37EB7" w:rsidRDefault="00C37EB7" w:rsidP="00C37EB7">
      <w:pPr>
        <w:widowControl/>
        <w:shd w:val="clear" w:color="auto" w:fill="FFFFFF"/>
        <w:jc w:val="left"/>
        <w:rPr>
          <w:rFonts w:ascii="仿宋" w:eastAsia="仿宋" w:hAnsi="仿宋" w:cs="宋体" w:hint="eastAsia"/>
          <w:color w:val="000000"/>
          <w:kern w:val="0"/>
          <w:sz w:val="30"/>
          <w:szCs w:val="30"/>
        </w:rPr>
      </w:pPr>
      <w:r w:rsidRPr="00C37EB7">
        <w:rPr>
          <w:rFonts w:ascii="仿宋" w:eastAsia="仿宋" w:hAnsi="仿宋" w:cs="宋体" w:hint="eastAsia"/>
          <w:color w:val="000000"/>
          <w:kern w:val="0"/>
          <w:sz w:val="30"/>
          <w:szCs w:val="30"/>
        </w:rPr>
        <w:t>各省、自治区、直辖市自然资源主管部门，新疆生产建设兵团自然资源局：</w:t>
      </w:r>
    </w:p>
    <w:p w:rsidR="00C37EB7" w:rsidRPr="00C37EB7" w:rsidRDefault="00C37EB7" w:rsidP="00C37EB7">
      <w:pPr>
        <w:widowControl/>
        <w:shd w:val="clear" w:color="auto" w:fill="FFFFFF"/>
        <w:jc w:val="left"/>
        <w:rPr>
          <w:rFonts w:ascii="仿宋" w:eastAsia="仿宋" w:hAnsi="仿宋" w:cs="宋体" w:hint="eastAsia"/>
          <w:color w:val="000000"/>
          <w:kern w:val="0"/>
          <w:sz w:val="30"/>
          <w:szCs w:val="30"/>
        </w:rPr>
      </w:pPr>
      <w:r w:rsidRPr="00C37EB7">
        <w:rPr>
          <w:rFonts w:ascii="仿宋" w:eastAsia="仿宋" w:hAnsi="仿宋" w:cs="宋体" w:hint="eastAsia"/>
          <w:color w:val="000000"/>
          <w:kern w:val="0"/>
          <w:sz w:val="30"/>
          <w:szCs w:val="30"/>
        </w:rPr>
        <w:t xml:space="preserve">　　根据《自然资源部关于做好采矿用地保障的通知》（自然资发〔2022〕202号），为落实采矿项目新增用地与复垦修复存量采矿用地相挂钩有关要求，规范存量采矿用地复垦修复土地验收工作，现就有关事项通知如下。</w:t>
      </w:r>
    </w:p>
    <w:p w:rsidR="00C37EB7" w:rsidRPr="00C37EB7" w:rsidRDefault="00C37EB7" w:rsidP="00C37EB7">
      <w:pPr>
        <w:widowControl/>
        <w:shd w:val="clear" w:color="auto" w:fill="FFFFFF"/>
        <w:jc w:val="left"/>
        <w:rPr>
          <w:rFonts w:ascii="仿宋" w:eastAsia="仿宋" w:hAnsi="仿宋" w:cs="宋体" w:hint="eastAsia"/>
          <w:color w:val="000000"/>
          <w:kern w:val="0"/>
          <w:sz w:val="30"/>
          <w:szCs w:val="30"/>
        </w:rPr>
      </w:pPr>
      <w:r w:rsidRPr="00C37EB7">
        <w:rPr>
          <w:rFonts w:ascii="仿宋" w:eastAsia="仿宋" w:hAnsi="仿宋" w:cs="宋体" w:hint="eastAsia"/>
          <w:color w:val="000000"/>
          <w:kern w:val="0"/>
          <w:sz w:val="30"/>
          <w:szCs w:val="30"/>
        </w:rPr>
        <w:t xml:space="preserve">　　</w:t>
      </w:r>
      <w:r w:rsidRPr="00C37EB7">
        <w:rPr>
          <w:rFonts w:ascii="仿宋" w:eastAsia="仿宋" w:hAnsi="仿宋" w:cs="宋体" w:hint="eastAsia"/>
          <w:b/>
          <w:bCs/>
          <w:color w:val="000000"/>
          <w:kern w:val="0"/>
          <w:sz w:val="30"/>
          <w:szCs w:val="30"/>
        </w:rPr>
        <w:t>一、适用范围</w:t>
      </w:r>
    </w:p>
    <w:p w:rsidR="00C37EB7" w:rsidRPr="00C37EB7" w:rsidRDefault="00C37EB7" w:rsidP="00C37EB7">
      <w:pPr>
        <w:widowControl/>
        <w:shd w:val="clear" w:color="auto" w:fill="FFFFFF"/>
        <w:jc w:val="left"/>
        <w:rPr>
          <w:rFonts w:ascii="仿宋" w:eastAsia="仿宋" w:hAnsi="仿宋" w:cs="宋体" w:hint="eastAsia"/>
          <w:color w:val="000000"/>
          <w:kern w:val="0"/>
          <w:sz w:val="30"/>
          <w:szCs w:val="30"/>
        </w:rPr>
      </w:pPr>
      <w:r w:rsidRPr="00C37EB7">
        <w:rPr>
          <w:rFonts w:ascii="仿宋" w:eastAsia="仿宋" w:hAnsi="仿宋" w:cs="宋体" w:hint="eastAsia"/>
          <w:color w:val="000000"/>
          <w:kern w:val="0"/>
          <w:sz w:val="30"/>
          <w:szCs w:val="30"/>
        </w:rPr>
        <w:t xml:space="preserve">　　本通知中的存量采矿用地，是指义务人灭失的历史遗留废弃采矿用地（以下简称“历史遗留废弃采矿用地”）和存在义务人的已办理建设用地审批手续的采矿用地（以下简称“企业存量采矿用地”）。</w:t>
      </w:r>
    </w:p>
    <w:p w:rsidR="00C37EB7" w:rsidRPr="00C37EB7" w:rsidRDefault="00C37EB7" w:rsidP="00C37EB7">
      <w:pPr>
        <w:widowControl/>
        <w:shd w:val="clear" w:color="auto" w:fill="FFFFFF"/>
        <w:jc w:val="left"/>
        <w:rPr>
          <w:rFonts w:ascii="仿宋" w:eastAsia="仿宋" w:hAnsi="仿宋" w:cs="宋体" w:hint="eastAsia"/>
          <w:color w:val="000000"/>
          <w:kern w:val="0"/>
          <w:sz w:val="30"/>
          <w:szCs w:val="30"/>
        </w:rPr>
      </w:pPr>
      <w:r w:rsidRPr="00C37EB7">
        <w:rPr>
          <w:rFonts w:ascii="仿宋" w:eastAsia="仿宋" w:hAnsi="仿宋" w:cs="宋体" w:hint="eastAsia"/>
          <w:color w:val="000000"/>
          <w:kern w:val="0"/>
          <w:sz w:val="30"/>
          <w:szCs w:val="30"/>
        </w:rPr>
        <w:t xml:space="preserve">　　历史遗留废弃采矿用地复垦修复应当按照“谁实施、谁负责”原则，依据有关技术标准规范等，科学编制项目实施方案，并强化项目过程管理;企业存量采矿用地复垦修复应当按照“边开采、边治理”原则，依据自然资源主管部门审查通过的矿山地质环境保护与土地复垦方案，明确阶段性工作安排和目标任务，并严格规范实施。</w:t>
      </w:r>
    </w:p>
    <w:p w:rsidR="00C37EB7" w:rsidRPr="00C37EB7" w:rsidRDefault="00C37EB7" w:rsidP="00C37EB7">
      <w:pPr>
        <w:widowControl/>
        <w:shd w:val="clear" w:color="auto" w:fill="FFFFFF"/>
        <w:jc w:val="left"/>
        <w:rPr>
          <w:rFonts w:ascii="仿宋" w:eastAsia="仿宋" w:hAnsi="仿宋" w:cs="宋体" w:hint="eastAsia"/>
          <w:color w:val="000000"/>
          <w:kern w:val="0"/>
          <w:sz w:val="30"/>
          <w:szCs w:val="30"/>
        </w:rPr>
      </w:pPr>
      <w:r w:rsidRPr="00C37EB7">
        <w:rPr>
          <w:rFonts w:ascii="仿宋" w:eastAsia="仿宋" w:hAnsi="仿宋" w:cs="宋体" w:hint="eastAsia"/>
          <w:color w:val="000000"/>
          <w:kern w:val="0"/>
          <w:sz w:val="30"/>
          <w:szCs w:val="30"/>
        </w:rPr>
        <w:t xml:space="preserve">　　</w:t>
      </w:r>
      <w:r w:rsidRPr="00C37EB7">
        <w:rPr>
          <w:rFonts w:ascii="仿宋" w:eastAsia="仿宋" w:hAnsi="仿宋" w:cs="宋体" w:hint="eastAsia"/>
          <w:b/>
          <w:bCs/>
          <w:color w:val="000000"/>
          <w:kern w:val="0"/>
          <w:sz w:val="30"/>
          <w:szCs w:val="30"/>
        </w:rPr>
        <w:t>二、验收核实内容及要求</w:t>
      </w:r>
    </w:p>
    <w:p w:rsidR="00C37EB7" w:rsidRPr="00C37EB7" w:rsidRDefault="00C37EB7" w:rsidP="00C37EB7">
      <w:pPr>
        <w:widowControl/>
        <w:shd w:val="clear" w:color="auto" w:fill="FFFFFF"/>
        <w:jc w:val="left"/>
        <w:rPr>
          <w:rFonts w:ascii="仿宋" w:eastAsia="仿宋" w:hAnsi="仿宋" w:cs="宋体" w:hint="eastAsia"/>
          <w:color w:val="000000"/>
          <w:kern w:val="0"/>
          <w:sz w:val="30"/>
          <w:szCs w:val="30"/>
        </w:rPr>
      </w:pPr>
      <w:r w:rsidRPr="00C37EB7">
        <w:rPr>
          <w:rFonts w:ascii="仿宋" w:eastAsia="仿宋" w:hAnsi="仿宋" w:cs="宋体" w:hint="eastAsia"/>
          <w:color w:val="000000"/>
          <w:kern w:val="0"/>
          <w:sz w:val="30"/>
          <w:szCs w:val="30"/>
        </w:rPr>
        <w:lastRenderedPageBreak/>
        <w:t xml:space="preserve">　　（一）合法合规性审查。对复垦修复项目的合法合规性进行审查，主要包括：是否符合国家法律法规及相关政策，复垦修复后的土地是否符合市县乡镇国土空间规划、生态修复规划等相关规划及管控要求，纳入复垦修复验收范围内的土地是否地类清晰、权属无争议等。</w:t>
      </w:r>
    </w:p>
    <w:p w:rsidR="00C37EB7" w:rsidRPr="00C37EB7" w:rsidRDefault="00C37EB7" w:rsidP="00C37EB7">
      <w:pPr>
        <w:widowControl/>
        <w:shd w:val="clear" w:color="auto" w:fill="FFFFFF"/>
        <w:jc w:val="left"/>
        <w:rPr>
          <w:rFonts w:ascii="仿宋" w:eastAsia="仿宋" w:hAnsi="仿宋" w:cs="宋体" w:hint="eastAsia"/>
          <w:color w:val="000000"/>
          <w:kern w:val="0"/>
          <w:sz w:val="30"/>
          <w:szCs w:val="30"/>
        </w:rPr>
      </w:pPr>
      <w:r w:rsidRPr="00C37EB7">
        <w:rPr>
          <w:rFonts w:ascii="仿宋" w:eastAsia="仿宋" w:hAnsi="仿宋" w:cs="宋体" w:hint="eastAsia"/>
          <w:color w:val="000000"/>
          <w:kern w:val="0"/>
          <w:sz w:val="30"/>
          <w:szCs w:val="30"/>
        </w:rPr>
        <w:t xml:space="preserve">　　（二）复垦修复前存量采矿用地核实。核实复垦修复项目实施前存量采矿用地性质。依据全国历史遗留矿山核查成果认定的义务人已灭失且未治理图斑，核实是否属于历史遗留废弃采矿用地。对于历史遗留废弃采矿用地，与项目立项时最新年度国土变更调查成果套合，认定实施前项目范围内图斑涉及的地类及面积；对于企业存量采矿用地，依据各级自然资源主管部门用地审查掌握的管理数据，通过国土空间用途管制监管系统管理数据认定采矿用地的范围、地类及面积。</w:t>
      </w:r>
    </w:p>
    <w:p w:rsidR="00C37EB7" w:rsidRPr="00C37EB7" w:rsidRDefault="00C37EB7" w:rsidP="00C37EB7">
      <w:pPr>
        <w:widowControl/>
        <w:shd w:val="clear" w:color="auto" w:fill="FFFFFF"/>
        <w:jc w:val="left"/>
        <w:rPr>
          <w:rFonts w:ascii="仿宋" w:eastAsia="仿宋" w:hAnsi="仿宋" w:cs="宋体" w:hint="eastAsia"/>
          <w:color w:val="000000"/>
          <w:kern w:val="0"/>
          <w:sz w:val="30"/>
          <w:szCs w:val="30"/>
        </w:rPr>
      </w:pPr>
      <w:r w:rsidRPr="00C37EB7">
        <w:rPr>
          <w:rFonts w:ascii="仿宋" w:eastAsia="仿宋" w:hAnsi="仿宋" w:cs="宋体" w:hint="eastAsia"/>
          <w:color w:val="000000"/>
          <w:kern w:val="0"/>
          <w:sz w:val="30"/>
          <w:szCs w:val="30"/>
        </w:rPr>
        <w:t xml:space="preserve">　　（三）复垦修复后地类、面积和质量核定。项目竣工后实施范围内的地类和面积，要根据年度国土变更调查成果或通过日常变更机制并经国家核查认定结果进行核定。其中，复垦修复为新增耕地的，应符合新增耕地核实认定的有关标准和要求；复垦修复为园地、林地、草地、湿地等其他农用地的，应符合国土调查地类认定标准。要严把复垦修复质量关，特别要确保复垦修复形成的耕地及其他农用地质量达到土壤环境质量要求和相关安全利用标准。</w:t>
      </w:r>
    </w:p>
    <w:p w:rsidR="00C37EB7" w:rsidRPr="00C37EB7" w:rsidRDefault="00C37EB7" w:rsidP="00C37EB7">
      <w:pPr>
        <w:widowControl/>
        <w:shd w:val="clear" w:color="auto" w:fill="FFFFFF"/>
        <w:jc w:val="left"/>
        <w:rPr>
          <w:rFonts w:ascii="仿宋" w:eastAsia="仿宋" w:hAnsi="仿宋" w:cs="宋体" w:hint="eastAsia"/>
          <w:color w:val="000000"/>
          <w:kern w:val="0"/>
          <w:sz w:val="30"/>
          <w:szCs w:val="30"/>
        </w:rPr>
      </w:pPr>
      <w:r w:rsidRPr="00C37EB7">
        <w:rPr>
          <w:rFonts w:ascii="仿宋" w:eastAsia="仿宋" w:hAnsi="仿宋" w:cs="宋体" w:hint="eastAsia"/>
          <w:color w:val="000000"/>
          <w:kern w:val="0"/>
          <w:sz w:val="30"/>
          <w:szCs w:val="30"/>
        </w:rPr>
        <w:lastRenderedPageBreak/>
        <w:t xml:space="preserve">　　（四）复垦修复验收后土地跟踪管理。各地应结合实际，就复垦修复验收后土地管理制定实施细则。对于运用日常变更机制举证认定地类方式验收的项目，县级自然资源主管部门应跟踪核实项目区在当年度国土变更调查成果中的地类变化情况，涉及农用地面积减少的，应及时整改。整改不到位的，不得使用腾退指标。</w:t>
      </w:r>
    </w:p>
    <w:p w:rsidR="00C37EB7" w:rsidRPr="00C37EB7" w:rsidRDefault="00C37EB7" w:rsidP="00C37EB7">
      <w:pPr>
        <w:widowControl/>
        <w:shd w:val="clear" w:color="auto" w:fill="FFFFFF"/>
        <w:jc w:val="left"/>
        <w:rPr>
          <w:rFonts w:ascii="仿宋" w:eastAsia="仿宋" w:hAnsi="仿宋" w:cs="宋体" w:hint="eastAsia"/>
          <w:color w:val="000000"/>
          <w:kern w:val="0"/>
          <w:sz w:val="30"/>
          <w:szCs w:val="30"/>
        </w:rPr>
      </w:pPr>
      <w:r w:rsidRPr="00C37EB7">
        <w:rPr>
          <w:rFonts w:ascii="仿宋" w:eastAsia="仿宋" w:hAnsi="仿宋" w:cs="宋体" w:hint="eastAsia"/>
          <w:color w:val="000000"/>
          <w:kern w:val="0"/>
          <w:sz w:val="30"/>
          <w:szCs w:val="30"/>
        </w:rPr>
        <w:t xml:space="preserve">　　</w:t>
      </w:r>
      <w:r w:rsidRPr="00C37EB7">
        <w:rPr>
          <w:rFonts w:ascii="仿宋" w:eastAsia="仿宋" w:hAnsi="仿宋" w:cs="宋体" w:hint="eastAsia"/>
          <w:b/>
          <w:bCs/>
          <w:color w:val="000000"/>
          <w:kern w:val="0"/>
          <w:sz w:val="30"/>
          <w:szCs w:val="30"/>
        </w:rPr>
        <w:t>三、验收程序</w:t>
      </w:r>
    </w:p>
    <w:p w:rsidR="00C37EB7" w:rsidRPr="00C37EB7" w:rsidRDefault="00C37EB7" w:rsidP="00C37EB7">
      <w:pPr>
        <w:widowControl/>
        <w:shd w:val="clear" w:color="auto" w:fill="FFFFFF"/>
        <w:jc w:val="left"/>
        <w:rPr>
          <w:rFonts w:ascii="仿宋" w:eastAsia="仿宋" w:hAnsi="仿宋" w:cs="宋体" w:hint="eastAsia"/>
          <w:color w:val="000000"/>
          <w:kern w:val="0"/>
          <w:sz w:val="30"/>
          <w:szCs w:val="30"/>
        </w:rPr>
      </w:pPr>
      <w:r w:rsidRPr="00C37EB7">
        <w:rPr>
          <w:rFonts w:ascii="仿宋" w:eastAsia="仿宋" w:hAnsi="仿宋" w:cs="宋体" w:hint="eastAsia"/>
          <w:color w:val="000000"/>
          <w:kern w:val="0"/>
          <w:sz w:val="30"/>
          <w:szCs w:val="30"/>
        </w:rPr>
        <w:t xml:space="preserve">　　存量采矿用地复垦修复土地验收工作由地方自然资源主管部门会同有关部门依据相关法律法规、技术标准、合同约定等，按照市县初验、省级终验的程序开展。涉及新增耕地拟用于占补平衡的，按照补充耕地验收有关要求同步开展补充耕地验收。</w:t>
      </w:r>
    </w:p>
    <w:p w:rsidR="00C37EB7" w:rsidRPr="00C37EB7" w:rsidRDefault="00C37EB7" w:rsidP="00C37EB7">
      <w:pPr>
        <w:widowControl/>
        <w:shd w:val="clear" w:color="auto" w:fill="FFFFFF"/>
        <w:jc w:val="left"/>
        <w:rPr>
          <w:rFonts w:ascii="仿宋" w:eastAsia="仿宋" w:hAnsi="仿宋" w:cs="宋体" w:hint="eastAsia"/>
          <w:color w:val="000000"/>
          <w:kern w:val="0"/>
          <w:sz w:val="30"/>
          <w:szCs w:val="30"/>
        </w:rPr>
      </w:pPr>
      <w:r w:rsidRPr="00C37EB7">
        <w:rPr>
          <w:rFonts w:ascii="仿宋" w:eastAsia="仿宋" w:hAnsi="仿宋" w:cs="宋体" w:hint="eastAsia"/>
          <w:color w:val="000000"/>
          <w:kern w:val="0"/>
          <w:sz w:val="30"/>
          <w:szCs w:val="30"/>
        </w:rPr>
        <w:t xml:space="preserve">　　（一）验收申请。存量采矿用地复垦修复项目承担单位或采矿企业应向复垦修复项目所在地的市县自然资源主管部门提出验收申请。提出验收申请的单位或采矿企业应对材料的合法性、真实性、有效性负责。</w:t>
      </w:r>
    </w:p>
    <w:p w:rsidR="00C37EB7" w:rsidRPr="00C37EB7" w:rsidRDefault="00C37EB7" w:rsidP="00C37EB7">
      <w:pPr>
        <w:widowControl/>
        <w:shd w:val="clear" w:color="auto" w:fill="FFFFFF"/>
        <w:jc w:val="left"/>
        <w:rPr>
          <w:rFonts w:ascii="仿宋" w:eastAsia="仿宋" w:hAnsi="仿宋" w:cs="宋体" w:hint="eastAsia"/>
          <w:color w:val="000000"/>
          <w:kern w:val="0"/>
          <w:sz w:val="30"/>
          <w:szCs w:val="30"/>
        </w:rPr>
      </w:pPr>
      <w:r w:rsidRPr="00C37EB7">
        <w:rPr>
          <w:rFonts w:ascii="仿宋" w:eastAsia="仿宋" w:hAnsi="仿宋" w:cs="宋体" w:hint="eastAsia"/>
          <w:color w:val="000000"/>
          <w:kern w:val="0"/>
          <w:sz w:val="30"/>
          <w:szCs w:val="30"/>
        </w:rPr>
        <w:t xml:space="preserve">　　（二）市县初验。市县自然资源主管部门根据验收申请材料，对存量采矿用地复垦修复项目的合法合规性进行审查。要依据土地复垦、矿山生态修复有关验收标准，按规定会同有关部门对复垦修复工程建设内容、质量和效果等进行验收。要充分利用遥感影像、地质调查等技术手段，依托国土空间基础信息平台，通过内外业逐地块核实认定复垦修复后的地类、面</w:t>
      </w:r>
      <w:r w:rsidRPr="00C37EB7">
        <w:rPr>
          <w:rFonts w:ascii="仿宋" w:eastAsia="仿宋" w:hAnsi="仿宋" w:cs="宋体" w:hint="eastAsia"/>
          <w:color w:val="000000"/>
          <w:kern w:val="0"/>
          <w:sz w:val="30"/>
          <w:szCs w:val="30"/>
        </w:rPr>
        <w:lastRenderedPageBreak/>
        <w:t>积、质量和位置等，纳入年度国土变更调查结果或经日常变更机制完成举证并通过国家核查后，形成初步验收意见。初验合格的，报省级自然资源主管部门进行终验。</w:t>
      </w:r>
    </w:p>
    <w:p w:rsidR="00C37EB7" w:rsidRPr="00C37EB7" w:rsidRDefault="00C37EB7" w:rsidP="00C37EB7">
      <w:pPr>
        <w:widowControl/>
        <w:shd w:val="clear" w:color="auto" w:fill="FFFFFF"/>
        <w:jc w:val="left"/>
        <w:rPr>
          <w:rFonts w:ascii="仿宋" w:eastAsia="仿宋" w:hAnsi="仿宋" w:cs="宋体" w:hint="eastAsia"/>
          <w:color w:val="000000"/>
          <w:kern w:val="0"/>
          <w:sz w:val="30"/>
          <w:szCs w:val="30"/>
        </w:rPr>
      </w:pPr>
      <w:r w:rsidRPr="00C37EB7">
        <w:rPr>
          <w:rFonts w:ascii="仿宋" w:eastAsia="仿宋" w:hAnsi="仿宋" w:cs="宋体" w:hint="eastAsia"/>
          <w:color w:val="000000"/>
          <w:kern w:val="0"/>
          <w:sz w:val="30"/>
          <w:szCs w:val="30"/>
        </w:rPr>
        <w:t xml:space="preserve">　　（三）省级终验。省级自然资源主管部门根据市县提交的验收材料开展终验，根据工作需要进行实地检查，并形成终验意见。</w:t>
      </w:r>
    </w:p>
    <w:p w:rsidR="00C37EB7" w:rsidRPr="00C37EB7" w:rsidRDefault="00C37EB7" w:rsidP="00C37EB7">
      <w:pPr>
        <w:widowControl/>
        <w:shd w:val="clear" w:color="auto" w:fill="FFFFFF"/>
        <w:jc w:val="left"/>
        <w:rPr>
          <w:rFonts w:ascii="仿宋" w:eastAsia="仿宋" w:hAnsi="仿宋" w:cs="宋体" w:hint="eastAsia"/>
          <w:color w:val="000000"/>
          <w:kern w:val="0"/>
          <w:sz w:val="30"/>
          <w:szCs w:val="30"/>
        </w:rPr>
      </w:pPr>
      <w:r w:rsidRPr="00C37EB7">
        <w:rPr>
          <w:rFonts w:ascii="仿宋" w:eastAsia="仿宋" w:hAnsi="仿宋" w:cs="宋体" w:hint="eastAsia"/>
          <w:color w:val="000000"/>
          <w:kern w:val="0"/>
          <w:sz w:val="30"/>
          <w:szCs w:val="30"/>
        </w:rPr>
        <w:t xml:space="preserve">　　</w:t>
      </w:r>
      <w:r w:rsidRPr="00C37EB7">
        <w:rPr>
          <w:rFonts w:ascii="仿宋" w:eastAsia="仿宋" w:hAnsi="仿宋" w:cs="宋体" w:hint="eastAsia"/>
          <w:b/>
          <w:bCs/>
          <w:color w:val="000000"/>
          <w:kern w:val="0"/>
          <w:sz w:val="30"/>
          <w:szCs w:val="30"/>
        </w:rPr>
        <w:t>四、信息填报及结果运用</w:t>
      </w:r>
    </w:p>
    <w:p w:rsidR="00C37EB7" w:rsidRPr="00C37EB7" w:rsidRDefault="00C37EB7" w:rsidP="00C37EB7">
      <w:pPr>
        <w:widowControl/>
        <w:shd w:val="clear" w:color="auto" w:fill="FFFFFF"/>
        <w:jc w:val="left"/>
        <w:rPr>
          <w:rFonts w:ascii="仿宋" w:eastAsia="仿宋" w:hAnsi="仿宋" w:cs="宋体" w:hint="eastAsia"/>
          <w:color w:val="000000"/>
          <w:kern w:val="0"/>
          <w:sz w:val="30"/>
          <w:szCs w:val="30"/>
        </w:rPr>
      </w:pPr>
      <w:r w:rsidRPr="00C37EB7">
        <w:rPr>
          <w:rFonts w:ascii="仿宋" w:eastAsia="仿宋" w:hAnsi="仿宋" w:cs="宋体" w:hint="eastAsia"/>
          <w:color w:val="000000"/>
          <w:kern w:val="0"/>
          <w:sz w:val="30"/>
          <w:szCs w:val="30"/>
        </w:rPr>
        <w:t xml:space="preserve">　　历史遗留废弃采矿用地复垦修复实施单位应在项目批准后3个月内，企业存量采矿用地复垦修复实施单位应在项目验收申请前，通过全国存量采矿用地复垦修复验收信息系统完成基本信息填报（填报内容见附件1）；复垦修复竣工后，应通过全国存量采矿用地复垦修复验收信息系统提交项目验收申请表（填报内容见附件2）。复垦修复验收时，省级及以下自然资源主管部门应填写项目验收初验、终验等信息（参考格式见附件3）并认真审核。</w:t>
      </w:r>
    </w:p>
    <w:p w:rsidR="00C37EB7" w:rsidRPr="00C37EB7" w:rsidRDefault="00C37EB7" w:rsidP="00C37EB7">
      <w:pPr>
        <w:widowControl/>
        <w:shd w:val="clear" w:color="auto" w:fill="FFFFFF"/>
        <w:jc w:val="left"/>
        <w:rPr>
          <w:rFonts w:ascii="仿宋" w:eastAsia="仿宋" w:hAnsi="仿宋" w:cs="宋体" w:hint="eastAsia"/>
          <w:color w:val="000000"/>
          <w:kern w:val="0"/>
          <w:sz w:val="30"/>
          <w:szCs w:val="30"/>
        </w:rPr>
      </w:pPr>
      <w:r w:rsidRPr="00C37EB7">
        <w:rPr>
          <w:rFonts w:ascii="仿宋" w:eastAsia="仿宋" w:hAnsi="仿宋" w:cs="宋体" w:hint="eastAsia"/>
          <w:color w:val="000000"/>
          <w:kern w:val="0"/>
          <w:sz w:val="30"/>
          <w:szCs w:val="30"/>
        </w:rPr>
        <w:t xml:space="preserve">　　存量采矿用地复垦修复为农用地并产生腾退指标，以及将腾退指标挂钩用于办理采矿项目新增用地审批的，均应纳入全国国土空间用途管制监管系统统一管理。复垦修复后的新增耕地拟用于占补平衡的，相关信息应按规定纳入全国耕地占补平衡动态监管系统。</w:t>
      </w:r>
    </w:p>
    <w:p w:rsidR="00C37EB7" w:rsidRPr="00C37EB7" w:rsidRDefault="00C37EB7" w:rsidP="00C37EB7">
      <w:pPr>
        <w:widowControl/>
        <w:shd w:val="clear" w:color="auto" w:fill="FFFFFF"/>
        <w:jc w:val="left"/>
        <w:rPr>
          <w:rFonts w:ascii="仿宋" w:eastAsia="仿宋" w:hAnsi="仿宋" w:cs="宋体" w:hint="eastAsia"/>
          <w:color w:val="000000"/>
          <w:kern w:val="0"/>
          <w:sz w:val="30"/>
          <w:szCs w:val="30"/>
        </w:rPr>
      </w:pPr>
      <w:r w:rsidRPr="00C37EB7">
        <w:rPr>
          <w:rFonts w:ascii="仿宋" w:eastAsia="仿宋" w:hAnsi="仿宋" w:cs="宋体" w:hint="eastAsia"/>
          <w:color w:val="000000"/>
          <w:kern w:val="0"/>
          <w:sz w:val="30"/>
          <w:szCs w:val="30"/>
        </w:rPr>
        <w:t xml:space="preserve">　　</w:t>
      </w:r>
      <w:r w:rsidRPr="00C37EB7">
        <w:rPr>
          <w:rFonts w:ascii="仿宋" w:eastAsia="仿宋" w:hAnsi="仿宋" w:cs="宋体" w:hint="eastAsia"/>
          <w:b/>
          <w:bCs/>
          <w:color w:val="000000"/>
          <w:kern w:val="0"/>
          <w:sz w:val="30"/>
          <w:szCs w:val="30"/>
        </w:rPr>
        <w:t>五、工作要求</w:t>
      </w:r>
    </w:p>
    <w:p w:rsidR="00C37EB7" w:rsidRPr="00C37EB7" w:rsidRDefault="00C37EB7" w:rsidP="00C37EB7">
      <w:pPr>
        <w:widowControl/>
        <w:shd w:val="clear" w:color="auto" w:fill="FFFFFF"/>
        <w:jc w:val="left"/>
        <w:rPr>
          <w:rFonts w:ascii="仿宋" w:eastAsia="仿宋" w:hAnsi="仿宋" w:cs="宋体" w:hint="eastAsia"/>
          <w:color w:val="000000"/>
          <w:kern w:val="0"/>
          <w:sz w:val="30"/>
          <w:szCs w:val="30"/>
        </w:rPr>
      </w:pPr>
      <w:r w:rsidRPr="00C37EB7">
        <w:rPr>
          <w:rFonts w:ascii="仿宋" w:eastAsia="仿宋" w:hAnsi="仿宋" w:cs="宋体" w:hint="eastAsia"/>
          <w:color w:val="000000"/>
          <w:kern w:val="0"/>
          <w:sz w:val="30"/>
          <w:szCs w:val="30"/>
        </w:rPr>
        <w:lastRenderedPageBreak/>
        <w:t xml:space="preserve">　　省级自然资源主管部门要对本省（区、市）存量采矿用地复垦修复工作加强统筹，结合实际完善工作制度，细化管理要求，推动建立统一、公开的存量采矿用地复垦修复土地腾退指标库和交易平台。市县自然资源主管部门要切实履行属地管理责任，在市县乡镇国土空间规划中对存量采矿用地复垦修复做出空间安排，强化存量采矿用地复垦修复的组织实施和全过程监管。有关支撑单位要充分发挥技术优势，在复垦修复科技创新、标准研制、动态监测等方面做好服务保障工作。</w:t>
      </w:r>
    </w:p>
    <w:p w:rsidR="00C37EB7" w:rsidRPr="00C37EB7" w:rsidRDefault="00C37EB7" w:rsidP="00C37EB7">
      <w:pPr>
        <w:widowControl/>
        <w:shd w:val="clear" w:color="auto" w:fill="FFFFFF"/>
        <w:jc w:val="left"/>
        <w:rPr>
          <w:rFonts w:ascii="仿宋" w:eastAsia="仿宋" w:hAnsi="仿宋" w:cs="宋体" w:hint="eastAsia"/>
          <w:color w:val="000000"/>
          <w:kern w:val="0"/>
          <w:sz w:val="30"/>
          <w:szCs w:val="30"/>
        </w:rPr>
      </w:pPr>
      <w:r w:rsidRPr="00C37EB7">
        <w:rPr>
          <w:rFonts w:ascii="Calibri" w:eastAsia="仿宋" w:hAnsi="Calibri" w:cs="Calibri"/>
          <w:color w:val="000000"/>
          <w:kern w:val="0"/>
          <w:sz w:val="30"/>
          <w:szCs w:val="30"/>
        </w:rPr>
        <w:t> </w:t>
      </w:r>
    </w:p>
    <w:p w:rsidR="00C37EB7" w:rsidRPr="00C37EB7" w:rsidRDefault="00C37EB7" w:rsidP="00C37EB7">
      <w:pPr>
        <w:widowControl/>
        <w:shd w:val="clear" w:color="auto" w:fill="FFFFFF"/>
        <w:jc w:val="right"/>
        <w:rPr>
          <w:rFonts w:ascii="仿宋" w:eastAsia="仿宋" w:hAnsi="仿宋" w:cs="宋体" w:hint="eastAsia"/>
          <w:color w:val="000000"/>
          <w:kern w:val="0"/>
          <w:sz w:val="30"/>
          <w:szCs w:val="30"/>
        </w:rPr>
      </w:pPr>
      <w:r w:rsidRPr="00C37EB7">
        <w:rPr>
          <w:rFonts w:ascii="仿宋" w:eastAsia="仿宋" w:hAnsi="仿宋" w:cs="宋体" w:hint="eastAsia"/>
          <w:color w:val="000000"/>
          <w:kern w:val="0"/>
          <w:sz w:val="30"/>
          <w:szCs w:val="30"/>
          <w:bdr w:val="none" w:sz="0" w:space="0" w:color="auto" w:frame="1"/>
        </w:rPr>
        <w:t>自然资源部办公厅</w:t>
      </w:r>
    </w:p>
    <w:p w:rsidR="00C37EB7" w:rsidRPr="00C37EB7" w:rsidRDefault="00C37EB7" w:rsidP="00C37EB7">
      <w:pPr>
        <w:widowControl/>
        <w:shd w:val="clear" w:color="auto" w:fill="FFFFFF"/>
        <w:jc w:val="right"/>
        <w:rPr>
          <w:rFonts w:ascii="仿宋" w:eastAsia="仿宋" w:hAnsi="仿宋" w:cs="宋体" w:hint="eastAsia"/>
          <w:color w:val="000000"/>
          <w:kern w:val="0"/>
          <w:sz w:val="30"/>
          <w:szCs w:val="30"/>
        </w:rPr>
      </w:pPr>
      <w:r w:rsidRPr="00C37EB7">
        <w:rPr>
          <w:rFonts w:ascii="仿宋" w:eastAsia="仿宋" w:hAnsi="仿宋" w:cs="宋体" w:hint="eastAsia"/>
          <w:color w:val="000000"/>
          <w:kern w:val="0"/>
          <w:sz w:val="30"/>
          <w:szCs w:val="30"/>
          <w:bdr w:val="none" w:sz="0" w:space="0" w:color="auto" w:frame="1"/>
        </w:rPr>
        <w:t>2023年6月19日</w:t>
      </w:r>
    </w:p>
    <w:p w:rsidR="00C37EB7" w:rsidRPr="00C37EB7" w:rsidRDefault="00C37EB7" w:rsidP="00C37EB7">
      <w:pPr>
        <w:widowControl/>
        <w:shd w:val="clear" w:color="auto" w:fill="FFFFFF"/>
        <w:spacing w:before="600" w:line="480" w:lineRule="atLeast"/>
        <w:jc w:val="left"/>
        <w:rPr>
          <w:rFonts w:ascii="微软雅黑" w:eastAsia="微软雅黑" w:hAnsi="微软雅黑" w:cs="宋体" w:hint="eastAsia"/>
          <w:color w:val="000000"/>
          <w:kern w:val="0"/>
          <w:sz w:val="24"/>
          <w:szCs w:val="24"/>
        </w:rPr>
      </w:pPr>
      <w:r w:rsidRPr="00C37EB7">
        <w:rPr>
          <w:rFonts w:ascii="微软雅黑" w:eastAsia="微软雅黑" w:hAnsi="微软雅黑" w:cs="宋体" w:hint="eastAsia"/>
          <w:color w:val="000000"/>
          <w:kern w:val="0"/>
          <w:sz w:val="24"/>
          <w:szCs w:val="24"/>
        </w:rPr>
        <w:t>附件  :</w:t>
      </w:r>
    </w:p>
    <w:p w:rsidR="00C37EB7" w:rsidRPr="00C37EB7" w:rsidRDefault="00C37EB7" w:rsidP="00C37EB7">
      <w:pPr>
        <w:widowControl/>
        <w:numPr>
          <w:ilvl w:val="0"/>
          <w:numId w:val="1"/>
        </w:numPr>
        <w:shd w:val="clear" w:color="auto" w:fill="FFFFFF"/>
        <w:spacing w:line="360" w:lineRule="atLeast"/>
        <w:ind w:left="0"/>
        <w:jc w:val="left"/>
        <w:rPr>
          <w:rFonts w:ascii="微软雅黑" w:eastAsia="微软雅黑" w:hAnsi="微软雅黑" w:cs="宋体" w:hint="eastAsia"/>
          <w:color w:val="000000"/>
          <w:kern w:val="0"/>
          <w:sz w:val="24"/>
          <w:szCs w:val="24"/>
        </w:rPr>
      </w:pPr>
      <w:r w:rsidRPr="00C37EB7">
        <w:rPr>
          <w:rFonts w:ascii="微软雅黑" w:eastAsia="微软雅黑" w:hAnsi="微软雅黑" w:cs="宋体" w:hint="eastAsia"/>
          <w:color w:val="000000"/>
          <w:kern w:val="0"/>
          <w:sz w:val="24"/>
          <w:szCs w:val="24"/>
          <w:bdr w:val="none" w:sz="0" w:space="0" w:color="auto" w:frame="1"/>
        </w:rPr>
        <w:t>1. </w:t>
      </w:r>
      <w:hyperlink r:id="rId5" w:tgtFrame="_blank" w:history="1">
        <w:r w:rsidRPr="00C37EB7">
          <w:rPr>
            <w:rFonts w:ascii="微软雅黑" w:eastAsia="微软雅黑" w:hAnsi="微软雅黑" w:cs="宋体" w:hint="eastAsia"/>
            <w:color w:val="333333"/>
            <w:kern w:val="0"/>
            <w:sz w:val="24"/>
            <w:szCs w:val="24"/>
            <w:u w:val="single"/>
          </w:rPr>
          <w:t>基本信息表.docx</w:t>
        </w:r>
      </w:hyperlink>
    </w:p>
    <w:p w:rsidR="00C37EB7" w:rsidRPr="00C37EB7" w:rsidRDefault="00C37EB7" w:rsidP="00C37EB7">
      <w:pPr>
        <w:widowControl/>
        <w:numPr>
          <w:ilvl w:val="0"/>
          <w:numId w:val="1"/>
        </w:numPr>
        <w:shd w:val="clear" w:color="auto" w:fill="FFFFFF"/>
        <w:spacing w:line="360" w:lineRule="atLeast"/>
        <w:ind w:left="0"/>
        <w:jc w:val="left"/>
        <w:rPr>
          <w:rFonts w:ascii="微软雅黑" w:eastAsia="微软雅黑" w:hAnsi="微软雅黑" w:cs="宋体" w:hint="eastAsia"/>
          <w:color w:val="000000"/>
          <w:kern w:val="0"/>
          <w:sz w:val="24"/>
          <w:szCs w:val="24"/>
        </w:rPr>
      </w:pPr>
      <w:r w:rsidRPr="00C37EB7">
        <w:rPr>
          <w:rFonts w:ascii="微软雅黑" w:eastAsia="微软雅黑" w:hAnsi="微软雅黑" w:cs="宋体" w:hint="eastAsia"/>
          <w:color w:val="000000"/>
          <w:kern w:val="0"/>
          <w:sz w:val="24"/>
          <w:szCs w:val="24"/>
          <w:bdr w:val="none" w:sz="0" w:space="0" w:color="auto" w:frame="1"/>
        </w:rPr>
        <w:t>2. </w:t>
      </w:r>
      <w:hyperlink r:id="rId6" w:tgtFrame="_blank" w:history="1">
        <w:r w:rsidRPr="00C37EB7">
          <w:rPr>
            <w:rFonts w:ascii="微软雅黑" w:eastAsia="微软雅黑" w:hAnsi="微软雅黑" w:cs="宋体" w:hint="eastAsia"/>
            <w:color w:val="333333"/>
            <w:kern w:val="0"/>
            <w:sz w:val="24"/>
            <w:szCs w:val="24"/>
            <w:u w:val="single"/>
          </w:rPr>
          <w:t>存量采矿用地复垦修复土地验收申请表（参考样式）.docx</w:t>
        </w:r>
      </w:hyperlink>
    </w:p>
    <w:p w:rsidR="00C37EB7" w:rsidRPr="00C37EB7" w:rsidRDefault="00C37EB7" w:rsidP="00C37EB7">
      <w:pPr>
        <w:widowControl/>
        <w:numPr>
          <w:ilvl w:val="0"/>
          <w:numId w:val="1"/>
        </w:numPr>
        <w:shd w:val="clear" w:color="auto" w:fill="FFFFFF"/>
        <w:spacing w:line="360" w:lineRule="atLeast"/>
        <w:ind w:left="0"/>
        <w:jc w:val="left"/>
        <w:rPr>
          <w:rFonts w:ascii="微软雅黑" w:eastAsia="微软雅黑" w:hAnsi="微软雅黑" w:cs="宋体" w:hint="eastAsia"/>
          <w:color w:val="000000"/>
          <w:kern w:val="0"/>
          <w:sz w:val="24"/>
          <w:szCs w:val="24"/>
        </w:rPr>
      </w:pPr>
      <w:r w:rsidRPr="00C37EB7">
        <w:rPr>
          <w:rFonts w:ascii="微软雅黑" w:eastAsia="微软雅黑" w:hAnsi="微软雅黑" w:cs="宋体" w:hint="eastAsia"/>
          <w:color w:val="000000"/>
          <w:kern w:val="0"/>
          <w:sz w:val="24"/>
          <w:szCs w:val="24"/>
          <w:bdr w:val="none" w:sz="0" w:space="0" w:color="auto" w:frame="1"/>
        </w:rPr>
        <w:t>3. </w:t>
      </w:r>
      <w:hyperlink r:id="rId7" w:tgtFrame="_blank" w:history="1">
        <w:r w:rsidRPr="00C37EB7">
          <w:rPr>
            <w:rFonts w:ascii="微软雅黑" w:eastAsia="微软雅黑" w:hAnsi="微软雅黑" w:cs="宋体" w:hint="eastAsia"/>
            <w:color w:val="333333"/>
            <w:kern w:val="0"/>
            <w:sz w:val="24"/>
            <w:szCs w:val="24"/>
            <w:u w:val="single"/>
          </w:rPr>
          <w:t>存量采矿用地复垦修复土地验收表（参考样式）.docx</w:t>
        </w:r>
      </w:hyperlink>
    </w:p>
    <w:p w:rsidR="00C37EB7" w:rsidRPr="00C37EB7" w:rsidRDefault="00C37EB7" w:rsidP="00C37EB7">
      <w:pPr>
        <w:widowControl/>
        <w:numPr>
          <w:ilvl w:val="0"/>
          <w:numId w:val="1"/>
        </w:numPr>
        <w:shd w:val="clear" w:color="auto" w:fill="FFFFFF"/>
        <w:spacing w:line="360" w:lineRule="atLeast"/>
        <w:ind w:left="0"/>
        <w:jc w:val="left"/>
        <w:rPr>
          <w:rFonts w:ascii="微软雅黑" w:eastAsia="微软雅黑" w:hAnsi="微软雅黑" w:cs="宋体" w:hint="eastAsia"/>
          <w:color w:val="000000"/>
          <w:kern w:val="0"/>
          <w:sz w:val="24"/>
          <w:szCs w:val="24"/>
        </w:rPr>
      </w:pPr>
      <w:r w:rsidRPr="00C37EB7">
        <w:rPr>
          <w:rFonts w:ascii="微软雅黑" w:eastAsia="微软雅黑" w:hAnsi="微软雅黑" w:cs="宋体" w:hint="eastAsia"/>
          <w:color w:val="000000"/>
          <w:kern w:val="0"/>
          <w:sz w:val="24"/>
          <w:szCs w:val="24"/>
          <w:bdr w:val="none" w:sz="0" w:space="0" w:color="auto" w:frame="1"/>
        </w:rPr>
        <w:t>4. </w:t>
      </w:r>
      <w:hyperlink r:id="rId8" w:tgtFrame="_blank" w:history="1">
        <w:r w:rsidRPr="00C37EB7">
          <w:rPr>
            <w:rFonts w:ascii="微软雅黑" w:eastAsia="微软雅黑" w:hAnsi="微软雅黑" w:cs="宋体" w:hint="eastAsia"/>
            <w:color w:val="333333"/>
            <w:kern w:val="0"/>
            <w:sz w:val="24"/>
            <w:szCs w:val="24"/>
            <w:u w:val="single"/>
          </w:rPr>
          <w:t>验收依据.docx</w:t>
        </w:r>
      </w:hyperlink>
    </w:p>
    <w:p w:rsidR="00B14A47" w:rsidRDefault="00B14A47"/>
    <w:sectPr w:rsidR="00B14A4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宋体"/>
    <w:panose1 w:val="02010600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Light">
    <w:altName w:val="宋体"/>
    <w:panose1 w:val="00000000000000000000"/>
    <w:charset w:val="86"/>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7F785A"/>
    <w:multiLevelType w:val="multilevel"/>
    <w:tmpl w:val="CF9C0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7EB7"/>
    <w:rsid w:val="00B14A47"/>
    <w:rsid w:val="00C37E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C5D8B"/>
  <w15:chartTrackingRefBased/>
  <w15:docId w15:val="{40C41CF2-A367-45F5-958C-B9529AF49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3">
    <w:name w:val="heading 3"/>
    <w:basedOn w:val="a"/>
    <w:link w:val="30"/>
    <w:uiPriority w:val="9"/>
    <w:qFormat/>
    <w:rsid w:val="00C37EB7"/>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uiPriority w:val="9"/>
    <w:rsid w:val="00C37EB7"/>
    <w:rPr>
      <w:rFonts w:ascii="宋体" w:eastAsia="宋体" w:hAnsi="宋体" w:cs="宋体"/>
      <w:b/>
      <w:bCs/>
      <w:kern w:val="0"/>
      <w:sz w:val="27"/>
      <w:szCs w:val="27"/>
    </w:rPr>
  </w:style>
  <w:style w:type="paragraph" w:customStyle="1" w:styleId="f">
    <w:name w:val="f"/>
    <w:basedOn w:val="a"/>
    <w:rsid w:val="00C37EB7"/>
    <w:pPr>
      <w:widowControl/>
      <w:spacing w:before="100" w:beforeAutospacing="1" w:after="100" w:afterAutospacing="1"/>
      <w:jc w:val="left"/>
    </w:pPr>
    <w:rPr>
      <w:rFonts w:ascii="宋体" w:eastAsia="宋体" w:hAnsi="宋体" w:cs="宋体"/>
      <w:kern w:val="0"/>
      <w:sz w:val="24"/>
      <w:szCs w:val="24"/>
    </w:rPr>
  </w:style>
  <w:style w:type="character" w:styleId="a3">
    <w:name w:val="Hyperlink"/>
    <w:basedOn w:val="a0"/>
    <w:uiPriority w:val="99"/>
    <w:semiHidden/>
    <w:unhideWhenUsed/>
    <w:rsid w:val="00C37EB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8294535">
      <w:bodyDiv w:val="1"/>
      <w:marLeft w:val="0"/>
      <w:marRight w:val="0"/>
      <w:marTop w:val="0"/>
      <w:marBottom w:val="0"/>
      <w:divBdr>
        <w:top w:val="none" w:sz="0" w:space="0" w:color="auto"/>
        <w:left w:val="none" w:sz="0" w:space="0" w:color="auto"/>
        <w:bottom w:val="none" w:sz="0" w:space="0" w:color="auto"/>
        <w:right w:val="none" w:sz="0" w:space="0" w:color="auto"/>
      </w:divBdr>
      <w:divsChild>
        <w:div w:id="937909476">
          <w:marLeft w:val="0"/>
          <w:marRight w:val="0"/>
          <w:marTop w:val="0"/>
          <w:marBottom w:val="0"/>
          <w:divBdr>
            <w:top w:val="none" w:sz="0" w:space="0" w:color="auto"/>
            <w:left w:val="none" w:sz="0" w:space="0" w:color="auto"/>
            <w:bottom w:val="none" w:sz="0" w:space="0" w:color="auto"/>
            <w:right w:val="none" w:sz="0" w:space="0" w:color="auto"/>
          </w:divBdr>
        </w:div>
        <w:div w:id="870190316">
          <w:marLeft w:val="0"/>
          <w:marRight w:val="0"/>
          <w:marTop w:val="0"/>
          <w:marBottom w:val="0"/>
          <w:divBdr>
            <w:top w:val="none" w:sz="0" w:space="0" w:color="auto"/>
            <w:left w:val="none" w:sz="0" w:space="0" w:color="auto"/>
            <w:bottom w:val="none" w:sz="0" w:space="0" w:color="auto"/>
            <w:right w:val="none" w:sz="0" w:space="0" w:color="auto"/>
          </w:divBdr>
        </w:div>
        <w:div w:id="1413745187">
          <w:marLeft w:val="0"/>
          <w:marRight w:val="0"/>
          <w:marTop w:val="0"/>
          <w:marBottom w:val="0"/>
          <w:divBdr>
            <w:top w:val="none" w:sz="0" w:space="0" w:color="auto"/>
            <w:left w:val="none" w:sz="0" w:space="0" w:color="auto"/>
            <w:bottom w:val="none" w:sz="0" w:space="0" w:color="auto"/>
            <w:right w:val="none" w:sz="0" w:space="0" w:color="auto"/>
          </w:divBdr>
        </w:div>
        <w:div w:id="2023971548">
          <w:marLeft w:val="0"/>
          <w:marRight w:val="0"/>
          <w:marTop w:val="0"/>
          <w:marBottom w:val="0"/>
          <w:divBdr>
            <w:top w:val="none" w:sz="0" w:space="0" w:color="auto"/>
            <w:left w:val="none" w:sz="0" w:space="0" w:color="auto"/>
            <w:bottom w:val="none" w:sz="0" w:space="0" w:color="auto"/>
            <w:right w:val="none" w:sz="0" w:space="0" w:color="auto"/>
          </w:divBdr>
        </w:div>
        <w:div w:id="1558660565">
          <w:marLeft w:val="0"/>
          <w:marRight w:val="0"/>
          <w:marTop w:val="0"/>
          <w:marBottom w:val="0"/>
          <w:divBdr>
            <w:top w:val="none" w:sz="0" w:space="0" w:color="auto"/>
            <w:left w:val="none" w:sz="0" w:space="0" w:color="auto"/>
            <w:bottom w:val="none" w:sz="0" w:space="0" w:color="auto"/>
            <w:right w:val="none" w:sz="0" w:space="0" w:color="auto"/>
          </w:divBdr>
        </w:div>
        <w:div w:id="674302860">
          <w:marLeft w:val="0"/>
          <w:marRight w:val="0"/>
          <w:marTop w:val="0"/>
          <w:marBottom w:val="0"/>
          <w:divBdr>
            <w:top w:val="none" w:sz="0" w:space="0" w:color="auto"/>
            <w:left w:val="none" w:sz="0" w:space="0" w:color="auto"/>
            <w:bottom w:val="none" w:sz="0" w:space="0" w:color="auto"/>
            <w:right w:val="none" w:sz="0" w:space="0" w:color="auto"/>
          </w:divBdr>
        </w:div>
        <w:div w:id="1929267580">
          <w:marLeft w:val="0"/>
          <w:marRight w:val="0"/>
          <w:marTop w:val="0"/>
          <w:marBottom w:val="0"/>
          <w:divBdr>
            <w:top w:val="none" w:sz="0" w:space="0" w:color="auto"/>
            <w:left w:val="none" w:sz="0" w:space="0" w:color="auto"/>
            <w:bottom w:val="none" w:sz="0" w:space="0" w:color="auto"/>
            <w:right w:val="none" w:sz="0" w:space="0" w:color="auto"/>
          </w:divBdr>
        </w:div>
        <w:div w:id="1105418048">
          <w:marLeft w:val="0"/>
          <w:marRight w:val="0"/>
          <w:marTop w:val="0"/>
          <w:marBottom w:val="0"/>
          <w:divBdr>
            <w:top w:val="none" w:sz="0" w:space="0" w:color="auto"/>
            <w:left w:val="none" w:sz="0" w:space="0" w:color="auto"/>
            <w:bottom w:val="none" w:sz="0" w:space="0" w:color="auto"/>
            <w:right w:val="none" w:sz="0" w:space="0" w:color="auto"/>
          </w:divBdr>
        </w:div>
        <w:div w:id="1619490253">
          <w:marLeft w:val="0"/>
          <w:marRight w:val="0"/>
          <w:marTop w:val="0"/>
          <w:marBottom w:val="0"/>
          <w:divBdr>
            <w:top w:val="none" w:sz="0" w:space="0" w:color="auto"/>
            <w:left w:val="none" w:sz="0" w:space="0" w:color="auto"/>
            <w:bottom w:val="none" w:sz="0" w:space="0" w:color="auto"/>
            <w:right w:val="none" w:sz="0" w:space="0" w:color="auto"/>
          </w:divBdr>
        </w:div>
        <w:div w:id="1513033914">
          <w:marLeft w:val="0"/>
          <w:marRight w:val="0"/>
          <w:marTop w:val="0"/>
          <w:marBottom w:val="0"/>
          <w:divBdr>
            <w:top w:val="none" w:sz="0" w:space="0" w:color="auto"/>
            <w:left w:val="none" w:sz="0" w:space="0" w:color="auto"/>
            <w:bottom w:val="none" w:sz="0" w:space="0" w:color="auto"/>
            <w:right w:val="none" w:sz="0" w:space="0" w:color="auto"/>
          </w:divBdr>
        </w:div>
        <w:div w:id="994140137">
          <w:marLeft w:val="0"/>
          <w:marRight w:val="0"/>
          <w:marTop w:val="0"/>
          <w:marBottom w:val="0"/>
          <w:divBdr>
            <w:top w:val="none" w:sz="0" w:space="0" w:color="auto"/>
            <w:left w:val="none" w:sz="0" w:space="0" w:color="auto"/>
            <w:bottom w:val="none" w:sz="0" w:space="0" w:color="auto"/>
            <w:right w:val="none" w:sz="0" w:space="0" w:color="auto"/>
          </w:divBdr>
        </w:div>
        <w:div w:id="282659940">
          <w:marLeft w:val="0"/>
          <w:marRight w:val="0"/>
          <w:marTop w:val="0"/>
          <w:marBottom w:val="0"/>
          <w:divBdr>
            <w:top w:val="none" w:sz="0" w:space="0" w:color="auto"/>
            <w:left w:val="none" w:sz="0" w:space="0" w:color="auto"/>
            <w:bottom w:val="none" w:sz="0" w:space="0" w:color="auto"/>
            <w:right w:val="none" w:sz="0" w:space="0" w:color="auto"/>
          </w:divBdr>
        </w:div>
        <w:div w:id="1648052410">
          <w:marLeft w:val="0"/>
          <w:marRight w:val="0"/>
          <w:marTop w:val="0"/>
          <w:marBottom w:val="0"/>
          <w:divBdr>
            <w:top w:val="none" w:sz="0" w:space="0" w:color="auto"/>
            <w:left w:val="none" w:sz="0" w:space="0" w:color="auto"/>
            <w:bottom w:val="none" w:sz="0" w:space="0" w:color="auto"/>
            <w:right w:val="none" w:sz="0" w:space="0" w:color="auto"/>
          </w:divBdr>
        </w:div>
        <w:div w:id="675353319">
          <w:marLeft w:val="0"/>
          <w:marRight w:val="0"/>
          <w:marTop w:val="0"/>
          <w:marBottom w:val="0"/>
          <w:divBdr>
            <w:top w:val="none" w:sz="0" w:space="0" w:color="auto"/>
            <w:left w:val="none" w:sz="0" w:space="0" w:color="auto"/>
            <w:bottom w:val="none" w:sz="0" w:space="0" w:color="auto"/>
            <w:right w:val="none" w:sz="0" w:space="0" w:color="auto"/>
          </w:divBdr>
        </w:div>
        <w:div w:id="700323014">
          <w:marLeft w:val="0"/>
          <w:marRight w:val="0"/>
          <w:marTop w:val="0"/>
          <w:marBottom w:val="0"/>
          <w:divBdr>
            <w:top w:val="none" w:sz="0" w:space="0" w:color="auto"/>
            <w:left w:val="none" w:sz="0" w:space="0" w:color="auto"/>
            <w:bottom w:val="none" w:sz="0" w:space="0" w:color="auto"/>
            <w:right w:val="none" w:sz="0" w:space="0" w:color="auto"/>
          </w:divBdr>
        </w:div>
        <w:div w:id="1990206199">
          <w:marLeft w:val="0"/>
          <w:marRight w:val="0"/>
          <w:marTop w:val="0"/>
          <w:marBottom w:val="0"/>
          <w:divBdr>
            <w:top w:val="none" w:sz="0" w:space="0" w:color="auto"/>
            <w:left w:val="none" w:sz="0" w:space="0" w:color="auto"/>
            <w:bottom w:val="none" w:sz="0" w:space="0" w:color="auto"/>
            <w:right w:val="none" w:sz="0" w:space="0" w:color="auto"/>
          </w:divBdr>
        </w:div>
        <w:div w:id="2025934990">
          <w:marLeft w:val="0"/>
          <w:marRight w:val="0"/>
          <w:marTop w:val="0"/>
          <w:marBottom w:val="0"/>
          <w:divBdr>
            <w:top w:val="none" w:sz="0" w:space="0" w:color="auto"/>
            <w:left w:val="none" w:sz="0" w:space="0" w:color="auto"/>
            <w:bottom w:val="none" w:sz="0" w:space="0" w:color="auto"/>
            <w:right w:val="none" w:sz="0" w:space="0" w:color="auto"/>
          </w:divBdr>
        </w:div>
        <w:div w:id="79958589">
          <w:marLeft w:val="0"/>
          <w:marRight w:val="0"/>
          <w:marTop w:val="0"/>
          <w:marBottom w:val="0"/>
          <w:divBdr>
            <w:top w:val="none" w:sz="0" w:space="0" w:color="auto"/>
            <w:left w:val="none" w:sz="0" w:space="0" w:color="auto"/>
            <w:bottom w:val="none" w:sz="0" w:space="0" w:color="auto"/>
            <w:right w:val="none" w:sz="0" w:space="0" w:color="auto"/>
          </w:divBdr>
        </w:div>
        <w:div w:id="681080621">
          <w:marLeft w:val="0"/>
          <w:marRight w:val="0"/>
          <w:marTop w:val="0"/>
          <w:marBottom w:val="0"/>
          <w:divBdr>
            <w:top w:val="none" w:sz="0" w:space="0" w:color="auto"/>
            <w:left w:val="none" w:sz="0" w:space="0" w:color="auto"/>
            <w:bottom w:val="none" w:sz="0" w:space="0" w:color="auto"/>
            <w:right w:val="none" w:sz="0" w:space="0" w:color="auto"/>
          </w:divBdr>
        </w:div>
        <w:div w:id="562957812">
          <w:marLeft w:val="0"/>
          <w:marRight w:val="0"/>
          <w:marTop w:val="0"/>
          <w:marBottom w:val="0"/>
          <w:divBdr>
            <w:top w:val="none" w:sz="0" w:space="0" w:color="auto"/>
            <w:left w:val="none" w:sz="0" w:space="0" w:color="auto"/>
            <w:bottom w:val="none" w:sz="0" w:space="0" w:color="auto"/>
            <w:right w:val="none" w:sz="0" w:space="0" w:color="auto"/>
          </w:divBdr>
        </w:div>
        <w:div w:id="12884669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i.mnr.gov.cn/202307/P020230711649369042767.docx" TargetMode="External"/><Relationship Id="rId3" Type="http://schemas.openxmlformats.org/officeDocument/2006/relationships/settings" Target="settings.xml"/><Relationship Id="rId7" Type="http://schemas.openxmlformats.org/officeDocument/2006/relationships/hyperlink" Target="http://gi.mnr.gov.cn/202307/P020230711649359063654.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gi.mnr.gov.cn/202307/P020230711649351140887.docx" TargetMode="External"/><Relationship Id="rId5" Type="http://schemas.openxmlformats.org/officeDocument/2006/relationships/hyperlink" Target="http://gi.mnr.gov.cn/202307/P020230711649344058642.docx"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396</Words>
  <Characters>2263</Characters>
  <Application>Microsoft Office Word</Application>
  <DocSecurity>0</DocSecurity>
  <Lines>18</Lines>
  <Paragraphs>5</Paragraphs>
  <ScaleCrop>false</ScaleCrop>
  <Company/>
  <LinksUpToDate>false</LinksUpToDate>
  <CharactersWithSpaces>2654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2024-04-19T06:51:00Z</dcterms:created>
  <dcterms:modified xsi:type="dcterms:W3CDTF">2024-04-19T06:52:00Z</dcterms:modified>
</cp:coreProperties>
</file>