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
        <w:gridCol w:w="987"/>
        <w:gridCol w:w="33"/>
        <w:gridCol w:w="987"/>
        <w:gridCol w:w="33"/>
        <w:gridCol w:w="1441"/>
        <w:gridCol w:w="33"/>
        <w:gridCol w:w="5920"/>
        <w:gridCol w:w="33"/>
        <w:gridCol w:w="1384"/>
        <w:gridCol w:w="33"/>
        <w:gridCol w:w="1384"/>
        <w:gridCol w:w="33"/>
        <w:gridCol w:w="1384"/>
        <w:gridCol w:w="33"/>
      </w:tblGrid>
      <w:tr w:rsidR="00F6607E" w14:paraId="1B30688C" w14:textId="77777777" w:rsidTr="00700762">
        <w:trPr>
          <w:gridBefore w:val="1"/>
          <w:wBefore w:w="33" w:type="dxa"/>
          <w:cantSplit/>
          <w:tblHeader/>
          <w:jc w:val="center"/>
        </w:trPr>
        <w:tc>
          <w:tcPr>
            <w:tcW w:w="2040" w:type="dxa"/>
            <w:gridSpan w:val="4"/>
            <w:vAlign w:val="center"/>
          </w:tcPr>
          <w:p w14:paraId="39EFF487" w14:textId="073D69D6" w:rsidR="00F6607E" w:rsidRPr="00700762" w:rsidRDefault="00F6607E" w:rsidP="00B33DBC">
            <w:pPr>
              <w:overflowPunct w:val="0"/>
              <w:spacing w:line="240" w:lineRule="auto"/>
              <w:ind w:firstLineChars="0" w:firstLine="0"/>
              <w:rPr>
                <w:rFonts w:ascii="Times New Roman" w:hAnsi="Times New Roman" w:cs="宋体" w:hint="eastAsia"/>
                <w:b/>
                <w:bCs/>
              </w:rPr>
            </w:pPr>
            <w:r w:rsidRPr="00700762">
              <w:rPr>
                <w:rFonts w:ascii="Times New Roman" w:hAnsi="Times New Roman" w:cs="宋体" w:hint="eastAsia"/>
                <w:b/>
                <w:bCs/>
              </w:rPr>
              <w:t>检查内容</w:t>
            </w:r>
          </w:p>
        </w:tc>
        <w:tc>
          <w:tcPr>
            <w:tcW w:w="1474" w:type="dxa"/>
            <w:gridSpan w:val="2"/>
            <w:vAlign w:val="center"/>
          </w:tcPr>
          <w:p w14:paraId="4584A09B" w14:textId="4ADED059" w:rsidR="00F6607E" w:rsidRPr="00700762" w:rsidRDefault="00F6607E" w:rsidP="00B33DBC">
            <w:pPr>
              <w:overflowPunct w:val="0"/>
              <w:spacing w:line="240" w:lineRule="auto"/>
              <w:ind w:firstLineChars="0" w:firstLine="0"/>
              <w:rPr>
                <w:rFonts w:ascii="Times New Roman" w:hAnsi="Times New Roman" w:cs="宋体" w:hint="eastAsia"/>
                <w:b/>
                <w:bCs/>
              </w:rPr>
            </w:pPr>
            <w:r w:rsidRPr="00700762">
              <w:rPr>
                <w:rFonts w:ascii="Times New Roman" w:hAnsi="Times New Roman" w:cs="宋体" w:hint="eastAsia"/>
                <w:b/>
                <w:bCs/>
              </w:rPr>
              <w:t>检查方法</w:t>
            </w:r>
          </w:p>
        </w:tc>
        <w:tc>
          <w:tcPr>
            <w:tcW w:w="5953" w:type="dxa"/>
            <w:gridSpan w:val="2"/>
            <w:vAlign w:val="center"/>
          </w:tcPr>
          <w:p w14:paraId="0C1231AE" w14:textId="4DB6FAFC" w:rsidR="00F6607E" w:rsidRPr="00700762" w:rsidRDefault="00F6607E" w:rsidP="00B33DBC">
            <w:pPr>
              <w:spacing w:line="240" w:lineRule="auto"/>
              <w:ind w:firstLine="422"/>
              <w:rPr>
                <w:rFonts w:ascii="Times New Roman" w:hAnsi="Times New Roman" w:cs="宋体" w:hint="eastAsia"/>
                <w:b/>
                <w:bCs/>
              </w:rPr>
            </w:pPr>
            <w:r w:rsidRPr="00700762">
              <w:rPr>
                <w:rFonts w:ascii="Times New Roman" w:hAnsi="Times New Roman" w:cs="宋体" w:hint="eastAsia"/>
                <w:b/>
                <w:bCs/>
              </w:rPr>
              <w:t>检查依据</w:t>
            </w:r>
          </w:p>
        </w:tc>
        <w:tc>
          <w:tcPr>
            <w:tcW w:w="1417" w:type="dxa"/>
            <w:gridSpan w:val="2"/>
            <w:vAlign w:val="center"/>
          </w:tcPr>
          <w:p w14:paraId="31088BBF" w14:textId="233C614A" w:rsidR="00F6607E" w:rsidRPr="00700762" w:rsidRDefault="00F6607E" w:rsidP="00B33DBC">
            <w:pPr>
              <w:overflowPunct w:val="0"/>
              <w:spacing w:line="240" w:lineRule="auto"/>
              <w:ind w:firstLineChars="0" w:firstLine="0"/>
              <w:rPr>
                <w:rFonts w:ascii="Times New Roman" w:hAnsi="Times New Roman" w:cs="宋体"/>
                <w:b/>
                <w:bCs/>
              </w:rPr>
            </w:pPr>
            <w:r w:rsidRPr="00700762">
              <w:rPr>
                <w:rFonts w:ascii="Times New Roman" w:hAnsi="Times New Roman" w:cs="宋体" w:hint="eastAsia"/>
                <w:b/>
                <w:bCs/>
              </w:rPr>
              <w:t>现状描述</w:t>
            </w:r>
          </w:p>
        </w:tc>
        <w:tc>
          <w:tcPr>
            <w:tcW w:w="1417" w:type="dxa"/>
            <w:gridSpan w:val="2"/>
            <w:vAlign w:val="center"/>
          </w:tcPr>
          <w:p w14:paraId="2FE5E652" w14:textId="1D23E805" w:rsidR="00F6607E" w:rsidRPr="00700762" w:rsidRDefault="00F6607E" w:rsidP="00B33DBC">
            <w:pPr>
              <w:overflowPunct w:val="0"/>
              <w:spacing w:line="240" w:lineRule="auto"/>
              <w:ind w:firstLineChars="0" w:firstLine="0"/>
              <w:rPr>
                <w:rFonts w:ascii="Times New Roman" w:hAnsi="Times New Roman" w:cs="宋体"/>
                <w:b/>
                <w:bCs/>
              </w:rPr>
            </w:pPr>
            <w:r w:rsidRPr="00700762">
              <w:rPr>
                <w:rFonts w:ascii="Times New Roman" w:hAnsi="Times New Roman" w:cs="宋体" w:hint="eastAsia"/>
                <w:b/>
                <w:bCs/>
              </w:rPr>
              <w:t>存在问题</w:t>
            </w:r>
          </w:p>
        </w:tc>
        <w:tc>
          <w:tcPr>
            <w:tcW w:w="1417" w:type="dxa"/>
            <w:gridSpan w:val="2"/>
            <w:vAlign w:val="center"/>
          </w:tcPr>
          <w:p w14:paraId="21C199A7" w14:textId="6BF8A1B9" w:rsidR="00F6607E" w:rsidRPr="00700762" w:rsidRDefault="00F6607E" w:rsidP="00B33DBC">
            <w:pPr>
              <w:overflowPunct w:val="0"/>
              <w:spacing w:line="240" w:lineRule="auto"/>
              <w:ind w:firstLineChars="0" w:firstLine="0"/>
              <w:rPr>
                <w:rFonts w:ascii="Times New Roman" w:hAnsi="Times New Roman" w:cs="宋体"/>
                <w:b/>
                <w:bCs/>
              </w:rPr>
            </w:pPr>
            <w:r w:rsidRPr="00700762">
              <w:rPr>
                <w:rFonts w:ascii="Times New Roman" w:hAnsi="Times New Roman" w:cs="宋体" w:hint="eastAsia"/>
                <w:b/>
                <w:bCs/>
              </w:rPr>
              <w:t>处置措施</w:t>
            </w:r>
          </w:p>
        </w:tc>
      </w:tr>
      <w:tr w:rsidR="00F6607E" w14:paraId="107FBA1C" w14:textId="77777777" w:rsidTr="00F6607E">
        <w:trPr>
          <w:gridBefore w:val="1"/>
          <w:wBefore w:w="33" w:type="dxa"/>
          <w:cantSplit/>
          <w:jc w:val="center"/>
        </w:trPr>
        <w:tc>
          <w:tcPr>
            <w:tcW w:w="1020" w:type="dxa"/>
            <w:gridSpan w:val="2"/>
            <w:vAlign w:val="center"/>
          </w:tcPr>
          <w:p w14:paraId="0C35B33B" w14:textId="77777777" w:rsidR="00F6607E" w:rsidRDefault="00F6607E" w:rsidP="00B33DBC">
            <w:pPr>
              <w:overflowPunct w:val="0"/>
              <w:spacing w:line="240" w:lineRule="auto"/>
              <w:ind w:firstLineChars="0" w:firstLine="0"/>
              <w:rPr>
                <w:rFonts w:ascii="Times New Roman" w:hAnsi="Times New Roman" w:cs="宋体" w:hint="eastAsia"/>
              </w:rPr>
            </w:pPr>
            <w:r>
              <w:rPr>
                <w:rFonts w:ascii="Times New Roman" w:hAnsi="Times New Roman" w:cs="宋体" w:hint="eastAsia"/>
              </w:rPr>
              <w:t>4</w:t>
            </w:r>
            <w:r>
              <w:rPr>
                <w:rFonts w:ascii="Times New Roman" w:hAnsi="Times New Roman" w:cs="宋体"/>
              </w:rPr>
              <w:t>.</w:t>
            </w:r>
            <w:r>
              <w:rPr>
                <w:rFonts w:ascii="Times New Roman" w:hAnsi="Times New Roman" w:cs="宋体" w:hint="eastAsia"/>
              </w:rPr>
              <w:t>禁止使用的设备、材料及工艺</w:t>
            </w:r>
          </w:p>
        </w:tc>
        <w:tc>
          <w:tcPr>
            <w:tcW w:w="1020" w:type="dxa"/>
            <w:gridSpan w:val="2"/>
            <w:vAlign w:val="center"/>
          </w:tcPr>
          <w:p w14:paraId="03298FAA" w14:textId="77777777" w:rsidR="00F6607E" w:rsidRDefault="00F6607E" w:rsidP="00B33DBC">
            <w:pPr>
              <w:overflowPunct w:val="0"/>
              <w:spacing w:line="240" w:lineRule="auto"/>
              <w:ind w:firstLineChars="0" w:firstLine="0"/>
              <w:rPr>
                <w:rFonts w:ascii="Times New Roman" w:hAnsi="Times New Roman" w:cs="宋体" w:hint="eastAsia"/>
              </w:rPr>
            </w:pPr>
            <w:r>
              <w:rPr>
                <w:rFonts w:ascii="Times New Roman" w:hAnsi="Times New Roman" w:cs="宋体" w:hint="eastAsia"/>
              </w:rPr>
              <w:t>禁止使用的设备、材料及工艺。</w:t>
            </w:r>
          </w:p>
        </w:tc>
        <w:tc>
          <w:tcPr>
            <w:tcW w:w="1474" w:type="dxa"/>
            <w:gridSpan w:val="2"/>
            <w:vAlign w:val="center"/>
          </w:tcPr>
          <w:p w14:paraId="6C792D32" w14:textId="77777777" w:rsidR="00F6607E" w:rsidRDefault="00F6607E" w:rsidP="00B33DBC">
            <w:pPr>
              <w:overflowPunct w:val="0"/>
              <w:spacing w:line="240" w:lineRule="auto"/>
              <w:ind w:firstLineChars="0" w:firstLine="0"/>
              <w:rPr>
                <w:rFonts w:ascii="Times New Roman" w:hAnsi="Times New Roman" w:cs="宋体" w:hint="eastAsia"/>
              </w:rPr>
            </w:pPr>
            <w:r>
              <w:rPr>
                <w:rFonts w:ascii="Times New Roman" w:hAnsi="Times New Roman" w:cs="宋体" w:hint="eastAsia"/>
              </w:rPr>
              <w:t>现场抽查。</w:t>
            </w:r>
          </w:p>
        </w:tc>
        <w:tc>
          <w:tcPr>
            <w:tcW w:w="5953" w:type="dxa"/>
            <w:gridSpan w:val="2"/>
            <w:vAlign w:val="center"/>
          </w:tcPr>
          <w:p w14:paraId="7FC7B918"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《金属非金属矿山重大事故隐患判定标准》</w:t>
            </w:r>
          </w:p>
          <w:p w14:paraId="2C14CE13"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一、金属非金属地下矿山重大事故隐患</w:t>
            </w:r>
          </w:p>
          <w:p w14:paraId="35326839" w14:textId="77777777" w:rsidR="00F6607E" w:rsidRDefault="00F6607E" w:rsidP="00B33DBC">
            <w:pPr>
              <w:pStyle w:val="a0"/>
              <w:spacing w:line="240" w:lineRule="auto"/>
              <w:ind w:firstLine="420"/>
              <w:rPr>
                <w:rFonts w:ascii="Times New Roman" w:hAnsi="Times New Roman" w:cs="Calibri" w:hint="eastAsia"/>
              </w:rPr>
            </w:pPr>
            <w:r>
              <w:rPr>
                <w:rFonts w:ascii="Times New Roman" w:hAnsi="Times New Roman" w:cs="Calibri"/>
              </w:rPr>
              <w:t>（二）使用国家明令禁止使用的设备、材料或者工艺</w:t>
            </w:r>
            <w:r>
              <w:rPr>
                <w:rFonts w:ascii="Times New Roman" w:hAnsi="Times New Roman" w:cs="Calibri" w:hint="eastAsia"/>
              </w:rPr>
              <w:t>。</w:t>
            </w:r>
          </w:p>
          <w:p w14:paraId="69D52AD2" w14:textId="77777777" w:rsidR="00F6607E" w:rsidRDefault="00F6607E" w:rsidP="00B33DBC">
            <w:pPr>
              <w:spacing w:line="240" w:lineRule="auto"/>
              <w:ind w:firstLine="422"/>
              <w:jc w:val="left"/>
              <w:rPr>
                <w:rFonts w:ascii="Times New Roman" w:hAnsi="Times New Roman" w:cs="宋体"/>
                <w:b/>
              </w:rPr>
            </w:pPr>
            <w:r>
              <w:rPr>
                <w:rFonts w:ascii="Times New Roman" w:hAnsi="Times New Roman" w:cs="宋体" w:hint="eastAsia"/>
                <w:b/>
              </w:rPr>
              <w:t>《关于发布金属非金属矿山禁止使用的设备及工艺目录（第一批）的通知》（安监总管一〔</w:t>
            </w:r>
            <w:r>
              <w:rPr>
                <w:rFonts w:ascii="Times New Roman" w:hAnsi="Times New Roman" w:cs="宋体" w:hint="eastAsia"/>
                <w:b/>
              </w:rPr>
              <w:t>2013</w:t>
            </w:r>
            <w:r>
              <w:rPr>
                <w:rFonts w:ascii="Times New Roman" w:hAnsi="Times New Roman" w:cs="宋体" w:hint="eastAsia"/>
                <w:b/>
              </w:rPr>
              <w:t>〕</w:t>
            </w:r>
            <w:r>
              <w:rPr>
                <w:rFonts w:ascii="Times New Roman" w:hAnsi="Times New Roman" w:cs="宋体" w:hint="eastAsia"/>
                <w:b/>
              </w:rPr>
              <w:t>101</w:t>
            </w:r>
            <w:r>
              <w:rPr>
                <w:rFonts w:ascii="Times New Roman" w:hAnsi="Times New Roman" w:cs="宋体" w:hint="eastAsia"/>
                <w:b/>
              </w:rPr>
              <w:t>号）</w:t>
            </w:r>
          </w:p>
          <w:p w14:paraId="31D8AB82" w14:textId="77777777" w:rsidR="00F6607E" w:rsidRDefault="00F6607E" w:rsidP="00B33DBC">
            <w:pPr>
              <w:pStyle w:val="a0"/>
              <w:spacing w:line="240" w:lineRule="auto"/>
              <w:ind w:firstLine="422"/>
              <w:rPr>
                <w:rFonts w:ascii="Times New Roman" w:hAnsi="Times New Roman" w:cs="Calibri" w:hint="eastAsia"/>
                <w:b/>
                <w:bCs/>
              </w:rPr>
            </w:pPr>
            <w:r>
              <w:rPr>
                <w:rFonts w:ascii="Times New Roman" w:hAnsi="Times New Roman" w:cs="Calibri" w:hint="eastAsia"/>
                <w:b/>
                <w:bCs/>
              </w:rPr>
              <w:t>《关于发布金属非金属矿山禁止使用的设备及工艺目录（第二批）的通知》（安监总管一〔</w:t>
            </w:r>
            <w:r>
              <w:rPr>
                <w:rFonts w:ascii="Times New Roman" w:hAnsi="Times New Roman" w:cs="Calibri" w:hint="eastAsia"/>
                <w:b/>
                <w:bCs/>
              </w:rPr>
              <w:t>2015</w:t>
            </w:r>
            <w:r>
              <w:rPr>
                <w:rFonts w:ascii="Times New Roman" w:hAnsi="Times New Roman" w:cs="Calibri" w:hint="eastAsia"/>
                <w:b/>
                <w:bCs/>
              </w:rPr>
              <w:t>〕</w:t>
            </w:r>
            <w:r>
              <w:rPr>
                <w:rFonts w:ascii="Times New Roman" w:hAnsi="Times New Roman" w:cs="Calibri" w:hint="eastAsia"/>
                <w:b/>
                <w:bCs/>
              </w:rPr>
              <w:t>13</w:t>
            </w:r>
            <w:r>
              <w:rPr>
                <w:rFonts w:ascii="Times New Roman" w:hAnsi="Times New Roman" w:cs="Calibri" w:hint="eastAsia"/>
                <w:b/>
                <w:bCs/>
              </w:rPr>
              <w:t>号）</w:t>
            </w:r>
          </w:p>
          <w:p w14:paraId="60385F4F"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《金属非金属矿山安全规程》</w:t>
            </w:r>
          </w:p>
          <w:p w14:paraId="6DAD45AB" w14:textId="77777777" w:rsidR="00F6607E" w:rsidRDefault="00F6607E" w:rsidP="00B33DBC">
            <w:pPr>
              <w:pStyle w:val="a0"/>
              <w:spacing w:line="240" w:lineRule="auto"/>
              <w:ind w:firstLine="420"/>
              <w:rPr>
                <w:rFonts w:ascii="Times New Roman" w:hAnsi="Times New Roman"/>
              </w:rPr>
            </w:pPr>
            <w:r>
              <w:rPr>
                <w:rFonts w:ascii="Times New Roman" w:hAnsi="Times New Roman"/>
              </w:rPr>
              <w:t>6.7.3.1</w:t>
            </w:r>
            <w:r>
              <w:rPr>
                <w:rFonts w:ascii="Times New Roman" w:hAnsi="Times New Roman"/>
              </w:rPr>
              <w:t xml:space="preserve">　井下不应釆用油浸式电气设备。</w:t>
            </w:r>
          </w:p>
          <w:p w14:paraId="2B56A782" w14:textId="77777777" w:rsidR="00F6607E" w:rsidRDefault="00F6607E" w:rsidP="00B33DBC">
            <w:pPr>
              <w:spacing w:line="240" w:lineRule="auto"/>
              <w:ind w:firstLine="420"/>
              <w:rPr>
                <w:rFonts w:ascii="Times New Roman" w:hAnsi="Times New Roman" w:hint="eastAsia"/>
              </w:rPr>
            </w:pPr>
            <w:r>
              <w:rPr>
                <w:rFonts w:ascii="Times New Roman" w:hAnsi="Times New Roman" w:cs="Times New Roman"/>
              </w:rPr>
              <w:t>6.9.1.17</w:t>
            </w:r>
            <w:r>
              <w:rPr>
                <w:rFonts w:ascii="Times New Roman" w:hAnsi="Times New Roman" w:cs="Times New Roman"/>
              </w:rPr>
              <w:t xml:space="preserve">　井</w:t>
            </w:r>
            <w:r>
              <w:rPr>
                <w:rFonts w:ascii="Times New Roman" w:hAnsi="Times New Roman" w:hint="eastAsia"/>
              </w:rPr>
              <w:t>下不得使用乙炔发生装置。</w:t>
            </w:r>
          </w:p>
          <w:p w14:paraId="3664FFC4"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《关于加强非煤矿山安全生产工作的指导意见》</w:t>
            </w:r>
          </w:p>
          <w:p w14:paraId="5BB4DE5D" w14:textId="77777777" w:rsidR="00F6607E" w:rsidRDefault="00F6607E" w:rsidP="00B33DBC">
            <w:pPr>
              <w:spacing w:line="240" w:lineRule="auto"/>
              <w:ind w:firstLine="420"/>
              <w:rPr>
                <w:rFonts w:ascii="Times New Roman" w:hAnsi="Times New Roman" w:cs="宋体"/>
              </w:rPr>
            </w:pPr>
            <w:r>
              <w:rPr>
                <w:rFonts w:ascii="Times New Roman" w:hAnsi="Times New Roman" w:cs="宋体" w:hint="eastAsia"/>
              </w:rPr>
              <w:t>三、严格安全生产基本条件</w:t>
            </w:r>
          </w:p>
          <w:p w14:paraId="44C37FA9" w14:textId="77777777" w:rsidR="00F6607E" w:rsidRDefault="00F6607E" w:rsidP="00B33DBC">
            <w:pPr>
              <w:spacing w:line="240" w:lineRule="auto"/>
              <w:ind w:firstLine="420"/>
              <w:rPr>
                <w:rFonts w:ascii="Times New Roman" w:hAnsi="Times New Roman" w:cs="宋体"/>
              </w:rPr>
            </w:pPr>
            <w:r>
              <w:rPr>
                <w:rFonts w:ascii="Times New Roman" w:hAnsi="Times New Roman" w:cs="宋体" w:hint="eastAsia"/>
              </w:rPr>
              <w:t>（五）严格金属非金属地下矿山安全生产基本条件。</w:t>
            </w:r>
          </w:p>
          <w:p w14:paraId="1B054320" w14:textId="77777777" w:rsidR="00F6607E" w:rsidRDefault="00F6607E" w:rsidP="00B33DBC">
            <w:pPr>
              <w:spacing w:line="240" w:lineRule="auto"/>
              <w:ind w:firstLine="420"/>
              <w:rPr>
                <w:rFonts w:ascii="Times New Roman" w:hAnsi="Times New Roman" w:hint="eastAsia"/>
              </w:rPr>
            </w:pPr>
            <w:r>
              <w:rPr>
                <w:rFonts w:ascii="Times New Roman" w:hAnsi="Times New Roman" w:cs="宋体"/>
              </w:rPr>
              <w:t>3.</w:t>
            </w:r>
            <w:r>
              <w:rPr>
                <w:rFonts w:ascii="Times New Roman" w:hAnsi="Times New Roman" w:cs="宋体" w:hint="eastAsia"/>
              </w:rPr>
              <w:t>提升运输系统。</w:t>
            </w:r>
            <w:r>
              <w:rPr>
                <w:rFonts w:ascii="宋体" w:hAnsi="宋体" w:cs="宋体" w:hint="eastAsia"/>
              </w:rPr>
              <w:t>……</w:t>
            </w:r>
            <w:r>
              <w:rPr>
                <w:rFonts w:ascii="Times New Roman" w:hAnsi="Times New Roman" w:cs="宋体" w:hint="eastAsia"/>
              </w:rPr>
              <w:t>，新建提升深度超过</w:t>
            </w:r>
            <w:r>
              <w:rPr>
                <w:rFonts w:ascii="Times New Roman" w:hAnsi="Times New Roman" w:cs="宋体"/>
              </w:rPr>
              <w:t>300</w:t>
            </w:r>
            <w:r>
              <w:rPr>
                <w:rFonts w:ascii="Times New Roman" w:hAnsi="Times New Roman" w:cs="宋体" w:hint="eastAsia"/>
              </w:rPr>
              <w:t>米且单次提升超过</w:t>
            </w:r>
            <w:r>
              <w:rPr>
                <w:rFonts w:ascii="Times New Roman" w:hAnsi="Times New Roman" w:cs="宋体"/>
              </w:rPr>
              <w:t>9</w:t>
            </w:r>
            <w:r>
              <w:rPr>
                <w:rFonts w:ascii="Times New Roman" w:hAnsi="Times New Roman" w:cs="宋体" w:hint="eastAsia"/>
              </w:rPr>
              <w:t>人的竖井提升系统，严禁使用单绳缠绕式提升机。新建、改建、扩建金属非金属地下矿山斜井严禁使用插爪式人车</w:t>
            </w:r>
            <w:r>
              <w:rPr>
                <w:rFonts w:ascii="宋体" w:hAnsi="宋体" w:cs="宋体"/>
              </w:rPr>
              <w:t>……</w:t>
            </w:r>
            <w:r>
              <w:rPr>
                <w:rFonts w:ascii="Times New Roman" w:hAnsi="Times New Roman" w:cs="宋体" w:hint="eastAsia"/>
              </w:rPr>
              <w:t>。</w:t>
            </w:r>
          </w:p>
        </w:tc>
        <w:tc>
          <w:tcPr>
            <w:tcW w:w="1417" w:type="dxa"/>
            <w:gridSpan w:val="2"/>
            <w:vAlign w:val="center"/>
          </w:tcPr>
          <w:p w14:paraId="33ECD61A"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1FDE751F"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343FD94A" w14:textId="77777777" w:rsidR="00F6607E" w:rsidRDefault="00F6607E" w:rsidP="00B33DBC">
            <w:pPr>
              <w:overflowPunct w:val="0"/>
              <w:spacing w:line="240" w:lineRule="auto"/>
              <w:ind w:firstLineChars="0" w:firstLine="0"/>
              <w:rPr>
                <w:rFonts w:ascii="Times New Roman" w:hAnsi="Times New Roman" w:cs="宋体"/>
              </w:rPr>
            </w:pPr>
          </w:p>
        </w:tc>
      </w:tr>
      <w:tr w:rsidR="00F6607E" w14:paraId="296F1A35" w14:textId="77777777" w:rsidTr="00F6607E">
        <w:trPr>
          <w:gridBefore w:val="1"/>
          <w:wBefore w:w="33" w:type="dxa"/>
          <w:cantSplit/>
          <w:jc w:val="center"/>
        </w:trPr>
        <w:tc>
          <w:tcPr>
            <w:tcW w:w="1020" w:type="dxa"/>
            <w:gridSpan w:val="2"/>
            <w:vAlign w:val="center"/>
          </w:tcPr>
          <w:p w14:paraId="0F138FED"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rPr>
              <w:t>5.</w:t>
            </w:r>
            <w:r>
              <w:rPr>
                <w:rFonts w:ascii="Times New Roman" w:hAnsi="Times New Roman" w:cs="宋体" w:hint="eastAsia"/>
              </w:rPr>
              <w:t>电气设施</w:t>
            </w:r>
          </w:p>
        </w:tc>
        <w:tc>
          <w:tcPr>
            <w:tcW w:w="1020" w:type="dxa"/>
            <w:gridSpan w:val="2"/>
            <w:vAlign w:val="center"/>
          </w:tcPr>
          <w:p w14:paraId="7C854312"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主变压器设置。</w:t>
            </w:r>
          </w:p>
        </w:tc>
        <w:tc>
          <w:tcPr>
            <w:tcW w:w="1474" w:type="dxa"/>
            <w:gridSpan w:val="2"/>
            <w:vAlign w:val="center"/>
          </w:tcPr>
          <w:p w14:paraId="1F6B10C9"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查阅设计并结合现场检查。</w:t>
            </w:r>
          </w:p>
        </w:tc>
        <w:tc>
          <w:tcPr>
            <w:tcW w:w="5953" w:type="dxa"/>
            <w:gridSpan w:val="2"/>
            <w:vAlign w:val="center"/>
          </w:tcPr>
          <w:p w14:paraId="696FC39D" w14:textId="77777777" w:rsidR="00F6607E" w:rsidRDefault="00F6607E" w:rsidP="00B33DBC">
            <w:pPr>
              <w:spacing w:line="240" w:lineRule="auto"/>
              <w:ind w:firstLine="422"/>
              <w:jc w:val="left"/>
              <w:rPr>
                <w:rFonts w:ascii="Times New Roman" w:hAnsi="Times New Roman" w:cs="宋体" w:hint="eastAsia"/>
                <w:b/>
              </w:rPr>
            </w:pPr>
            <w:r>
              <w:rPr>
                <w:rFonts w:ascii="Times New Roman" w:hAnsi="Times New Roman" w:cs="宋体" w:hint="eastAsia"/>
                <w:b/>
              </w:rPr>
              <w:t>《金属非金属矿山安全规程》</w:t>
            </w:r>
          </w:p>
          <w:p w14:paraId="7FB03AA5"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5.6.1.2</w:t>
            </w:r>
            <w:r>
              <w:rPr>
                <w:rFonts w:ascii="Times New Roman" w:hAnsi="Times New Roman" w:cs="宋体" w:hint="eastAsia"/>
              </w:rPr>
              <w:t xml:space="preserve">　主变电所主变压器设置应遵守以下规定：</w:t>
            </w:r>
          </w:p>
          <w:p w14:paraId="26C6B943"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——矿山一级负荷的两个电源均需经主变压器变压时，应釆用</w:t>
            </w:r>
            <w:r>
              <w:rPr>
                <w:rFonts w:ascii="Times New Roman" w:hAnsi="Times New Roman" w:cs="宋体" w:hint="eastAsia"/>
              </w:rPr>
              <w:t>2</w:t>
            </w:r>
            <w:r>
              <w:rPr>
                <w:rFonts w:ascii="Times New Roman" w:hAnsi="Times New Roman" w:cs="宋体" w:hint="eastAsia"/>
              </w:rPr>
              <w:t>台变压器；</w:t>
            </w:r>
          </w:p>
          <w:p w14:paraId="30BE19C8" w14:textId="77777777" w:rsidR="00F6607E" w:rsidRDefault="00F6607E" w:rsidP="00B33DBC">
            <w:pPr>
              <w:spacing w:line="240" w:lineRule="auto"/>
              <w:ind w:firstLine="420"/>
              <w:jc w:val="left"/>
              <w:rPr>
                <w:rFonts w:ascii="Times New Roman" w:hAnsi="Times New Roman" w:cs="宋体"/>
                <w:color w:val="2D2E2F"/>
                <w:lang w:val="zh-TW"/>
              </w:rPr>
            </w:pPr>
            <w:r>
              <w:rPr>
                <w:rFonts w:ascii="Times New Roman" w:hAnsi="Times New Roman" w:cs="宋体" w:hint="eastAsia"/>
              </w:rPr>
              <w:t>——主变压器为</w:t>
            </w:r>
            <w:r>
              <w:rPr>
                <w:rFonts w:ascii="Times New Roman" w:hAnsi="Times New Roman" w:cs="宋体" w:hint="eastAsia"/>
              </w:rPr>
              <w:t>2</w:t>
            </w:r>
            <w:r>
              <w:rPr>
                <w:rFonts w:ascii="Times New Roman" w:hAnsi="Times New Roman" w:cs="宋体" w:hint="eastAsia"/>
              </w:rPr>
              <w:t>台及以上时，若其中</w:t>
            </w:r>
            <w:r>
              <w:rPr>
                <w:rFonts w:ascii="Times New Roman" w:hAnsi="Times New Roman" w:cs="宋体" w:hint="eastAsia"/>
              </w:rPr>
              <w:t>1</w:t>
            </w:r>
            <w:r>
              <w:rPr>
                <w:rFonts w:ascii="Times New Roman" w:hAnsi="Times New Roman" w:cs="宋体" w:hint="eastAsia"/>
              </w:rPr>
              <w:t>台停止运行，其余变压器应至少保证一级负荷的供电。</w:t>
            </w:r>
          </w:p>
        </w:tc>
        <w:tc>
          <w:tcPr>
            <w:tcW w:w="1417" w:type="dxa"/>
            <w:gridSpan w:val="2"/>
            <w:vAlign w:val="center"/>
          </w:tcPr>
          <w:p w14:paraId="07EFCA5A"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1532971F"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50DC2B1F" w14:textId="77777777" w:rsidR="00F6607E" w:rsidRDefault="00F6607E" w:rsidP="00B33DBC">
            <w:pPr>
              <w:overflowPunct w:val="0"/>
              <w:spacing w:line="240" w:lineRule="auto"/>
              <w:ind w:firstLineChars="0" w:firstLine="0"/>
              <w:rPr>
                <w:rFonts w:ascii="Times New Roman" w:hAnsi="Times New Roman" w:cs="宋体"/>
              </w:rPr>
            </w:pPr>
          </w:p>
        </w:tc>
      </w:tr>
      <w:tr w:rsidR="00F6607E" w14:paraId="167CDFD2" w14:textId="77777777" w:rsidTr="00F6607E">
        <w:trPr>
          <w:gridBefore w:val="1"/>
          <w:wBefore w:w="33" w:type="dxa"/>
          <w:cantSplit/>
          <w:jc w:val="center"/>
        </w:trPr>
        <w:tc>
          <w:tcPr>
            <w:tcW w:w="1020" w:type="dxa"/>
            <w:gridSpan w:val="2"/>
            <w:vAlign w:val="center"/>
          </w:tcPr>
          <w:p w14:paraId="264D23D8" w14:textId="77777777" w:rsidR="00F6607E" w:rsidRDefault="00F6607E" w:rsidP="00B33DBC">
            <w:pPr>
              <w:overflowPunct w:val="0"/>
              <w:spacing w:line="240" w:lineRule="auto"/>
              <w:ind w:firstLineChars="0" w:firstLine="0"/>
              <w:rPr>
                <w:rFonts w:ascii="Times New Roman" w:hAnsi="Times New Roman" w:cs="宋体" w:hint="eastAsia"/>
              </w:rPr>
            </w:pPr>
            <w:r>
              <w:rPr>
                <w:rFonts w:ascii="Times New Roman" w:hAnsi="Times New Roman" w:cs="宋体"/>
              </w:rPr>
              <w:lastRenderedPageBreak/>
              <w:t>5</w:t>
            </w:r>
            <w:r>
              <w:rPr>
                <w:rFonts w:ascii="Times New Roman" w:hAnsi="Times New Roman" w:cs="宋体" w:hint="eastAsia"/>
              </w:rPr>
              <w:t>.</w:t>
            </w:r>
            <w:r>
              <w:rPr>
                <w:rFonts w:ascii="Times New Roman" w:hAnsi="Times New Roman" w:cs="宋体" w:hint="eastAsia"/>
              </w:rPr>
              <w:t>电气设施</w:t>
            </w:r>
          </w:p>
        </w:tc>
        <w:tc>
          <w:tcPr>
            <w:tcW w:w="1020" w:type="dxa"/>
            <w:gridSpan w:val="2"/>
            <w:vAlign w:val="center"/>
          </w:tcPr>
          <w:p w14:paraId="7864DEF8"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双电源双回路设置情况。</w:t>
            </w:r>
          </w:p>
        </w:tc>
        <w:tc>
          <w:tcPr>
            <w:tcW w:w="1474" w:type="dxa"/>
            <w:gridSpan w:val="2"/>
            <w:vAlign w:val="center"/>
          </w:tcPr>
          <w:p w14:paraId="50CAD790"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查阅图纸和现场检查。</w:t>
            </w:r>
          </w:p>
        </w:tc>
        <w:tc>
          <w:tcPr>
            <w:tcW w:w="5953" w:type="dxa"/>
            <w:gridSpan w:val="2"/>
            <w:vAlign w:val="center"/>
          </w:tcPr>
          <w:p w14:paraId="10BC98BD"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《金属非金属矿山重大事故隐患判定标准》</w:t>
            </w:r>
          </w:p>
          <w:p w14:paraId="2E3C53F1"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一、金属非金属地下矿山重大事故隐患</w:t>
            </w:r>
          </w:p>
          <w:p w14:paraId="5B6D10C0" w14:textId="77777777" w:rsidR="00F6607E" w:rsidRDefault="00F6607E" w:rsidP="00B33DBC">
            <w:pPr>
              <w:spacing w:line="240" w:lineRule="auto"/>
              <w:ind w:firstLine="420"/>
              <w:rPr>
                <w:rFonts w:ascii="Times New Roman" w:hAnsi="Times New Roman" w:cs="宋体"/>
              </w:rPr>
            </w:pPr>
            <w:r>
              <w:rPr>
                <w:rFonts w:ascii="Times New Roman" w:hAnsi="Times New Roman" w:cs="宋体" w:hint="eastAsia"/>
              </w:rPr>
              <w:t>（二十四）一级负荷未采用双重电源供电，或者双重电源中的任一电源不能满足全部一级负荷需要。</w:t>
            </w:r>
          </w:p>
          <w:p w14:paraId="02288B8B"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《金属非金属矿山安全规程》</w:t>
            </w:r>
          </w:p>
          <w:p w14:paraId="687DF549" w14:textId="77777777" w:rsidR="00F6607E" w:rsidRDefault="00F6607E" w:rsidP="00B33DBC">
            <w:pPr>
              <w:spacing w:line="240" w:lineRule="auto"/>
              <w:ind w:firstLine="420"/>
              <w:rPr>
                <w:rFonts w:ascii="Times New Roman" w:hAnsi="Times New Roman" w:cs="宋体"/>
              </w:rPr>
            </w:pPr>
            <w:r>
              <w:rPr>
                <w:rFonts w:ascii="Times New Roman" w:hAnsi="Times New Roman" w:cs="宋体" w:hint="eastAsia"/>
              </w:rPr>
              <w:t>6.7.1.1</w:t>
            </w:r>
            <w:r>
              <w:rPr>
                <w:rFonts w:ascii="Times New Roman" w:hAnsi="Times New Roman" w:cs="宋体" w:hint="eastAsia"/>
              </w:rPr>
              <w:t xml:space="preserve">　人员提升系统、矿井主要排水系统的负荷应作为一级负荷，由双重电源供电，任一电源的容量应至少满足矿山全部一级负荷电力需求。应采取措施保证两个电源不会同时损坏。</w:t>
            </w:r>
          </w:p>
          <w:p w14:paraId="4337EEA7" w14:textId="77777777" w:rsidR="00F6607E" w:rsidRDefault="00F6607E" w:rsidP="00B33DBC">
            <w:pPr>
              <w:pStyle w:val="a0"/>
              <w:spacing w:line="240" w:lineRule="auto"/>
              <w:ind w:firstLine="420"/>
              <w:rPr>
                <w:rFonts w:ascii="Times New Roman" w:hAnsi="Times New Roman" w:cs="Calibri"/>
              </w:rPr>
            </w:pPr>
            <w:r>
              <w:rPr>
                <w:rFonts w:ascii="Times New Roman" w:hAnsi="Times New Roman" w:cs="Calibri" w:hint="eastAsia"/>
              </w:rPr>
              <w:t>6.7.1.5</w:t>
            </w:r>
            <w:r>
              <w:rPr>
                <w:rFonts w:ascii="Times New Roman" w:hAnsi="Times New Roman" w:cs="Calibri" w:hint="eastAsia"/>
              </w:rPr>
              <w:t xml:space="preserve">　井下变、配电所的电源及供电回路设置应符合下列规定：</w:t>
            </w:r>
          </w:p>
          <w:p w14:paraId="53CB542F" w14:textId="77777777" w:rsidR="00F6607E" w:rsidRDefault="00F6607E" w:rsidP="00B33DBC">
            <w:pPr>
              <w:pStyle w:val="a0"/>
              <w:spacing w:line="240" w:lineRule="auto"/>
              <w:ind w:firstLine="420"/>
              <w:rPr>
                <w:rFonts w:ascii="Times New Roman" w:hAnsi="Times New Roman" w:cs="Calibri"/>
              </w:rPr>
            </w:pPr>
            <w:r>
              <w:rPr>
                <w:rFonts w:ascii="Times New Roman" w:hAnsi="Times New Roman" w:cs="宋体" w:hint="eastAsia"/>
              </w:rPr>
              <w:t>——</w:t>
            </w:r>
            <w:r>
              <w:rPr>
                <w:rFonts w:ascii="Times New Roman" w:hAnsi="Times New Roman" w:cs="Calibri" w:hint="eastAsia"/>
              </w:rPr>
              <w:t>由地面引至井下各个变、配电所的电力电缆总回路数不少于两回路；</w:t>
            </w:r>
          </w:p>
          <w:p w14:paraId="3A696EE8" w14:textId="77777777" w:rsidR="00F6607E" w:rsidRDefault="00F6607E" w:rsidP="00B33DBC">
            <w:pPr>
              <w:pStyle w:val="a0"/>
              <w:spacing w:line="240" w:lineRule="auto"/>
              <w:ind w:firstLine="420"/>
              <w:rPr>
                <w:rFonts w:ascii="Times New Roman" w:hAnsi="Times New Roman" w:cs="Calibri"/>
              </w:rPr>
            </w:pPr>
            <w:r>
              <w:rPr>
                <w:rFonts w:ascii="Times New Roman" w:hAnsi="Times New Roman" w:cs="宋体" w:hint="eastAsia"/>
              </w:rPr>
              <w:t>——</w:t>
            </w:r>
            <w:r>
              <w:rPr>
                <w:rFonts w:ascii="Times New Roman" w:hAnsi="Times New Roman" w:cs="Calibri" w:hint="eastAsia"/>
              </w:rPr>
              <w:t>当任一回路停止供电时</w:t>
            </w:r>
            <w:r>
              <w:rPr>
                <w:rFonts w:ascii="Times New Roman" w:hAnsi="Times New Roman" w:cs="Calibri" w:hint="eastAsia"/>
              </w:rPr>
              <w:t xml:space="preserve">, </w:t>
            </w:r>
            <w:r>
              <w:rPr>
                <w:rFonts w:ascii="Times New Roman" w:hAnsi="Times New Roman" w:cs="Calibri" w:hint="eastAsia"/>
              </w:rPr>
              <w:t>其余回路应能承担该变电所的全部负荷；</w:t>
            </w:r>
          </w:p>
          <w:p w14:paraId="79D0A055" w14:textId="77777777" w:rsidR="00F6607E" w:rsidRDefault="00F6607E" w:rsidP="00B33DBC">
            <w:pPr>
              <w:pStyle w:val="a0"/>
              <w:spacing w:line="240" w:lineRule="auto"/>
              <w:ind w:firstLine="420"/>
              <w:rPr>
                <w:rFonts w:ascii="Times New Roman" w:hAnsi="Times New Roman" w:cs="Calibri"/>
              </w:rPr>
            </w:pPr>
            <w:r>
              <w:rPr>
                <w:rFonts w:ascii="Times New Roman" w:hAnsi="Times New Roman" w:cs="宋体" w:hint="eastAsia"/>
              </w:rPr>
              <w:t>——</w:t>
            </w:r>
            <w:r>
              <w:rPr>
                <w:rFonts w:ascii="Times New Roman" w:hAnsi="Times New Roman" w:cs="Calibri" w:hint="eastAsia"/>
              </w:rPr>
              <w:t>有一级负荷的井下变、配电所，主排水泵房变、配电所，在有爆炸危险或对人体健康有严重损害危险环境中工作的主通风机和升降人员的竖井提升机</w:t>
            </w:r>
            <w:r>
              <w:rPr>
                <w:rFonts w:ascii="Times New Roman" w:hAnsi="Times New Roman" w:cs="Calibri" w:hint="eastAsia"/>
              </w:rPr>
              <w:t>,</w:t>
            </w:r>
            <w:r>
              <w:rPr>
                <w:rFonts w:ascii="Times New Roman" w:hAnsi="Times New Roman" w:cs="Calibri" w:hint="eastAsia"/>
              </w:rPr>
              <w:t>应由双重电源供电；</w:t>
            </w:r>
          </w:p>
          <w:p w14:paraId="53A3C5DA" w14:textId="77777777" w:rsidR="00F6607E" w:rsidRDefault="00F6607E" w:rsidP="00B33DBC">
            <w:pPr>
              <w:pStyle w:val="a0"/>
              <w:spacing w:line="240" w:lineRule="auto"/>
              <w:ind w:firstLine="420"/>
              <w:rPr>
                <w:rFonts w:ascii="Times New Roman" w:hAnsi="Times New Roman" w:cs="Calibri"/>
              </w:rPr>
            </w:pPr>
            <w:r>
              <w:rPr>
                <w:rFonts w:ascii="Times New Roman" w:hAnsi="Times New Roman" w:cs="宋体" w:hint="eastAsia"/>
              </w:rPr>
              <w:t>——</w:t>
            </w:r>
            <w:r>
              <w:rPr>
                <w:rFonts w:ascii="Times New Roman" w:hAnsi="Times New Roman" w:cs="Calibri" w:hint="eastAsia"/>
              </w:rPr>
              <w:t>井下主变、配电所和具有低压一级负荷的变、配电所的配电变压器不得少于</w:t>
            </w:r>
            <w:r>
              <w:rPr>
                <w:rFonts w:ascii="Times New Roman" w:hAnsi="Times New Roman" w:cs="Calibri" w:hint="eastAsia"/>
              </w:rPr>
              <w:t>2</w:t>
            </w:r>
            <w:r>
              <w:rPr>
                <w:rFonts w:ascii="Times New Roman" w:hAnsi="Times New Roman" w:cs="Calibri" w:hint="eastAsia"/>
              </w:rPr>
              <w:t>台；</w:t>
            </w:r>
            <w:r>
              <w:rPr>
                <w:rFonts w:ascii="Times New Roman" w:hAnsi="Times New Roman" w:cs="Calibri" w:hint="eastAsia"/>
              </w:rPr>
              <w:t>1</w:t>
            </w:r>
            <w:r>
              <w:rPr>
                <w:rFonts w:ascii="Times New Roman" w:hAnsi="Times New Roman" w:cs="Calibri" w:hint="eastAsia"/>
              </w:rPr>
              <w:t>台停止运行时，其余变压器应能承担全部负荷；</w:t>
            </w:r>
          </w:p>
          <w:p w14:paraId="4CEA2877" w14:textId="77777777" w:rsidR="00F6607E" w:rsidRDefault="00F6607E" w:rsidP="00B33DBC">
            <w:pPr>
              <w:spacing w:line="240" w:lineRule="auto"/>
              <w:ind w:firstLine="420"/>
              <w:rPr>
                <w:rFonts w:ascii="Times New Roman" w:hAnsi="Times New Roman" w:hint="eastAsia"/>
              </w:rPr>
            </w:pPr>
            <w:r>
              <w:rPr>
                <w:rFonts w:ascii="宋体" w:hAnsi="宋体"/>
              </w:rPr>
              <w:t>……</w:t>
            </w:r>
            <w:r>
              <w:rPr>
                <w:rFonts w:ascii="Times New Roman" w:hAnsi="Times New Roman" w:hint="eastAsia"/>
              </w:rPr>
              <w:t>。</w:t>
            </w:r>
          </w:p>
        </w:tc>
        <w:tc>
          <w:tcPr>
            <w:tcW w:w="1417" w:type="dxa"/>
            <w:gridSpan w:val="2"/>
            <w:vAlign w:val="center"/>
          </w:tcPr>
          <w:p w14:paraId="4E1F4920"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2145400C"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78B6C3A7" w14:textId="77777777" w:rsidR="00F6607E" w:rsidRDefault="00F6607E" w:rsidP="00B33DBC">
            <w:pPr>
              <w:overflowPunct w:val="0"/>
              <w:spacing w:line="240" w:lineRule="auto"/>
              <w:ind w:firstLineChars="0" w:firstLine="0"/>
              <w:rPr>
                <w:rFonts w:ascii="Times New Roman" w:hAnsi="Times New Roman" w:cs="宋体"/>
              </w:rPr>
            </w:pPr>
          </w:p>
        </w:tc>
      </w:tr>
      <w:tr w:rsidR="00F6607E" w14:paraId="3EB9D380" w14:textId="77777777" w:rsidTr="00F6607E">
        <w:trPr>
          <w:gridBefore w:val="1"/>
          <w:wBefore w:w="33" w:type="dxa"/>
          <w:cantSplit/>
          <w:jc w:val="center"/>
        </w:trPr>
        <w:tc>
          <w:tcPr>
            <w:tcW w:w="1020" w:type="dxa"/>
            <w:gridSpan w:val="2"/>
            <w:vAlign w:val="center"/>
          </w:tcPr>
          <w:p w14:paraId="4FA34265"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rPr>
              <w:t>5</w:t>
            </w:r>
            <w:r>
              <w:rPr>
                <w:rFonts w:ascii="Times New Roman" w:hAnsi="Times New Roman" w:cs="宋体" w:hint="eastAsia"/>
              </w:rPr>
              <w:t>.</w:t>
            </w:r>
            <w:r>
              <w:rPr>
                <w:rFonts w:ascii="Times New Roman" w:hAnsi="Times New Roman" w:cs="宋体" w:hint="eastAsia"/>
              </w:rPr>
              <w:t>电气设施</w:t>
            </w:r>
          </w:p>
        </w:tc>
        <w:tc>
          <w:tcPr>
            <w:tcW w:w="1020" w:type="dxa"/>
            <w:gridSpan w:val="2"/>
            <w:vAlign w:val="center"/>
          </w:tcPr>
          <w:p w14:paraId="453704FE" w14:textId="77777777" w:rsidR="00F6607E" w:rsidRDefault="00F6607E" w:rsidP="00B33DBC">
            <w:pPr>
              <w:overflowPunct w:val="0"/>
              <w:spacing w:line="240" w:lineRule="auto"/>
              <w:ind w:firstLineChars="0" w:firstLine="0"/>
              <w:rPr>
                <w:rFonts w:ascii="Times New Roman" w:hAnsi="Times New Roman" w:cs="宋体" w:hint="eastAsia"/>
              </w:rPr>
            </w:pPr>
            <w:r>
              <w:rPr>
                <w:rFonts w:ascii="Times New Roman" w:hAnsi="Times New Roman" w:cs="宋体" w:hint="eastAsia"/>
              </w:rPr>
              <w:t>中性点接地情况。</w:t>
            </w:r>
          </w:p>
        </w:tc>
        <w:tc>
          <w:tcPr>
            <w:tcW w:w="1474" w:type="dxa"/>
            <w:gridSpan w:val="2"/>
            <w:vAlign w:val="center"/>
          </w:tcPr>
          <w:p w14:paraId="6AC7581E" w14:textId="77777777" w:rsidR="00F6607E" w:rsidRDefault="00F6607E" w:rsidP="00B33DBC">
            <w:pPr>
              <w:overflowPunct w:val="0"/>
              <w:spacing w:line="240" w:lineRule="auto"/>
              <w:ind w:firstLineChars="0" w:firstLine="0"/>
              <w:rPr>
                <w:rFonts w:ascii="Times New Roman" w:hAnsi="Times New Roman" w:cs="宋体" w:hint="eastAsia"/>
              </w:rPr>
            </w:pPr>
            <w:r>
              <w:rPr>
                <w:rFonts w:ascii="Times New Roman" w:hAnsi="Times New Roman" w:cs="宋体" w:hint="eastAsia"/>
              </w:rPr>
              <w:t>现场检查。</w:t>
            </w:r>
          </w:p>
        </w:tc>
        <w:tc>
          <w:tcPr>
            <w:tcW w:w="5953" w:type="dxa"/>
            <w:gridSpan w:val="2"/>
            <w:vAlign w:val="center"/>
          </w:tcPr>
          <w:p w14:paraId="7C8C5A8D"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《金属非金属矿山重大事故隐患判定标准》</w:t>
            </w:r>
          </w:p>
          <w:p w14:paraId="2F7AC38B"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一、金属非金属地下矿山重大事故隐患</w:t>
            </w:r>
          </w:p>
          <w:p w14:paraId="13AC69C4"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（二十五）向井下采场供电的</w:t>
            </w:r>
            <w:r>
              <w:rPr>
                <w:rFonts w:ascii="Times New Roman" w:hAnsi="Times New Roman" w:cs="宋体" w:hint="eastAsia"/>
              </w:rPr>
              <w:t>6kV</w:t>
            </w:r>
            <w:r>
              <w:rPr>
                <w:rFonts w:ascii="Times New Roman" w:hAnsi="Times New Roman" w:cs="宋体" w:hint="eastAsia"/>
              </w:rPr>
              <w:t>～</w:t>
            </w:r>
            <w:r>
              <w:rPr>
                <w:rFonts w:ascii="Times New Roman" w:hAnsi="Times New Roman" w:cs="宋体" w:hint="eastAsia"/>
              </w:rPr>
              <w:t>35kV</w:t>
            </w:r>
            <w:r>
              <w:rPr>
                <w:rFonts w:ascii="Times New Roman" w:hAnsi="Times New Roman" w:cs="宋体" w:hint="eastAsia"/>
              </w:rPr>
              <w:t>系统的中性点采用直接接地。</w:t>
            </w:r>
          </w:p>
          <w:p w14:paraId="58623581"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《金属非金属矿山安全规程》</w:t>
            </w:r>
          </w:p>
          <w:p w14:paraId="4AAB83A2" w14:textId="77777777" w:rsidR="00F6607E" w:rsidRDefault="00F6607E" w:rsidP="00B33DBC">
            <w:pPr>
              <w:spacing w:line="240" w:lineRule="auto"/>
              <w:ind w:firstLine="420"/>
              <w:rPr>
                <w:rFonts w:ascii="Times New Roman" w:hAnsi="Times New Roman" w:cs="宋体"/>
              </w:rPr>
            </w:pPr>
            <w:r>
              <w:rPr>
                <w:rFonts w:ascii="Times New Roman" w:hAnsi="Times New Roman" w:cs="宋体" w:hint="eastAsia"/>
              </w:rPr>
              <w:t>6.7.1.6</w:t>
            </w:r>
            <w:r>
              <w:rPr>
                <w:rFonts w:ascii="Times New Roman" w:hAnsi="Times New Roman" w:cs="宋体" w:hint="eastAsia"/>
              </w:rPr>
              <w:t xml:space="preserve">　向井下供电的</w:t>
            </w:r>
            <w:r>
              <w:rPr>
                <w:rFonts w:ascii="Times New Roman" w:hAnsi="Times New Roman" w:cs="宋体" w:hint="eastAsia"/>
              </w:rPr>
              <w:t>6kV</w:t>
            </w:r>
            <w:r>
              <w:rPr>
                <w:rFonts w:ascii="Times New Roman" w:hAnsi="Times New Roman" w:cs="宋体" w:hint="eastAsia"/>
              </w:rPr>
              <w:t>～</w:t>
            </w:r>
            <w:r>
              <w:rPr>
                <w:rFonts w:ascii="Times New Roman" w:hAnsi="Times New Roman" w:cs="宋体" w:hint="eastAsia"/>
              </w:rPr>
              <w:t>35kV</w:t>
            </w:r>
            <w:r>
              <w:rPr>
                <w:rFonts w:ascii="Times New Roman" w:hAnsi="Times New Roman" w:cs="宋体" w:hint="eastAsia"/>
              </w:rPr>
              <w:t>系统中性点接地方式应符合下列规定：</w:t>
            </w:r>
          </w:p>
          <w:p w14:paraId="30E5BBAA"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b</w:t>
            </w:r>
            <w:r>
              <w:rPr>
                <w:rFonts w:ascii="Times New Roman" w:hAnsi="Times New Roman" w:cs="宋体" w:hint="eastAsia"/>
              </w:rPr>
              <w:t>）向井下采场供电的</w:t>
            </w:r>
            <w:r>
              <w:rPr>
                <w:rFonts w:ascii="Times New Roman" w:hAnsi="Times New Roman" w:cs="宋体" w:hint="eastAsia"/>
              </w:rPr>
              <w:t>6kV</w:t>
            </w:r>
            <w:r>
              <w:rPr>
                <w:rFonts w:ascii="Times New Roman" w:hAnsi="Times New Roman" w:cs="宋体" w:hint="eastAsia"/>
              </w:rPr>
              <w:t>～</w:t>
            </w:r>
            <w:r>
              <w:rPr>
                <w:rFonts w:ascii="Times New Roman" w:hAnsi="Times New Roman" w:cs="宋体" w:hint="eastAsia"/>
              </w:rPr>
              <w:t>35kV</w:t>
            </w:r>
            <w:r>
              <w:rPr>
                <w:rFonts w:ascii="Times New Roman" w:hAnsi="Times New Roman" w:cs="宋体" w:hint="eastAsia"/>
              </w:rPr>
              <w:t>系统中性点不得采用直接接地系统。</w:t>
            </w:r>
          </w:p>
        </w:tc>
        <w:tc>
          <w:tcPr>
            <w:tcW w:w="1417" w:type="dxa"/>
            <w:gridSpan w:val="2"/>
            <w:vAlign w:val="center"/>
          </w:tcPr>
          <w:p w14:paraId="785D2C1E"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2972600E"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23DBB4F5" w14:textId="77777777" w:rsidR="00F6607E" w:rsidRDefault="00F6607E" w:rsidP="00B33DBC">
            <w:pPr>
              <w:overflowPunct w:val="0"/>
              <w:spacing w:line="240" w:lineRule="auto"/>
              <w:ind w:firstLineChars="0" w:firstLine="0"/>
              <w:rPr>
                <w:rFonts w:ascii="Times New Roman" w:hAnsi="Times New Roman" w:cs="宋体"/>
              </w:rPr>
            </w:pPr>
          </w:p>
        </w:tc>
      </w:tr>
      <w:tr w:rsidR="00F6607E" w14:paraId="2280B2BD" w14:textId="77777777" w:rsidTr="00F6607E">
        <w:trPr>
          <w:gridBefore w:val="1"/>
          <w:wBefore w:w="33" w:type="dxa"/>
          <w:cantSplit/>
          <w:jc w:val="center"/>
        </w:trPr>
        <w:tc>
          <w:tcPr>
            <w:tcW w:w="1020" w:type="dxa"/>
            <w:gridSpan w:val="2"/>
            <w:vAlign w:val="center"/>
          </w:tcPr>
          <w:p w14:paraId="79F3ADB0" w14:textId="77777777" w:rsidR="00F6607E" w:rsidRDefault="00F6607E" w:rsidP="00B33DBC">
            <w:pPr>
              <w:overflowPunct w:val="0"/>
              <w:spacing w:line="240" w:lineRule="auto"/>
              <w:ind w:firstLineChars="0" w:firstLine="0"/>
              <w:rPr>
                <w:rFonts w:ascii="Times New Roman" w:hAnsi="Times New Roman" w:cs="宋体" w:hint="eastAsia"/>
              </w:rPr>
            </w:pPr>
            <w:r>
              <w:rPr>
                <w:rFonts w:ascii="Times New Roman" w:hAnsi="Times New Roman" w:cs="宋体"/>
              </w:rPr>
              <w:t>6</w:t>
            </w:r>
            <w:r>
              <w:rPr>
                <w:rFonts w:ascii="Times New Roman" w:hAnsi="Times New Roman" w:cs="宋体" w:hint="eastAsia"/>
              </w:rPr>
              <w:t>.</w:t>
            </w:r>
            <w:r>
              <w:rPr>
                <w:rFonts w:ascii="Times New Roman" w:hAnsi="Times New Roman" w:cs="宋体" w:hint="eastAsia"/>
              </w:rPr>
              <w:t>电气作业</w:t>
            </w:r>
          </w:p>
        </w:tc>
        <w:tc>
          <w:tcPr>
            <w:tcW w:w="1020" w:type="dxa"/>
            <w:gridSpan w:val="2"/>
            <w:vAlign w:val="center"/>
          </w:tcPr>
          <w:p w14:paraId="145B3120"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电气作业许可。</w:t>
            </w:r>
          </w:p>
        </w:tc>
        <w:tc>
          <w:tcPr>
            <w:tcW w:w="1474" w:type="dxa"/>
            <w:gridSpan w:val="2"/>
            <w:vAlign w:val="center"/>
          </w:tcPr>
          <w:p w14:paraId="09785997"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查验电气作业工作票审批记录及作业记录等。</w:t>
            </w:r>
          </w:p>
        </w:tc>
        <w:tc>
          <w:tcPr>
            <w:tcW w:w="5953" w:type="dxa"/>
            <w:gridSpan w:val="2"/>
            <w:vAlign w:val="center"/>
          </w:tcPr>
          <w:p w14:paraId="6911BBD6"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《金属非金属矿山安全规程》</w:t>
            </w:r>
          </w:p>
          <w:p w14:paraId="685FF39B" w14:textId="77777777" w:rsidR="00F6607E" w:rsidRDefault="00F6607E" w:rsidP="00B33DBC">
            <w:pPr>
              <w:spacing w:line="240" w:lineRule="auto"/>
              <w:ind w:firstLine="420"/>
              <w:rPr>
                <w:rFonts w:ascii="Times New Roman" w:hAnsi="Times New Roman" w:cs="宋体"/>
              </w:rPr>
            </w:pPr>
            <w:r>
              <w:rPr>
                <w:rFonts w:ascii="Times New Roman" w:hAnsi="Times New Roman" w:cs="宋体" w:hint="eastAsia"/>
              </w:rPr>
              <w:t>6.7.8.1</w:t>
            </w:r>
            <w:r>
              <w:rPr>
                <w:rFonts w:ascii="Times New Roman" w:hAnsi="Times New Roman" w:cs="宋体" w:hint="eastAsia"/>
              </w:rPr>
              <w:t xml:space="preserve">　矿山应建立电气作业安全制度，规定工作票、工作许可、监护、间断、转移和终结等工作程序。严禁非电专业人员从事电气作业。</w:t>
            </w:r>
          </w:p>
        </w:tc>
        <w:tc>
          <w:tcPr>
            <w:tcW w:w="1417" w:type="dxa"/>
            <w:gridSpan w:val="2"/>
            <w:vAlign w:val="center"/>
          </w:tcPr>
          <w:p w14:paraId="44116C9B"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6B805457"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35308C3C" w14:textId="77777777" w:rsidR="00F6607E" w:rsidRDefault="00F6607E" w:rsidP="00B33DBC">
            <w:pPr>
              <w:overflowPunct w:val="0"/>
              <w:spacing w:line="240" w:lineRule="auto"/>
              <w:ind w:firstLineChars="0" w:firstLine="0"/>
              <w:rPr>
                <w:rFonts w:ascii="Times New Roman" w:hAnsi="Times New Roman" w:cs="宋体"/>
              </w:rPr>
            </w:pPr>
          </w:p>
        </w:tc>
      </w:tr>
      <w:tr w:rsidR="00F6607E" w14:paraId="30C4CDDE" w14:textId="77777777" w:rsidTr="00F6607E">
        <w:trPr>
          <w:gridAfter w:val="1"/>
          <w:wAfter w:w="33" w:type="dxa"/>
          <w:cantSplit/>
          <w:jc w:val="center"/>
        </w:trPr>
        <w:tc>
          <w:tcPr>
            <w:tcW w:w="1020" w:type="dxa"/>
            <w:gridSpan w:val="2"/>
            <w:vMerge w:val="restart"/>
            <w:vAlign w:val="center"/>
          </w:tcPr>
          <w:p w14:paraId="341EC5B9" w14:textId="77777777" w:rsidR="00F6607E" w:rsidRDefault="00F6607E" w:rsidP="00B33DBC">
            <w:pPr>
              <w:overflowPunct w:val="0"/>
              <w:spacing w:line="240" w:lineRule="auto"/>
              <w:ind w:firstLineChars="0" w:firstLine="0"/>
              <w:jc w:val="left"/>
              <w:rPr>
                <w:rFonts w:ascii="Times New Roman" w:hAnsi="Times New Roman" w:cs="宋体"/>
              </w:rPr>
            </w:pPr>
            <w:r>
              <w:rPr>
                <w:rFonts w:ascii="Times New Roman" w:hAnsi="Times New Roman" w:cs="宋体"/>
              </w:rPr>
              <w:t>10</w:t>
            </w:r>
            <w:r>
              <w:rPr>
                <w:rFonts w:ascii="Times New Roman" w:hAnsi="Times New Roman" w:cs="宋体" w:hint="eastAsia"/>
              </w:rPr>
              <w:t>.</w:t>
            </w:r>
            <w:r>
              <w:rPr>
                <w:rFonts w:ascii="Times New Roman" w:hAnsi="Times New Roman" w:cs="宋体" w:hint="eastAsia"/>
              </w:rPr>
              <w:t>防坠罐跑车管理</w:t>
            </w:r>
          </w:p>
        </w:tc>
        <w:tc>
          <w:tcPr>
            <w:tcW w:w="1020" w:type="dxa"/>
            <w:gridSpan w:val="2"/>
            <w:vAlign w:val="center"/>
          </w:tcPr>
          <w:p w14:paraId="1B940939"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提升装置、罐笼及钢丝绳等安全设备的使用与检测检验。</w:t>
            </w:r>
          </w:p>
        </w:tc>
        <w:tc>
          <w:tcPr>
            <w:tcW w:w="1474" w:type="dxa"/>
            <w:gridSpan w:val="2"/>
            <w:vAlign w:val="center"/>
          </w:tcPr>
          <w:p w14:paraId="1932A055"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查验产品证书、检测报告、维修台帐等资料结合现场抽查。</w:t>
            </w:r>
          </w:p>
        </w:tc>
        <w:tc>
          <w:tcPr>
            <w:tcW w:w="5953" w:type="dxa"/>
            <w:gridSpan w:val="2"/>
            <w:vAlign w:val="center"/>
          </w:tcPr>
          <w:p w14:paraId="463DA170" w14:textId="77777777" w:rsidR="00F6607E" w:rsidRDefault="00F6607E" w:rsidP="00B33DBC">
            <w:pPr>
              <w:overflowPunct w:val="0"/>
              <w:spacing w:line="240" w:lineRule="auto"/>
              <w:ind w:firstLine="422"/>
              <w:rPr>
                <w:rFonts w:ascii="Times New Roman" w:hAnsi="Times New Roman" w:cs="宋体" w:hint="eastAsia"/>
                <w:b/>
              </w:rPr>
            </w:pPr>
            <w:r>
              <w:rPr>
                <w:rFonts w:ascii="Times New Roman" w:hAnsi="Times New Roman" w:cs="宋体" w:hint="eastAsia"/>
                <w:b/>
              </w:rPr>
              <w:t>《中华人民共和国安全生产法》</w:t>
            </w:r>
          </w:p>
          <w:p w14:paraId="4567273E" w14:textId="77777777" w:rsidR="00F6607E" w:rsidRDefault="00F6607E" w:rsidP="00B33DBC">
            <w:pPr>
              <w:overflowPunct w:val="0"/>
              <w:spacing w:line="240" w:lineRule="auto"/>
              <w:ind w:firstLine="420"/>
              <w:rPr>
                <w:rFonts w:ascii="Times New Roman" w:hAnsi="Times New Roman" w:cs="宋体" w:hint="eastAsia"/>
              </w:rPr>
            </w:pPr>
            <w:r>
              <w:rPr>
                <w:rFonts w:ascii="Times New Roman" w:hAnsi="Times New Roman" w:cs="宋体" w:hint="eastAsia"/>
              </w:rPr>
              <w:t>第三十六条第一款　安全设备的设计、制造、安装、使用、检测、维修、改造和报废，应当符合国家标准或者行业标准。</w:t>
            </w:r>
          </w:p>
          <w:p w14:paraId="21596265" w14:textId="77777777" w:rsidR="00F6607E" w:rsidRDefault="00F6607E" w:rsidP="00B33DBC">
            <w:pPr>
              <w:overflowPunct w:val="0"/>
              <w:spacing w:line="240" w:lineRule="auto"/>
              <w:ind w:firstLine="422"/>
              <w:rPr>
                <w:rFonts w:ascii="Times New Roman" w:hAnsi="Times New Roman" w:cs="宋体" w:hint="eastAsia"/>
                <w:b/>
              </w:rPr>
            </w:pPr>
            <w:r>
              <w:rPr>
                <w:rFonts w:ascii="Times New Roman" w:hAnsi="Times New Roman" w:cs="宋体" w:hint="eastAsia"/>
                <w:b/>
              </w:rPr>
              <w:t>《金属非金属矿山重大事故隐患判定标准》</w:t>
            </w:r>
          </w:p>
          <w:p w14:paraId="7D20939B" w14:textId="77777777" w:rsidR="00F6607E" w:rsidRDefault="00F6607E" w:rsidP="00B33DBC">
            <w:pPr>
              <w:overflowPunct w:val="0"/>
              <w:spacing w:line="240" w:lineRule="auto"/>
              <w:ind w:firstLine="420"/>
              <w:rPr>
                <w:rFonts w:ascii="Times New Roman" w:hAnsi="Times New Roman" w:cs="宋体" w:hint="eastAsia"/>
              </w:rPr>
            </w:pPr>
            <w:r>
              <w:rPr>
                <w:rFonts w:ascii="Times New Roman" w:hAnsi="Times New Roman" w:cs="宋体" w:hint="eastAsia"/>
              </w:rPr>
              <w:t>一、金属非金属地下矿山重大事故隐患</w:t>
            </w:r>
          </w:p>
          <w:p w14:paraId="65CB961F" w14:textId="77777777" w:rsidR="00F6607E" w:rsidRDefault="00F6607E" w:rsidP="00B33DBC">
            <w:pPr>
              <w:overflowPunct w:val="0"/>
              <w:spacing w:line="240" w:lineRule="auto"/>
              <w:ind w:firstLine="420"/>
              <w:rPr>
                <w:rFonts w:ascii="Times New Roman" w:hAnsi="Times New Roman" w:cs="宋体" w:hint="eastAsia"/>
              </w:rPr>
            </w:pPr>
            <w:r>
              <w:rPr>
                <w:rFonts w:ascii="Times New Roman" w:hAnsi="Times New Roman" w:cs="宋体" w:hint="eastAsia"/>
              </w:rPr>
              <w:t>（二十二）担负提升人员的提升系统，存在下列情形之一的：</w:t>
            </w:r>
          </w:p>
          <w:p w14:paraId="4E4B03FE" w14:textId="77777777" w:rsidR="00F6607E" w:rsidRDefault="00F6607E" w:rsidP="00B33DBC">
            <w:pPr>
              <w:overflowPunct w:val="0"/>
              <w:spacing w:line="240" w:lineRule="auto"/>
              <w:ind w:firstLine="420"/>
              <w:rPr>
                <w:rFonts w:ascii="Times New Roman" w:hAnsi="Times New Roman" w:cs="宋体" w:hint="eastAsia"/>
              </w:rPr>
            </w:pPr>
            <w:r>
              <w:rPr>
                <w:rFonts w:ascii="Times New Roman" w:hAnsi="Times New Roman" w:cs="宋体" w:hint="eastAsia"/>
              </w:rPr>
              <w:t>1.</w:t>
            </w:r>
            <w:r>
              <w:rPr>
                <w:rFonts w:ascii="Times New Roman" w:hAnsi="Times New Roman" w:cs="宋体" w:hint="eastAsia"/>
              </w:rPr>
              <w:t>提升机、防坠器、钢丝绳、连接装置、提升容器未按国家规定进行定期检测检验，或者提升设备的安全保护装置失效。</w:t>
            </w:r>
          </w:p>
          <w:p w14:paraId="2EE51438" w14:textId="77777777" w:rsidR="00F6607E" w:rsidRDefault="00F6607E" w:rsidP="00B33DBC">
            <w:pPr>
              <w:overflowPunct w:val="0"/>
              <w:spacing w:line="240" w:lineRule="auto"/>
              <w:ind w:firstLine="422"/>
              <w:rPr>
                <w:rFonts w:ascii="Times New Roman" w:hAnsi="Times New Roman" w:cs="宋体" w:hint="eastAsia"/>
                <w:b/>
              </w:rPr>
            </w:pPr>
            <w:r>
              <w:rPr>
                <w:rFonts w:ascii="Times New Roman" w:hAnsi="Times New Roman" w:cs="宋体" w:hint="eastAsia"/>
                <w:b/>
              </w:rPr>
              <w:t>《金属非金属矿山安全规程》</w:t>
            </w:r>
          </w:p>
          <w:p w14:paraId="2545863B" w14:textId="77777777" w:rsidR="00F6607E" w:rsidRDefault="00F6607E" w:rsidP="00B33DBC">
            <w:pPr>
              <w:overflowPunct w:val="0"/>
              <w:spacing w:line="240" w:lineRule="auto"/>
              <w:ind w:firstLine="420"/>
              <w:rPr>
                <w:rFonts w:ascii="Times New Roman" w:hAnsi="Times New Roman" w:cs="宋体" w:hint="eastAsia"/>
              </w:rPr>
            </w:pPr>
            <w:r>
              <w:rPr>
                <w:rFonts w:ascii="Times New Roman" w:hAnsi="Times New Roman" w:cs="宋体" w:hint="eastAsia"/>
              </w:rPr>
              <w:t>4.7.5</w:t>
            </w:r>
            <w:r>
              <w:rPr>
                <w:rFonts w:ascii="Times New Roman" w:hAnsi="Times New Roman" w:cs="宋体" w:hint="eastAsia"/>
              </w:rPr>
              <w:t xml:space="preserve">　矿山使用的涉及人身安全的设备应由专业生产单位生产，并经具有专业资质的检测、检验机构检测、检验合格，方可投入使用；矿山生产期间，应定期由具有专业资质的检测、检验机构进行检测、检验，并出具检测、检验报告。</w:t>
            </w:r>
          </w:p>
        </w:tc>
        <w:tc>
          <w:tcPr>
            <w:tcW w:w="1417" w:type="dxa"/>
            <w:gridSpan w:val="2"/>
            <w:vAlign w:val="center"/>
          </w:tcPr>
          <w:p w14:paraId="773B4FC2"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396FCCDF"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1113698C" w14:textId="77777777" w:rsidR="00F6607E" w:rsidRDefault="00F6607E" w:rsidP="00B33DBC">
            <w:pPr>
              <w:overflowPunct w:val="0"/>
              <w:spacing w:line="240" w:lineRule="auto"/>
              <w:ind w:firstLineChars="0" w:firstLine="0"/>
              <w:rPr>
                <w:rFonts w:ascii="Times New Roman" w:hAnsi="Times New Roman" w:cs="宋体"/>
              </w:rPr>
            </w:pPr>
          </w:p>
        </w:tc>
      </w:tr>
      <w:tr w:rsidR="00F6607E" w14:paraId="3EFB17BE" w14:textId="77777777" w:rsidTr="00F6607E">
        <w:trPr>
          <w:gridAfter w:val="1"/>
          <w:wAfter w:w="33" w:type="dxa"/>
          <w:cantSplit/>
          <w:jc w:val="center"/>
        </w:trPr>
        <w:tc>
          <w:tcPr>
            <w:tcW w:w="1020" w:type="dxa"/>
            <w:gridSpan w:val="2"/>
            <w:vMerge/>
            <w:vAlign w:val="center"/>
          </w:tcPr>
          <w:p w14:paraId="091A855C" w14:textId="77777777" w:rsidR="00F6607E" w:rsidRDefault="00F6607E" w:rsidP="00B33DBC">
            <w:pPr>
              <w:overflowPunct w:val="0"/>
              <w:spacing w:line="240" w:lineRule="auto"/>
              <w:ind w:firstLineChars="0" w:firstLine="0"/>
              <w:rPr>
                <w:rFonts w:ascii="Times New Roman" w:hAnsi="Times New Roman" w:cs="宋体"/>
              </w:rPr>
            </w:pPr>
          </w:p>
        </w:tc>
        <w:tc>
          <w:tcPr>
            <w:tcW w:w="1020" w:type="dxa"/>
            <w:gridSpan w:val="2"/>
            <w:vAlign w:val="center"/>
          </w:tcPr>
          <w:p w14:paraId="597AC761"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竖井与各中段连接处的栅栏、阻车器。</w:t>
            </w:r>
          </w:p>
        </w:tc>
        <w:tc>
          <w:tcPr>
            <w:tcW w:w="1474" w:type="dxa"/>
            <w:gridSpan w:val="2"/>
            <w:vAlign w:val="center"/>
          </w:tcPr>
          <w:p w14:paraId="563FAD7A"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现场抽查。</w:t>
            </w:r>
          </w:p>
        </w:tc>
        <w:tc>
          <w:tcPr>
            <w:tcW w:w="5953" w:type="dxa"/>
            <w:gridSpan w:val="2"/>
            <w:vAlign w:val="center"/>
          </w:tcPr>
          <w:p w14:paraId="63EF07F8" w14:textId="77777777" w:rsidR="00F6607E" w:rsidRDefault="00F6607E" w:rsidP="00B33DBC">
            <w:pPr>
              <w:overflowPunct w:val="0"/>
              <w:spacing w:line="240" w:lineRule="auto"/>
              <w:ind w:firstLine="410"/>
              <w:rPr>
                <w:rFonts w:ascii="Times New Roman" w:hAnsi="Times New Roman" w:cs="宋体" w:hint="eastAsia"/>
                <w:b/>
                <w:spacing w:val="-3"/>
              </w:rPr>
            </w:pPr>
            <w:r>
              <w:rPr>
                <w:rFonts w:ascii="Times New Roman" w:hAnsi="Times New Roman" w:cs="宋体" w:hint="eastAsia"/>
                <w:b/>
                <w:spacing w:val="-3"/>
              </w:rPr>
              <w:t>《金属非金属矿山安全规程》</w:t>
            </w:r>
          </w:p>
          <w:p w14:paraId="6411AF73" w14:textId="77777777" w:rsidR="00F6607E" w:rsidRDefault="00F6607E" w:rsidP="00B33DBC">
            <w:pPr>
              <w:overflowPunct w:val="0"/>
              <w:spacing w:line="240" w:lineRule="auto"/>
              <w:ind w:leftChars="200" w:left="420" w:firstLineChars="0" w:firstLine="0"/>
              <w:rPr>
                <w:rFonts w:ascii="Times New Roman" w:hAnsi="Times New Roman" w:cs="宋体" w:hint="eastAsia"/>
                <w:spacing w:val="-3"/>
              </w:rPr>
            </w:pPr>
            <w:r>
              <w:rPr>
                <w:rFonts w:ascii="Times New Roman" w:hAnsi="Times New Roman" w:cs="宋体" w:hint="eastAsia"/>
                <w:spacing w:val="-3"/>
              </w:rPr>
              <w:t>6.2.3.4</w:t>
            </w:r>
            <w:r>
              <w:rPr>
                <w:rFonts w:ascii="Times New Roman" w:hAnsi="Times New Roman" w:cs="宋体" w:hint="eastAsia"/>
                <w:spacing w:val="-3"/>
              </w:rPr>
              <w:t xml:space="preserve">　罐笼提升竖井与各水平的连接处应设置下列设施：——足够的照明及视频监视装置；</w:t>
            </w:r>
          </w:p>
          <w:p w14:paraId="1584C05F" w14:textId="77777777" w:rsidR="00F6607E" w:rsidRDefault="00F6607E" w:rsidP="00B33DBC">
            <w:pPr>
              <w:overflowPunct w:val="0"/>
              <w:spacing w:line="240" w:lineRule="auto"/>
              <w:ind w:firstLine="408"/>
              <w:rPr>
                <w:rFonts w:ascii="Times New Roman" w:hAnsi="Times New Roman" w:cs="宋体" w:hint="eastAsia"/>
                <w:spacing w:val="-3"/>
              </w:rPr>
            </w:pPr>
            <w:r>
              <w:rPr>
                <w:rFonts w:ascii="Times New Roman" w:hAnsi="Times New Roman" w:cs="宋体" w:hint="eastAsia"/>
                <w:spacing w:val="-3"/>
              </w:rPr>
              <w:t>——通往罐笼间的进出口设常闭安全门，安全门只应在人员或车辆通过时打开；</w:t>
            </w:r>
          </w:p>
          <w:p w14:paraId="20D4BE14" w14:textId="77777777" w:rsidR="00F6607E" w:rsidRDefault="00F6607E" w:rsidP="00B33DBC">
            <w:pPr>
              <w:overflowPunct w:val="0"/>
              <w:spacing w:line="240" w:lineRule="auto"/>
              <w:ind w:firstLine="408"/>
              <w:rPr>
                <w:rFonts w:ascii="Times New Roman" w:hAnsi="Times New Roman" w:cs="宋体" w:hint="eastAsia"/>
                <w:spacing w:val="-3"/>
              </w:rPr>
            </w:pPr>
            <w:r>
              <w:rPr>
                <w:rFonts w:ascii="Times New Roman" w:hAnsi="Times New Roman" w:cs="宋体" w:hint="eastAsia"/>
                <w:spacing w:val="-3"/>
              </w:rPr>
              <w:t>——井口周围应设置高度不小于</w:t>
            </w:r>
            <w:r>
              <w:rPr>
                <w:rFonts w:ascii="Times New Roman" w:hAnsi="Times New Roman" w:cs="宋体" w:hint="eastAsia"/>
                <w:spacing w:val="-3"/>
              </w:rPr>
              <w:t>1.5m</w:t>
            </w:r>
            <w:r>
              <w:rPr>
                <w:rFonts w:ascii="Times New Roman" w:hAnsi="Times New Roman" w:cs="宋体" w:hint="eastAsia"/>
                <w:spacing w:val="-3"/>
              </w:rPr>
              <w:t>的防护栏杆或金属网；</w:t>
            </w:r>
          </w:p>
          <w:p w14:paraId="1C8CB645" w14:textId="77777777" w:rsidR="00F6607E" w:rsidRDefault="00F6607E" w:rsidP="00B33DBC">
            <w:pPr>
              <w:overflowPunct w:val="0"/>
              <w:spacing w:line="240" w:lineRule="auto"/>
              <w:ind w:firstLine="408"/>
              <w:rPr>
                <w:rFonts w:ascii="Times New Roman" w:hAnsi="Times New Roman" w:cs="宋体" w:hint="eastAsia"/>
                <w:spacing w:val="-3"/>
              </w:rPr>
            </w:pPr>
            <w:r>
              <w:rPr>
                <w:rFonts w:ascii="Times New Roman" w:hAnsi="Times New Roman" w:cs="宋体" w:hint="eastAsia"/>
                <w:spacing w:val="-3"/>
              </w:rPr>
              <w:t>——候罐平台等应设梯子和高度不小于</w:t>
            </w:r>
            <w:r>
              <w:rPr>
                <w:rFonts w:ascii="Times New Roman" w:hAnsi="Times New Roman" w:cs="宋体" w:hint="eastAsia"/>
                <w:spacing w:val="-3"/>
              </w:rPr>
              <w:t>1.2m</w:t>
            </w:r>
            <w:r>
              <w:rPr>
                <w:rFonts w:ascii="Times New Roman" w:hAnsi="Times New Roman" w:cs="宋体" w:hint="eastAsia"/>
                <w:spacing w:val="-3"/>
              </w:rPr>
              <w:t>的防护栏杆；</w:t>
            </w:r>
          </w:p>
          <w:p w14:paraId="5D3946F6" w14:textId="77777777" w:rsidR="00F6607E" w:rsidRDefault="00F6607E" w:rsidP="00B33DBC">
            <w:pPr>
              <w:overflowPunct w:val="0"/>
              <w:spacing w:line="240" w:lineRule="auto"/>
              <w:ind w:firstLine="408"/>
              <w:rPr>
                <w:rFonts w:ascii="Times New Roman" w:hAnsi="Times New Roman" w:cs="宋体" w:hint="eastAsia"/>
                <w:spacing w:val="-3"/>
              </w:rPr>
            </w:pPr>
            <w:r>
              <w:rPr>
                <w:rFonts w:ascii="Times New Roman" w:hAnsi="Times New Roman" w:cs="宋体" w:hint="eastAsia"/>
                <w:spacing w:val="-3"/>
              </w:rPr>
              <w:t>——铺设轨道时设置阻车器；</w:t>
            </w:r>
          </w:p>
          <w:p w14:paraId="796439A9" w14:textId="77777777" w:rsidR="00F6607E" w:rsidRDefault="00F6607E" w:rsidP="00B33DBC">
            <w:pPr>
              <w:overflowPunct w:val="0"/>
              <w:spacing w:line="240" w:lineRule="auto"/>
              <w:ind w:firstLine="408"/>
              <w:rPr>
                <w:rFonts w:ascii="Times New Roman" w:hAnsi="Times New Roman" w:cs="宋体" w:hint="eastAsia"/>
              </w:rPr>
            </w:pPr>
            <w:r>
              <w:rPr>
                <w:rFonts w:ascii="Times New Roman" w:hAnsi="Times New Roman" w:cs="宋体" w:hint="eastAsia"/>
                <w:spacing w:val="-3"/>
              </w:rPr>
              <w:t>——井筒两侧的马头门应有人行绕道连通。</w:t>
            </w:r>
          </w:p>
        </w:tc>
        <w:tc>
          <w:tcPr>
            <w:tcW w:w="1417" w:type="dxa"/>
            <w:gridSpan w:val="2"/>
            <w:vAlign w:val="center"/>
          </w:tcPr>
          <w:p w14:paraId="1504F09F"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798FD0B6"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1D46C4DD" w14:textId="77777777" w:rsidR="00F6607E" w:rsidRDefault="00F6607E" w:rsidP="00B33DBC">
            <w:pPr>
              <w:overflowPunct w:val="0"/>
              <w:spacing w:line="240" w:lineRule="auto"/>
              <w:ind w:firstLineChars="0" w:firstLine="0"/>
              <w:rPr>
                <w:rFonts w:ascii="Times New Roman" w:hAnsi="Times New Roman" w:cs="宋体"/>
              </w:rPr>
            </w:pPr>
          </w:p>
        </w:tc>
      </w:tr>
      <w:tr w:rsidR="00F6607E" w14:paraId="39721A45" w14:textId="77777777" w:rsidTr="00F6607E">
        <w:trPr>
          <w:gridAfter w:val="1"/>
          <w:wAfter w:w="33" w:type="dxa"/>
          <w:cantSplit/>
          <w:jc w:val="center"/>
        </w:trPr>
        <w:tc>
          <w:tcPr>
            <w:tcW w:w="1020" w:type="dxa"/>
            <w:gridSpan w:val="2"/>
            <w:vAlign w:val="center"/>
          </w:tcPr>
          <w:p w14:paraId="41CABC79" w14:textId="77777777" w:rsidR="00F6607E" w:rsidRDefault="00F6607E" w:rsidP="00B33DBC">
            <w:pPr>
              <w:overflowPunct w:val="0"/>
              <w:spacing w:line="240" w:lineRule="auto"/>
              <w:ind w:firstLineChars="0" w:firstLine="0"/>
              <w:jc w:val="left"/>
              <w:rPr>
                <w:rFonts w:ascii="Times New Roman" w:hAnsi="Times New Roman" w:cs="宋体"/>
              </w:rPr>
            </w:pPr>
            <w:r>
              <w:rPr>
                <w:rFonts w:ascii="Times New Roman" w:hAnsi="Times New Roman" w:cs="宋体"/>
              </w:rPr>
              <w:t>10</w:t>
            </w:r>
            <w:r>
              <w:rPr>
                <w:rFonts w:ascii="Times New Roman" w:hAnsi="Times New Roman" w:cs="宋体" w:hint="eastAsia"/>
              </w:rPr>
              <w:t>.</w:t>
            </w:r>
            <w:r>
              <w:rPr>
                <w:rFonts w:ascii="Times New Roman" w:hAnsi="Times New Roman" w:cs="宋体" w:hint="eastAsia"/>
              </w:rPr>
              <w:t>防坠罐跑车管理</w:t>
            </w:r>
          </w:p>
        </w:tc>
        <w:tc>
          <w:tcPr>
            <w:tcW w:w="1020" w:type="dxa"/>
            <w:gridSpan w:val="2"/>
            <w:vAlign w:val="center"/>
          </w:tcPr>
          <w:p w14:paraId="19AD4FBE"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过卷保护装置及防坠装置。</w:t>
            </w:r>
          </w:p>
        </w:tc>
        <w:tc>
          <w:tcPr>
            <w:tcW w:w="1474" w:type="dxa"/>
            <w:gridSpan w:val="2"/>
            <w:vAlign w:val="center"/>
          </w:tcPr>
          <w:p w14:paraId="28D8E113"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查阅设计等相关资料并结合现场抽查。</w:t>
            </w:r>
          </w:p>
        </w:tc>
        <w:tc>
          <w:tcPr>
            <w:tcW w:w="5953" w:type="dxa"/>
            <w:gridSpan w:val="2"/>
            <w:vAlign w:val="center"/>
          </w:tcPr>
          <w:p w14:paraId="233F6075"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《金属非金属矿山重大事故隐患判定标准》</w:t>
            </w:r>
          </w:p>
          <w:p w14:paraId="51643814"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一、金属非金属地下矿山重大事故隐患</w:t>
            </w:r>
          </w:p>
          <w:p w14:paraId="0CC82D5D" w14:textId="77777777" w:rsidR="00F6607E" w:rsidRDefault="00F6607E" w:rsidP="00B33DBC">
            <w:pPr>
              <w:spacing w:line="240" w:lineRule="auto"/>
              <w:ind w:firstLine="420"/>
              <w:rPr>
                <w:rFonts w:ascii="Times New Roman" w:hAnsi="Times New Roman" w:cs="宋体"/>
              </w:rPr>
            </w:pPr>
            <w:r>
              <w:rPr>
                <w:rFonts w:ascii="Times New Roman" w:hAnsi="Times New Roman" w:cs="宋体" w:hint="eastAsia"/>
              </w:rPr>
              <w:t>（二十二）担负提升人员的提升系统，存在下列情形之一的：</w:t>
            </w:r>
          </w:p>
          <w:p w14:paraId="7680F0F2"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3.</w:t>
            </w:r>
            <w:r>
              <w:rPr>
                <w:rFonts w:ascii="Times New Roman" w:hAnsi="Times New Roman" w:cs="宋体" w:hint="eastAsia"/>
              </w:rPr>
              <w:t>竖井提升系统过卷段未按国家规定设置过卷缓冲装置、楔形罐道、过卷挡梁或者不能正常使用，或者提升人员的罐笼提升系统未按国家规定在井架或者井塔的过卷段内设置罐笼防坠装置。</w:t>
            </w:r>
          </w:p>
          <w:p w14:paraId="4BA85B8A"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《金属非金属矿山安全规程》</w:t>
            </w:r>
          </w:p>
          <w:p w14:paraId="14CC9F11" w14:textId="77777777" w:rsidR="00F6607E" w:rsidRDefault="00F6607E" w:rsidP="00B33DBC">
            <w:pPr>
              <w:spacing w:line="240" w:lineRule="auto"/>
              <w:ind w:firstLine="420"/>
              <w:rPr>
                <w:rFonts w:ascii="Times New Roman" w:hAnsi="Times New Roman" w:cs="宋体"/>
              </w:rPr>
            </w:pPr>
            <w:r>
              <w:rPr>
                <w:rFonts w:ascii="Times New Roman" w:hAnsi="Times New Roman" w:cs="宋体" w:hint="eastAsia"/>
              </w:rPr>
              <w:t>6.4.4.14</w:t>
            </w:r>
            <w:r>
              <w:rPr>
                <w:rFonts w:ascii="Times New Roman" w:hAnsi="Times New Roman" w:cs="宋体" w:hint="eastAsia"/>
              </w:rPr>
              <w:t xml:space="preserve">　提升竖井的井塔或者井架内和竖井井底应设置过卷段，过卷段高度应符合下列规定：</w:t>
            </w:r>
          </w:p>
          <w:p w14:paraId="08FF122A"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提升速度大于</w:t>
            </w:r>
            <w:r>
              <w:rPr>
                <w:rFonts w:ascii="Times New Roman" w:hAnsi="Times New Roman" w:cs="宋体" w:hint="eastAsia"/>
              </w:rPr>
              <w:t>6m/s</w:t>
            </w:r>
            <w:r>
              <w:rPr>
                <w:rFonts w:ascii="Times New Roman" w:hAnsi="Times New Roman" w:cs="宋体" w:hint="eastAsia"/>
              </w:rPr>
              <w:t>时，不小于最高提升速度下运行</w:t>
            </w:r>
            <w:r>
              <w:rPr>
                <w:rFonts w:ascii="Times New Roman" w:hAnsi="Times New Roman" w:cs="宋体" w:hint="eastAsia"/>
              </w:rPr>
              <w:t>1s</w:t>
            </w:r>
            <w:r>
              <w:rPr>
                <w:rFonts w:ascii="Times New Roman" w:hAnsi="Times New Roman" w:cs="宋体" w:hint="eastAsia"/>
              </w:rPr>
              <w:t>的距离或者</w:t>
            </w:r>
            <w:r>
              <w:rPr>
                <w:rFonts w:ascii="Times New Roman" w:hAnsi="Times New Roman" w:cs="宋体" w:hint="eastAsia"/>
              </w:rPr>
              <w:t>10m</w:t>
            </w:r>
            <w:r>
              <w:rPr>
                <w:rFonts w:ascii="Times New Roman" w:hAnsi="Times New Roman" w:cs="宋体" w:hint="eastAsia"/>
              </w:rPr>
              <w:t>；</w:t>
            </w:r>
            <w:r>
              <w:rPr>
                <w:rFonts w:ascii="Times New Roman" w:hAnsi="Times New Roman" w:cs="宋体" w:hint="eastAsia"/>
                <w:lang w:val="zh-TW" w:eastAsia="zh-TW"/>
              </w:rPr>
              <w:t>提升速度为</w:t>
            </w:r>
            <w:r>
              <w:rPr>
                <w:rFonts w:ascii="Times New Roman" w:hAnsi="Times New Roman" w:cs="宋体" w:hint="eastAsia"/>
                <w:lang w:val="zh-TW" w:eastAsia="zh-TW"/>
              </w:rPr>
              <w:t>3</w:t>
            </w:r>
            <w:r>
              <w:rPr>
                <w:rFonts w:ascii="Times New Roman" w:hAnsi="Times New Roman" w:cs="宋体" w:hint="eastAsia"/>
              </w:rPr>
              <w:t>m/s</w:t>
            </w:r>
            <w:r>
              <w:rPr>
                <w:rFonts w:ascii="Times New Roman" w:hAnsi="Times New Roman" w:cs="宋体"/>
                <w:lang w:eastAsia="zh-TW"/>
              </w:rPr>
              <w:t>～</w:t>
            </w:r>
            <w:r>
              <w:rPr>
                <w:rFonts w:ascii="Times New Roman" w:hAnsi="Times New Roman" w:cs="宋体" w:hint="eastAsia"/>
                <w:lang w:val="zh-TW" w:eastAsia="zh-TW"/>
              </w:rPr>
              <w:t>6</w:t>
            </w:r>
            <w:r>
              <w:rPr>
                <w:rFonts w:ascii="Times New Roman" w:hAnsi="Times New Roman" w:cs="宋体" w:hint="eastAsia"/>
              </w:rPr>
              <w:t>m/s</w:t>
            </w:r>
            <w:r>
              <w:rPr>
                <w:rFonts w:ascii="Times New Roman" w:hAnsi="Times New Roman" w:cs="宋体" w:hint="eastAsia"/>
                <w:lang w:val="zh-TW" w:eastAsia="zh-TW"/>
              </w:rPr>
              <w:t>时，不小于</w:t>
            </w:r>
            <w:r>
              <w:rPr>
                <w:rFonts w:ascii="Times New Roman" w:hAnsi="Times New Roman" w:cs="宋体" w:hint="eastAsia"/>
                <w:lang w:val="zh-TW" w:eastAsia="zh-TW"/>
              </w:rPr>
              <w:t>6</w:t>
            </w:r>
            <w:r>
              <w:rPr>
                <w:rFonts w:ascii="Times New Roman" w:hAnsi="Times New Roman" w:cs="宋体" w:hint="eastAsia"/>
              </w:rPr>
              <w:t>m</w:t>
            </w:r>
            <w:r>
              <w:rPr>
                <w:rFonts w:ascii="Times New Roman" w:hAnsi="Times New Roman" w:cs="宋体" w:hint="eastAsia"/>
              </w:rPr>
              <w:t>；提升速度小于</w:t>
            </w:r>
            <w:r>
              <w:rPr>
                <w:rFonts w:ascii="Times New Roman" w:hAnsi="Times New Roman" w:cs="宋体" w:hint="eastAsia"/>
              </w:rPr>
              <w:t>3m/s</w:t>
            </w:r>
            <w:r>
              <w:rPr>
                <w:rFonts w:ascii="Times New Roman" w:hAnsi="Times New Roman" w:cs="宋体" w:hint="eastAsia"/>
              </w:rPr>
              <w:t>时，不小于</w:t>
            </w:r>
            <w:r>
              <w:rPr>
                <w:rFonts w:ascii="Times New Roman" w:hAnsi="Times New Roman" w:cs="宋体" w:hint="eastAsia"/>
              </w:rPr>
              <w:t>4m</w:t>
            </w:r>
            <w:r>
              <w:rPr>
                <w:rFonts w:ascii="Times New Roman" w:hAnsi="Times New Roman" w:cs="宋体" w:hint="eastAsia"/>
              </w:rPr>
              <w:t>；凿井期间用吊桶提升时，不小于</w:t>
            </w:r>
            <w:r>
              <w:rPr>
                <w:rFonts w:ascii="Times New Roman" w:hAnsi="Times New Roman" w:cs="宋体" w:hint="eastAsia"/>
              </w:rPr>
              <w:t>4m</w:t>
            </w:r>
            <w:r>
              <w:rPr>
                <w:rFonts w:ascii="Times New Roman" w:hAnsi="Times New Roman" w:cs="宋体" w:hint="eastAsia"/>
              </w:rPr>
              <w:t>。</w:t>
            </w:r>
          </w:p>
          <w:p w14:paraId="3C689792"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6.4.4.15</w:t>
            </w:r>
            <w:r>
              <w:rPr>
                <w:rFonts w:ascii="Times New Roman" w:hAnsi="Times New Roman" w:cs="宋体" w:hint="eastAsia"/>
              </w:rPr>
              <w:t xml:space="preserve">　过卷段终端应设置过卷挡梁；发生过卷事故后过卷挡梁应能正常使用。</w:t>
            </w:r>
          </w:p>
          <w:p w14:paraId="138B8C5D" w14:textId="77777777" w:rsidR="00F6607E" w:rsidRDefault="00F6607E" w:rsidP="00B33DBC">
            <w:pPr>
              <w:spacing w:line="240" w:lineRule="auto"/>
              <w:ind w:firstLine="420"/>
              <w:rPr>
                <w:rFonts w:ascii="Times New Roman" w:hAnsi="Times New Roman" w:hint="eastAsia"/>
              </w:rPr>
            </w:pPr>
            <w:r>
              <w:rPr>
                <w:rFonts w:ascii="Times New Roman" w:hAnsi="Times New Roman" w:cs="宋体" w:hint="eastAsia"/>
              </w:rPr>
              <w:t>6.4.4.17</w:t>
            </w:r>
            <w:r>
              <w:rPr>
                <w:rFonts w:ascii="Times New Roman" w:hAnsi="Times New Roman" w:cs="宋体" w:hint="eastAsia"/>
              </w:rPr>
              <w:t xml:space="preserve">　提升人员的罐笼提升系统应在井架或者井塔的过卷段内设置罐笼防坠装置，使罐笼下坠高度不超过</w:t>
            </w:r>
            <w:r>
              <w:rPr>
                <w:rFonts w:ascii="Times New Roman" w:hAnsi="Times New Roman" w:cs="宋体" w:hint="eastAsia"/>
              </w:rPr>
              <w:t>0.5m</w:t>
            </w:r>
            <w:r>
              <w:rPr>
                <w:rFonts w:ascii="Times New Roman" w:hAnsi="Times New Roman" w:cs="宋体" w:hint="eastAsia"/>
              </w:rPr>
              <w:t>。</w:t>
            </w:r>
          </w:p>
        </w:tc>
        <w:tc>
          <w:tcPr>
            <w:tcW w:w="1417" w:type="dxa"/>
            <w:gridSpan w:val="2"/>
            <w:vAlign w:val="center"/>
          </w:tcPr>
          <w:p w14:paraId="6B949AD5"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3F04CF6C"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36962765" w14:textId="77777777" w:rsidR="00F6607E" w:rsidRDefault="00F6607E" w:rsidP="00B33DBC">
            <w:pPr>
              <w:overflowPunct w:val="0"/>
              <w:spacing w:line="240" w:lineRule="auto"/>
              <w:ind w:firstLineChars="0" w:firstLine="0"/>
              <w:rPr>
                <w:rFonts w:ascii="Times New Roman" w:hAnsi="Times New Roman" w:cs="宋体"/>
              </w:rPr>
            </w:pPr>
          </w:p>
        </w:tc>
      </w:tr>
      <w:tr w:rsidR="00F6607E" w14:paraId="5ACAD1A7" w14:textId="77777777" w:rsidTr="00F6607E">
        <w:trPr>
          <w:gridAfter w:val="1"/>
          <w:wAfter w:w="33" w:type="dxa"/>
          <w:cantSplit/>
          <w:jc w:val="center"/>
        </w:trPr>
        <w:tc>
          <w:tcPr>
            <w:tcW w:w="1020" w:type="dxa"/>
            <w:gridSpan w:val="2"/>
            <w:tcBorders>
              <w:top w:val="single" w:sz="4" w:space="0" w:color="000000"/>
            </w:tcBorders>
            <w:vAlign w:val="center"/>
          </w:tcPr>
          <w:p w14:paraId="696694F7" w14:textId="77777777" w:rsidR="00F6607E" w:rsidRDefault="00F6607E" w:rsidP="00B33DBC">
            <w:pPr>
              <w:overflowPunct w:val="0"/>
              <w:spacing w:line="240" w:lineRule="auto"/>
              <w:ind w:firstLineChars="0" w:firstLine="0"/>
              <w:jc w:val="left"/>
              <w:rPr>
                <w:rFonts w:ascii="Times New Roman" w:hAnsi="Times New Roman" w:cs="宋体"/>
              </w:rPr>
            </w:pPr>
            <w:r>
              <w:rPr>
                <w:rFonts w:ascii="Times New Roman" w:hAnsi="Times New Roman" w:cs="宋体"/>
              </w:rPr>
              <w:t>10</w:t>
            </w:r>
            <w:r>
              <w:rPr>
                <w:rFonts w:ascii="Times New Roman" w:hAnsi="Times New Roman" w:cs="宋体" w:hint="eastAsia"/>
              </w:rPr>
              <w:t>.</w:t>
            </w:r>
            <w:r>
              <w:rPr>
                <w:rFonts w:ascii="Times New Roman" w:hAnsi="Times New Roman" w:cs="宋体" w:hint="eastAsia"/>
              </w:rPr>
              <w:t>防坠罐跑车管理</w:t>
            </w:r>
          </w:p>
        </w:tc>
        <w:tc>
          <w:tcPr>
            <w:tcW w:w="1020" w:type="dxa"/>
            <w:gridSpan w:val="2"/>
            <w:tcBorders>
              <w:top w:val="single" w:sz="4" w:space="0" w:color="000000"/>
            </w:tcBorders>
            <w:vAlign w:val="center"/>
          </w:tcPr>
          <w:p w14:paraId="1F6DC803"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提升系统的保护和闭锁联锁装置。</w:t>
            </w:r>
          </w:p>
        </w:tc>
        <w:tc>
          <w:tcPr>
            <w:tcW w:w="1474" w:type="dxa"/>
            <w:gridSpan w:val="2"/>
            <w:vAlign w:val="center"/>
          </w:tcPr>
          <w:p w14:paraId="519ECD5E"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查阅相关设计等资料并结合现场抽查。</w:t>
            </w:r>
          </w:p>
        </w:tc>
        <w:tc>
          <w:tcPr>
            <w:tcW w:w="5953" w:type="dxa"/>
            <w:gridSpan w:val="2"/>
            <w:vAlign w:val="center"/>
          </w:tcPr>
          <w:p w14:paraId="5439646A" w14:textId="77777777" w:rsidR="00F6607E" w:rsidRDefault="00F6607E" w:rsidP="00B33DBC">
            <w:pPr>
              <w:spacing w:line="240" w:lineRule="auto"/>
              <w:ind w:firstLine="422"/>
              <w:rPr>
                <w:rFonts w:ascii="Times New Roman" w:hAnsi="Times New Roman" w:cs="宋体" w:hint="eastAsia"/>
                <w:b/>
                <w:bCs/>
              </w:rPr>
            </w:pPr>
            <w:r>
              <w:rPr>
                <w:rFonts w:ascii="Times New Roman" w:hAnsi="Times New Roman" w:cs="宋体" w:hint="eastAsia"/>
                <w:b/>
                <w:bCs/>
              </w:rPr>
              <w:t>《金属非金属矿山重大事故隐患判定标准》</w:t>
            </w:r>
          </w:p>
          <w:p w14:paraId="38CE2B79" w14:textId="77777777" w:rsidR="00F6607E" w:rsidRDefault="00F6607E" w:rsidP="00B33DBC">
            <w:pPr>
              <w:spacing w:line="240" w:lineRule="auto"/>
              <w:ind w:firstLine="420"/>
              <w:jc w:val="left"/>
              <w:rPr>
                <w:rFonts w:ascii="Times New Roman" w:hAnsi="Times New Roman" w:cs="宋体" w:hint="eastAsia"/>
              </w:rPr>
            </w:pPr>
            <w:r>
              <w:rPr>
                <w:rFonts w:ascii="Times New Roman" w:hAnsi="Times New Roman" w:cs="宋体" w:hint="eastAsia"/>
              </w:rPr>
              <w:t>一、金属非金属地下矿山重大事故隐患</w:t>
            </w:r>
          </w:p>
          <w:p w14:paraId="58668930" w14:textId="77777777" w:rsidR="00F6607E" w:rsidRDefault="00F6607E" w:rsidP="00B33DBC">
            <w:pPr>
              <w:spacing w:line="240" w:lineRule="auto"/>
              <w:ind w:firstLine="420"/>
              <w:jc w:val="left"/>
              <w:rPr>
                <w:rFonts w:ascii="Times New Roman" w:hAnsi="Times New Roman" w:cs="宋体" w:hint="eastAsia"/>
              </w:rPr>
            </w:pPr>
            <w:r>
              <w:rPr>
                <w:rFonts w:ascii="Times New Roman" w:hAnsi="Times New Roman" w:cs="宋体" w:hint="eastAsia"/>
              </w:rPr>
              <w:t>（二十二）担负提升人员的提升系统，存在下列情形之一的：</w:t>
            </w:r>
          </w:p>
          <w:p w14:paraId="70A9D42C" w14:textId="77777777" w:rsidR="00F6607E" w:rsidRDefault="00F6607E" w:rsidP="00B33DBC">
            <w:pPr>
              <w:spacing w:line="240" w:lineRule="auto"/>
              <w:ind w:firstLine="420"/>
              <w:jc w:val="left"/>
              <w:rPr>
                <w:rFonts w:ascii="Times New Roman" w:hAnsi="Times New Roman" w:cs="宋体" w:hint="eastAsia"/>
              </w:rPr>
            </w:pPr>
            <w:r>
              <w:rPr>
                <w:rFonts w:ascii="Times New Roman" w:hAnsi="Times New Roman" w:cs="宋体" w:hint="eastAsia"/>
              </w:rPr>
              <w:t>1.</w:t>
            </w:r>
            <w:r>
              <w:rPr>
                <w:rFonts w:ascii="Times New Roman" w:hAnsi="Times New Roman" w:cs="宋体" w:hint="eastAsia"/>
              </w:rPr>
              <w:t>提升机、防坠器、钢丝绳、连接装置、提升容器未按国家规定进行定期检测检验，或者提升设备的安全保护装置失效；</w:t>
            </w:r>
          </w:p>
          <w:p w14:paraId="3E3D7EBE"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2.</w:t>
            </w:r>
            <w:r>
              <w:rPr>
                <w:rFonts w:ascii="Times New Roman" w:hAnsi="Times New Roman" w:cs="宋体" w:hint="eastAsia"/>
              </w:rPr>
              <w:t>竖井井口和井下各中段马头门设置的安全门或者摇台与提升机未实现联锁。</w:t>
            </w:r>
          </w:p>
          <w:p w14:paraId="58340215" w14:textId="77777777" w:rsidR="00F6607E" w:rsidRDefault="00F6607E" w:rsidP="00B33DBC">
            <w:pPr>
              <w:spacing w:line="240" w:lineRule="auto"/>
              <w:ind w:firstLine="422"/>
              <w:jc w:val="left"/>
              <w:rPr>
                <w:rFonts w:ascii="Times New Roman" w:hAnsi="Times New Roman" w:cs="宋体" w:hint="eastAsia"/>
                <w:b/>
                <w:bCs/>
              </w:rPr>
            </w:pPr>
            <w:r>
              <w:rPr>
                <w:rFonts w:ascii="Times New Roman" w:hAnsi="Times New Roman" w:cs="宋体" w:hint="eastAsia"/>
                <w:b/>
                <w:bCs/>
              </w:rPr>
              <w:t>《金属非金属矿山安全规程》</w:t>
            </w:r>
          </w:p>
          <w:p w14:paraId="5E40CF45"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6.4.8.13</w:t>
            </w:r>
            <w:r>
              <w:rPr>
                <w:rFonts w:ascii="Times New Roman" w:hAnsi="Times New Roman" w:cs="宋体" w:hint="eastAsia"/>
              </w:rPr>
              <w:t xml:space="preserve">　提升系统应设下列保护和联锁：</w:t>
            </w:r>
          </w:p>
          <w:p w14:paraId="775C7CA1"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控制电源的失压保护；主电动机回路接地保护；制动状态下主电动机的过电流保护；辅机控制系统釆用交流不停电电源装置（</w:t>
            </w:r>
            <w:r>
              <w:rPr>
                <w:rFonts w:ascii="Times New Roman" w:hAnsi="Times New Roman" w:cs="宋体" w:hint="eastAsia"/>
              </w:rPr>
              <w:t>UPS</w:t>
            </w:r>
            <w:r>
              <w:rPr>
                <w:rFonts w:ascii="Times New Roman" w:hAnsi="Times New Roman" w:cs="宋体" w:hint="eastAsia"/>
              </w:rPr>
              <w:t>）供电时的电源失电保护；高压换向器（或全部电气设备）的隔墙（或围栅）门与断路器之间的联锁；安全制动时不能接通电动机电源的联锁；</w:t>
            </w:r>
          </w:p>
          <w:p w14:paraId="32262247"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工作制动时电动机不能加速的联锁；高压换向器的电弧闭锁；控制屏加速接触器主触头的失灵闭锁；缠绕式提升机应设松绳保护联锁；采用电气制动时，高压换向器与直流接触器间应有电弧闭锁；主电动机冷却故障或者温升超过额定值的联锁；可控硅整流装置冷却故障的联锁；尾绳工作不正常的联锁；装卸载装置运行不到位的联锁；装矿设施不正常及超载过限的联锁；深度指示器调零装置失灵、摩擦式提升机位置同步未完成的联锁；摇台工作状态的联锁；井口及各中段安全门未关闭的联锁。</w:t>
            </w:r>
          </w:p>
        </w:tc>
        <w:tc>
          <w:tcPr>
            <w:tcW w:w="1417" w:type="dxa"/>
            <w:gridSpan w:val="2"/>
            <w:vAlign w:val="center"/>
          </w:tcPr>
          <w:p w14:paraId="7BFDC5F2"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519FD20B"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7B49D705" w14:textId="77777777" w:rsidR="00F6607E" w:rsidRDefault="00F6607E" w:rsidP="00B33DBC">
            <w:pPr>
              <w:overflowPunct w:val="0"/>
              <w:spacing w:line="240" w:lineRule="auto"/>
              <w:ind w:firstLineChars="0" w:firstLine="0"/>
              <w:rPr>
                <w:rFonts w:ascii="Times New Roman" w:hAnsi="Times New Roman" w:cs="宋体"/>
              </w:rPr>
            </w:pPr>
          </w:p>
        </w:tc>
      </w:tr>
      <w:tr w:rsidR="00F6607E" w14:paraId="5E358AA6" w14:textId="77777777" w:rsidTr="00F6607E">
        <w:trPr>
          <w:gridAfter w:val="1"/>
          <w:wAfter w:w="33" w:type="dxa"/>
          <w:cantSplit/>
          <w:jc w:val="center"/>
        </w:trPr>
        <w:tc>
          <w:tcPr>
            <w:tcW w:w="1020" w:type="dxa"/>
            <w:gridSpan w:val="2"/>
            <w:tcBorders>
              <w:bottom w:val="single" w:sz="4" w:space="0" w:color="000000"/>
            </w:tcBorders>
            <w:vAlign w:val="center"/>
          </w:tcPr>
          <w:p w14:paraId="31D9D0CE" w14:textId="77777777" w:rsidR="00F6607E" w:rsidRDefault="00F6607E" w:rsidP="00B33DBC">
            <w:pPr>
              <w:overflowPunct w:val="0"/>
              <w:spacing w:line="240" w:lineRule="auto"/>
              <w:ind w:firstLineChars="0" w:firstLine="0"/>
              <w:jc w:val="left"/>
              <w:rPr>
                <w:rFonts w:ascii="Times New Roman" w:hAnsi="Times New Roman" w:cs="宋体"/>
              </w:rPr>
            </w:pPr>
            <w:r>
              <w:rPr>
                <w:rFonts w:ascii="Times New Roman" w:hAnsi="Times New Roman" w:cs="宋体"/>
              </w:rPr>
              <w:t>10</w:t>
            </w:r>
            <w:r>
              <w:rPr>
                <w:rFonts w:ascii="Times New Roman" w:hAnsi="Times New Roman" w:cs="宋体" w:hint="eastAsia"/>
              </w:rPr>
              <w:t>.</w:t>
            </w:r>
            <w:r>
              <w:rPr>
                <w:rFonts w:ascii="Times New Roman" w:hAnsi="Times New Roman" w:cs="宋体" w:hint="eastAsia"/>
              </w:rPr>
              <w:t>防坠罐跑车管理</w:t>
            </w:r>
          </w:p>
        </w:tc>
        <w:tc>
          <w:tcPr>
            <w:tcW w:w="1020" w:type="dxa"/>
            <w:gridSpan w:val="2"/>
            <w:tcBorders>
              <w:bottom w:val="single" w:sz="4" w:space="0" w:color="000000"/>
            </w:tcBorders>
            <w:vAlign w:val="center"/>
          </w:tcPr>
          <w:p w14:paraId="0C2C4036"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提升设备是否按规定定期维保及检查。</w:t>
            </w:r>
          </w:p>
        </w:tc>
        <w:tc>
          <w:tcPr>
            <w:tcW w:w="1474" w:type="dxa"/>
            <w:gridSpan w:val="2"/>
            <w:vAlign w:val="center"/>
          </w:tcPr>
          <w:p w14:paraId="18A81523"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查有关维保及检查记录等资料。</w:t>
            </w:r>
          </w:p>
        </w:tc>
        <w:tc>
          <w:tcPr>
            <w:tcW w:w="5953" w:type="dxa"/>
            <w:gridSpan w:val="2"/>
            <w:vAlign w:val="center"/>
          </w:tcPr>
          <w:p w14:paraId="033F9811"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《金属非金属矿山安全规程》</w:t>
            </w:r>
          </w:p>
          <w:p w14:paraId="39B96811"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6.4.4.29</w:t>
            </w:r>
            <w:r>
              <w:rPr>
                <w:rFonts w:ascii="Times New Roman" w:hAnsi="Times New Roman" w:cs="宋体" w:hint="eastAsia"/>
              </w:rPr>
              <w:t xml:space="preserve">　竖井提升系统应按照下列要求进行检查，发现问题立即处理，并将检查和处理结果记录存档：</w:t>
            </w:r>
          </w:p>
          <w:p w14:paraId="18DA2E3F"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——提升系统的钢丝绳、悬挂装置、提升容器、防坠器等，每天由专人检查</w:t>
            </w:r>
            <w:r>
              <w:rPr>
                <w:rFonts w:ascii="Times New Roman" w:hAnsi="Times New Roman" w:cs="宋体" w:hint="eastAsia"/>
              </w:rPr>
              <w:t>1</w:t>
            </w:r>
            <w:r>
              <w:rPr>
                <w:rFonts w:ascii="Times New Roman" w:hAnsi="Times New Roman" w:cs="宋体" w:hint="eastAsia"/>
              </w:rPr>
              <w:t>次，每月由矿机电部门组织检查</w:t>
            </w:r>
            <w:r>
              <w:rPr>
                <w:rFonts w:ascii="Times New Roman" w:hAnsi="Times New Roman" w:cs="宋体" w:hint="eastAsia"/>
              </w:rPr>
              <w:t>1</w:t>
            </w:r>
            <w:r>
              <w:rPr>
                <w:rFonts w:ascii="Times New Roman" w:hAnsi="Times New Roman" w:cs="宋体" w:hint="eastAsia"/>
              </w:rPr>
              <w:t>；</w:t>
            </w:r>
          </w:p>
          <w:p w14:paraId="052CD7BE"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——提升机的卷筒或摩擦轮、制动装置、调绳装置、传动装置、电动机和控制设备以及各种保护装置和闭锁装置等，每天由专人检查</w:t>
            </w:r>
            <w:r>
              <w:rPr>
                <w:rFonts w:ascii="Times New Roman" w:hAnsi="Times New Roman" w:cs="宋体" w:hint="eastAsia"/>
              </w:rPr>
              <w:t>1</w:t>
            </w:r>
            <w:r>
              <w:rPr>
                <w:rFonts w:ascii="Times New Roman" w:hAnsi="Times New Roman" w:cs="宋体" w:hint="eastAsia"/>
              </w:rPr>
              <w:t>次，每月由矿机电部门组织检查</w:t>
            </w:r>
            <w:r>
              <w:rPr>
                <w:rFonts w:ascii="Times New Roman" w:hAnsi="Times New Roman" w:cs="宋体" w:hint="eastAsia"/>
              </w:rPr>
              <w:t>1</w:t>
            </w:r>
            <w:r>
              <w:rPr>
                <w:rFonts w:ascii="Times New Roman" w:hAnsi="Times New Roman" w:cs="宋体" w:hint="eastAsia"/>
              </w:rPr>
              <w:t>次；</w:t>
            </w:r>
          </w:p>
          <w:p w14:paraId="245D57FC"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——提升容器的防坠器、连接装置、保险链、罐门、导向槽、罐体、罐内阻车器等，每天由专人检查</w:t>
            </w:r>
            <w:r>
              <w:rPr>
                <w:rFonts w:ascii="Times New Roman" w:hAnsi="Times New Roman" w:cs="宋体" w:hint="eastAsia"/>
              </w:rPr>
              <w:t>1</w:t>
            </w:r>
            <w:r>
              <w:rPr>
                <w:rFonts w:ascii="Times New Roman" w:hAnsi="Times New Roman" w:cs="宋体" w:hint="eastAsia"/>
              </w:rPr>
              <w:t>次，每月由矿机电部门组织检查</w:t>
            </w:r>
            <w:r>
              <w:rPr>
                <w:rFonts w:ascii="Times New Roman" w:hAnsi="Times New Roman" w:cs="宋体" w:hint="eastAsia"/>
              </w:rPr>
              <w:t>1</w:t>
            </w:r>
            <w:r>
              <w:rPr>
                <w:rFonts w:ascii="Times New Roman" w:hAnsi="Times New Roman" w:cs="宋体" w:hint="eastAsia"/>
              </w:rPr>
              <w:t>次；</w:t>
            </w:r>
          </w:p>
          <w:p w14:paraId="2C052EB9"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——天轮、导向轮、过卷缓冲装置、罐道、尾绳隔离装置、安全门、摇台、阻车器、装卸矿设施等，每月由专人检查</w:t>
            </w:r>
            <w:r>
              <w:rPr>
                <w:rFonts w:ascii="Times New Roman" w:hAnsi="Times New Roman" w:cs="宋体" w:hint="eastAsia"/>
              </w:rPr>
              <w:t>1</w:t>
            </w:r>
            <w:r>
              <w:rPr>
                <w:rFonts w:ascii="Times New Roman" w:hAnsi="Times New Roman" w:cs="宋体" w:hint="eastAsia"/>
              </w:rPr>
              <w:t>次；</w:t>
            </w:r>
          </w:p>
          <w:p w14:paraId="5DDE3051" w14:textId="77777777" w:rsidR="00F6607E" w:rsidRDefault="00F6607E" w:rsidP="00B33DBC">
            <w:pPr>
              <w:spacing w:line="240" w:lineRule="auto"/>
              <w:ind w:firstLine="420"/>
              <w:rPr>
                <w:rFonts w:ascii="Times New Roman" w:hAnsi="Times New Roman" w:cs="宋体"/>
              </w:rPr>
            </w:pPr>
            <w:r>
              <w:rPr>
                <w:rFonts w:ascii="Times New Roman" w:hAnsi="Times New Roman" w:cs="宋体" w:hint="eastAsia"/>
              </w:rPr>
              <w:t>——新安装或大修后的单绳罐笼防坠器应进行脱钩试验，合格后方可使用；在用防坠器每半年进行</w:t>
            </w:r>
            <w:r>
              <w:rPr>
                <w:rFonts w:ascii="Times New Roman" w:hAnsi="Times New Roman" w:cs="宋体" w:hint="eastAsia"/>
              </w:rPr>
              <w:t>1</w:t>
            </w:r>
            <w:r>
              <w:rPr>
                <w:rFonts w:ascii="Times New Roman" w:hAnsi="Times New Roman" w:cs="宋体" w:hint="eastAsia"/>
              </w:rPr>
              <w:t>次不脱钩试验；每年进行</w:t>
            </w:r>
            <w:r>
              <w:rPr>
                <w:rFonts w:ascii="Times New Roman" w:hAnsi="Times New Roman" w:cs="宋体" w:hint="eastAsia"/>
              </w:rPr>
              <w:t>1</w:t>
            </w:r>
            <w:r>
              <w:rPr>
                <w:rFonts w:ascii="Times New Roman" w:hAnsi="Times New Roman" w:cs="宋体" w:hint="eastAsia"/>
              </w:rPr>
              <w:t>次脱钩试验；防坠器的抓捕器断面减少</w:t>
            </w:r>
            <w:r>
              <w:rPr>
                <w:rFonts w:ascii="Times New Roman" w:hAnsi="Times New Roman" w:cs="宋体" w:hint="eastAsia"/>
              </w:rPr>
              <w:t>20%</w:t>
            </w:r>
            <w:r>
              <w:rPr>
                <w:rFonts w:ascii="Times New Roman" w:hAnsi="Times New Roman" w:cs="宋体" w:hint="eastAsia"/>
              </w:rPr>
              <w:t>或者导向套衬瓦一侧磨损超过</w:t>
            </w:r>
            <w:r>
              <w:rPr>
                <w:rFonts w:ascii="Times New Roman" w:hAnsi="Times New Roman" w:cs="宋体" w:hint="eastAsia"/>
              </w:rPr>
              <w:t>3mm</w:t>
            </w:r>
            <w:r>
              <w:rPr>
                <w:rFonts w:ascii="Times New Roman" w:hAnsi="Times New Roman" w:cs="宋体" w:hint="eastAsia"/>
              </w:rPr>
              <w:t>时应更换。</w:t>
            </w:r>
          </w:p>
          <w:p w14:paraId="2FF08DB6"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6.4.4.30</w:t>
            </w:r>
            <w:r>
              <w:rPr>
                <w:rFonts w:ascii="Times New Roman" w:hAnsi="Times New Roman" w:cs="宋体" w:hint="eastAsia"/>
              </w:rPr>
              <w:t xml:space="preserve">　井架和多绳提升机井塔，每年检查</w:t>
            </w:r>
            <w:r>
              <w:rPr>
                <w:rFonts w:ascii="Times New Roman" w:hAnsi="Times New Roman" w:cs="宋体" w:hint="eastAsia"/>
              </w:rPr>
              <w:t>1</w:t>
            </w:r>
            <w:r>
              <w:rPr>
                <w:rFonts w:ascii="Times New Roman" w:hAnsi="Times New Roman" w:cs="宋体" w:hint="eastAsia"/>
              </w:rPr>
              <w:t>次；木质井架每半年检查</w:t>
            </w:r>
            <w:r>
              <w:rPr>
                <w:rFonts w:ascii="Times New Roman" w:hAnsi="Times New Roman" w:cs="宋体" w:hint="eastAsia"/>
              </w:rPr>
              <w:t>1</w:t>
            </w:r>
            <w:r>
              <w:rPr>
                <w:rFonts w:ascii="Times New Roman" w:hAnsi="Times New Roman" w:cs="宋体" w:hint="eastAsia"/>
              </w:rPr>
              <w:t>次。发现问题应及时处理。检查和处理结果应记录存档。</w:t>
            </w:r>
          </w:p>
          <w:p w14:paraId="3A794361"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6.4.4.31</w:t>
            </w:r>
            <w:r>
              <w:rPr>
                <w:rFonts w:ascii="Times New Roman" w:hAnsi="Times New Roman" w:cs="宋体" w:hint="eastAsia"/>
              </w:rPr>
              <w:t xml:space="preserve">　提升系统每年应进行</w:t>
            </w:r>
            <w:r>
              <w:rPr>
                <w:rFonts w:ascii="Times New Roman" w:hAnsi="Times New Roman" w:cs="宋体" w:hint="eastAsia"/>
              </w:rPr>
              <w:t>1</w:t>
            </w:r>
            <w:r>
              <w:rPr>
                <w:rFonts w:ascii="Times New Roman" w:hAnsi="Times New Roman" w:cs="宋体" w:hint="eastAsia"/>
              </w:rPr>
              <w:t>次检验，发现问题立即处理。检验和处理结果应记录存档。检验项目如下：</w:t>
            </w:r>
          </w:p>
          <w:p w14:paraId="591AA5EC"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w:t>
            </w:r>
            <w:r>
              <w:rPr>
                <w:rFonts w:ascii="Times New Roman" w:hAnsi="Times New Roman" w:cs="宋体" w:hint="eastAsia"/>
              </w:rPr>
              <w:t>6.4.8.11</w:t>
            </w:r>
            <w:r>
              <w:rPr>
                <w:rFonts w:ascii="Times New Roman" w:hAnsi="Times New Roman" w:cs="宋体" w:hint="eastAsia"/>
              </w:rPr>
              <w:t>～</w:t>
            </w:r>
            <w:r>
              <w:rPr>
                <w:rFonts w:ascii="Times New Roman" w:hAnsi="Times New Roman" w:cs="宋体" w:hint="eastAsia"/>
              </w:rPr>
              <w:t xml:space="preserve">6.4.8.14 </w:t>
            </w:r>
            <w:r>
              <w:rPr>
                <w:rFonts w:ascii="Times New Roman" w:hAnsi="Times New Roman" w:cs="宋体" w:hint="eastAsia"/>
              </w:rPr>
              <w:t>规定的各种安全保护；</w:t>
            </w:r>
          </w:p>
          <w:p w14:paraId="6E5C25B9"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——电气传动装置和控制系统的情况；</w:t>
            </w:r>
          </w:p>
          <w:p w14:paraId="602025FD" w14:textId="77777777" w:rsidR="00F6607E" w:rsidRDefault="00F6607E" w:rsidP="00B33DBC">
            <w:pPr>
              <w:spacing w:line="240" w:lineRule="auto"/>
              <w:ind w:firstLine="420"/>
              <w:rPr>
                <w:rFonts w:ascii="Times New Roman" w:hAnsi="Times New Roman" w:hint="eastAsia"/>
              </w:rPr>
            </w:pPr>
            <w:r>
              <w:rPr>
                <w:rFonts w:ascii="Times New Roman" w:hAnsi="Times New Roman" w:cs="宋体" w:hint="eastAsia"/>
              </w:rPr>
              <w:t>——工作制动和安全制动的工作性能：验算和检测制动力矩，测定安全制动减速度。</w:t>
            </w:r>
          </w:p>
        </w:tc>
        <w:tc>
          <w:tcPr>
            <w:tcW w:w="1417" w:type="dxa"/>
            <w:gridSpan w:val="2"/>
            <w:vAlign w:val="center"/>
          </w:tcPr>
          <w:p w14:paraId="4C5E3772"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5581F6C4"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75E49BAF" w14:textId="77777777" w:rsidR="00F6607E" w:rsidRDefault="00F6607E" w:rsidP="00B33DBC">
            <w:pPr>
              <w:overflowPunct w:val="0"/>
              <w:spacing w:line="240" w:lineRule="auto"/>
              <w:ind w:firstLineChars="0" w:firstLine="0"/>
              <w:rPr>
                <w:rFonts w:ascii="Times New Roman" w:hAnsi="Times New Roman" w:cs="宋体"/>
              </w:rPr>
            </w:pPr>
          </w:p>
        </w:tc>
      </w:tr>
      <w:tr w:rsidR="00F6607E" w14:paraId="48EC7B74" w14:textId="77777777" w:rsidTr="00F6607E">
        <w:trPr>
          <w:gridAfter w:val="1"/>
          <w:wAfter w:w="33" w:type="dxa"/>
          <w:cantSplit/>
          <w:jc w:val="center"/>
        </w:trPr>
        <w:tc>
          <w:tcPr>
            <w:tcW w:w="1020" w:type="dxa"/>
            <w:gridSpan w:val="2"/>
            <w:vMerge w:val="restart"/>
            <w:vAlign w:val="center"/>
          </w:tcPr>
          <w:p w14:paraId="4714E8BB" w14:textId="77777777" w:rsidR="00F6607E" w:rsidRDefault="00F6607E" w:rsidP="00B33DBC">
            <w:pPr>
              <w:overflowPunct w:val="0"/>
              <w:spacing w:line="240" w:lineRule="auto"/>
              <w:ind w:firstLineChars="0" w:firstLine="0"/>
              <w:jc w:val="left"/>
              <w:rPr>
                <w:rFonts w:ascii="Times New Roman" w:hAnsi="Times New Roman" w:cs="宋体"/>
              </w:rPr>
            </w:pPr>
            <w:r>
              <w:rPr>
                <w:rFonts w:ascii="Times New Roman" w:hAnsi="Times New Roman" w:cs="宋体"/>
              </w:rPr>
              <w:t>10</w:t>
            </w:r>
            <w:r>
              <w:rPr>
                <w:rFonts w:ascii="Times New Roman" w:hAnsi="Times New Roman" w:cs="宋体" w:hint="eastAsia"/>
              </w:rPr>
              <w:t>.</w:t>
            </w:r>
            <w:r>
              <w:rPr>
                <w:rFonts w:ascii="Times New Roman" w:hAnsi="Times New Roman" w:cs="宋体" w:hint="eastAsia"/>
              </w:rPr>
              <w:t>防坠罐跑车管理</w:t>
            </w:r>
          </w:p>
        </w:tc>
        <w:tc>
          <w:tcPr>
            <w:tcW w:w="1020" w:type="dxa"/>
            <w:gridSpan w:val="2"/>
            <w:vAlign w:val="center"/>
          </w:tcPr>
          <w:p w14:paraId="08313364"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斜井防跑车装置、阻车器或挡车栏。</w:t>
            </w:r>
          </w:p>
        </w:tc>
        <w:tc>
          <w:tcPr>
            <w:tcW w:w="1474" w:type="dxa"/>
            <w:gridSpan w:val="2"/>
            <w:vAlign w:val="center"/>
          </w:tcPr>
          <w:p w14:paraId="628D348E"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查阅相关设备技术资料并结合现场检查。</w:t>
            </w:r>
          </w:p>
        </w:tc>
        <w:tc>
          <w:tcPr>
            <w:tcW w:w="5953" w:type="dxa"/>
            <w:gridSpan w:val="2"/>
            <w:vAlign w:val="center"/>
          </w:tcPr>
          <w:p w14:paraId="5E261263"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《金属非金属矿山重大事故隐患判定标准》</w:t>
            </w:r>
          </w:p>
          <w:p w14:paraId="759C41E5"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一、金属非金属地下矿山重大事故隐患</w:t>
            </w:r>
          </w:p>
          <w:p w14:paraId="0698D78B"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（二十二）担负提升人员的提升系统，存在下列情形之一的：</w:t>
            </w:r>
          </w:p>
          <w:p w14:paraId="3091B1F5" w14:textId="77777777" w:rsidR="00F6607E" w:rsidRDefault="00F6607E" w:rsidP="00B33DBC">
            <w:pPr>
              <w:spacing w:line="240" w:lineRule="auto"/>
              <w:ind w:firstLine="420"/>
              <w:rPr>
                <w:rFonts w:ascii="Times New Roman" w:hAnsi="Times New Roman" w:cs="宋体"/>
              </w:rPr>
            </w:pPr>
            <w:r>
              <w:rPr>
                <w:rFonts w:ascii="Times New Roman" w:hAnsi="Times New Roman" w:cs="宋体" w:hint="eastAsia"/>
              </w:rPr>
              <w:t>4.</w:t>
            </w:r>
            <w:r>
              <w:rPr>
                <w:rFonts w:ascii="Times New Roman" w:hAnsi="Times New Roman" w:cs="宋体" w:hint="eastAsia"/>
              </w:rPr>
              <w:t>斜井串车提升系统未按国家规定设置常闭式防跑车装置、阻车器、挡车栏，或者连接链、连接插销不符合国家规定。</w:t>
            </w:r>
          </w:p>
          <w:p w14:paraId="6064E243"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《金属非金属矿山安全规程》</w:t>
            </w:r>
          </w:p>
          <w:p w14:paraId="19491183" w14:textId="77777777" w:rsidR="00F6607E" w:rsidRDefault="00F6607E" w:rsidP="00B33DBC">
            <w:pPr>
              <w:spacing w:line="240" w:lineRule="auto"/>
              <w:ind w:firstLine="420"/>
              <w:rPr>
                <w:rFonts w:ascii="Times New Roman" w:hAnsi="Times New Roman" w:cs="宋体"/>
              </w:rPr>
            </w:pPr>
            <w:r>
              <w:rPr>
                <w:rFonts w:ascii="Times New Roman" w:hAnsi="Times New Roman" w:cs="宋体" w:hint="eastAsia"/>
              </w:rPr>
              <w:t>6.4.2.7</w:t>
            </w:r>
            <w:r>
              <w:rPr>
                <w:rFonts w:ascii="Times New Roman" w:hAnsi="Times New Roman" w:cs="宋体" w:hint="eastAsia"/>
              </w:rPr>
              <w:t xml:space="preserve">　斜井串车提升系统应设常闭式防跑车装置。</w:t>
            </w:r>
          </w:p>
          <w:p w14:paraId="23319B05" w14:textId="77777777" w:rsidR="00F6607E" w:rsidRDefault="00F6607E" w:rsidP="00B33DBC">
            <w:pPr>
              <w:spacing w:line="240" w:lineRule="auto"/>
              <w:ind w:firstLine="420"/>
              <w:rPr>
                <w:rFonts w:ascii="Times New Roman" w:hAnsi="Times New Roman" w:cs="宋体"/>
                <w:color w:val="2D2E2F"/>
                <w:lang w:val="zh-TW" w:eastAsia="zh-TW"/>
              </w:rPr>
            </w:pPr>
            <w:r>
              <w:rPr>
                <w:rFonts w:ascii="Times New Roman" w:hAnsi="Times New Roman" w:cs="宋体" w:hint="eastAsia"/>
              </w:rPr>
              <w:t>6.4.2.8</w:t>
            </w:r>
            <w:r>
              <w:rPr>
                <w:rFonts w:ascii="Times New Roman" w:hAnsi="Times New Roman" w:cs="宋体" w:hint="eastAsia"/>
              </w:rPr>
              <w:t xml:space="preserve">　斜井各水平车场应设阻车器或挡车栏</w:t>
            </w:r>
            <w:r>
              <w:rPr>
                <w:rFonts w:ascii="Times New Roman" w:hAnsi="Times New Roman" w:cs="宋体" w:hint="eastAsia"/>
              </w:rPr>
              <w:t>;</w:t>
            </w:r>
            <w:r>
              <w:rPr>
                <w:rFonts w:ascii="Times New Roman" w:hAnsi="Times New Roman" w:cs="宋体" w:hint="eastAsia"/>
              </w:rPr>
              <w:t>下部车场还应设躲避硐室。</w:t>
            </w:r>
          </w:p>
        </w:tc>
        <w:tc>
          <w:tcPr>
            <w:tcW w:w="1417" w:type="dxa"/>
            <w:gridSpan w:val="2"/>
            <w:vAlign w:val="center"/>
          </w:tcPr>
          <w:p w14:paraId="4114CCC8"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5600F6D0"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7E096173" w14:textId="77777777" w:rsidR="00F6607E" w:rsidRDefault="00F6607E" w:rsidP="00B33DBC">
            <w:pPr>
              <w:overflowPunct w:val="0"/>
              <w:spacing w:line="240" w:lineRule="auto"/>
              <w:ind w:firstLineChars="0" w:firstLine="0"/>
              <w:rPr>
                <w:rFonts w:ascii="Times New Roman" w:hAnsi="Times New Roman" w:cs="宋体"/>
              </w:rPr>
            </w:pPr>
          </w:p>
        </w:tc>
      </w:tr>
      <w:tr w:rsidR="00F6607E" w14:paraId="6828FC19" w14:textId="77777777" w:rsidTr="00F6607E">
        <w:trPr>
          <w:gridAfter w:val="1"/>
          <w:wAfter w:w="33" w:type="dxa"/>
          <w:cantSplit/>
          <w:jc w:val="center"/>
        </w:trPr>
        <w:tc>
          <w:tcPr>
            <w:tcW w:w="1020" w:type="dxa"/>
            <w:gridSpan w:val="2"/>
            <w:vMerge/>
            <w:vAlign w:val="center"/>
          </w:tcPr>
          <w:p w14:paraId="3348E297" w14:textId="77777777" w:rsidR="00F6607E" w:rsidRDefault="00F6607E" w:rsidP="00B33DBC">
            <w:pPr>
              <w:overflowPunct w:val="0"/>
              <w:spacing w:line="240" w:lineRule="auto"/>
              <w:ind w:firstLine="420"/>
              <w:rPr>
                <w:rFonts w:ascii="Times New Roman" w:hAnsi="Times New Roman" w:cs="宋体"/>
              </w:rPr>
            </w:pPr>
          </w:p>
        </w:tc>
        <w:tc>
          <w:tcPr>
            <w:tcW w:w="1020" w:type="dxa"/>
            <w:gridSpan w:val="2"/>
            <w:vAlign w:val="center"/>
          </w:tcPr>
          <w:p w14:paraId="0E297F58" w14:textId="77777777" w:rsidR="00F6607E" w:rsidRDefault="00F6607E" w:rsidP="00B33DBC">
            <w:pPr>
              <w:overflowPunct w:val="0"/>
              <w:spacing w:line="240" w:lineRule="auto"/>
              <w:ind w:firstLineChars="0" w:firstLine="0"/>
              <w:rPr>
                <w:rFonts w:ascii="Times New Roman" w:hAnsi="Times New Roman" w:cs="宋体" w:hint="eastAsia"/>
              </w:rPr>
            </w:pPr>
            <w:r>
              <w:rPr>
                <w:rFonts w:ascii="Times New Roman" w:hAnsi="Times New Roman" w:cs="宋体" w:hint="eastAsia"/>
              </w:rPr>
              <w:t>斜井提升信号系统与提升机实现闭锁。</w:t>
            </w:r>
          </w:p>
        </w:tc>
        <w:tc>
          <w:tcPr>
            <w:tcW w:w="1474" w:type="dxa"/>
            <w:gridSpan w:val="2"/>
            <w:vAlign w:val="center"/>
          </w:tcPr>
          <w:p w14:paraId="69070731" w14:textId="77777777" w:rsidR="00F6607E" w:rsidRDefault="00F6607E" w:rsidP="00B33DBC">
            <w:pPr>
              <w:overflowPunct w:val="0"/>
              <w:spacing w:line="240" w:lineRule="auto"/>
              <w:ind w:firstLineChars="0" w:firstLine="0"/>
              <w:rPr>
                <w:rFonts w:ascii="Times New Roman" w:hAnsi="Times New Roman" w:cs="宋体" w:hint="eastAsia"/>
              </w:rPr>
            </w:pPr>
            <w:r>
              <w:rPr>
                <w:rFonts w:ascii="Times New Roman" w:hAnsi="Times New Roman" w:cs="宋体" w:hint="eastAsia"/>
              </w:rPr>
              <w:t>查阅相关设备技术资料结合现场检查。</w:t>
            </w:r>
          </w:p>
        </w:tc>
        <w:tc>
          <w:tcPr>
            <w:tcW w:w="5953" w:type="dxa"/>
            <w:gridSpan w:val="2"/>
            <w:vAlign w:val="center"/>
          </w:tcPr>
          <w:p w14:paraId="4DABD3CB" w14:textId="77777777" w:rsidR="00F6607E" w:rsidRDefault="00F6607E" w:rsidP="00B33DBC">
            <w:pPr>
              <w:spacing w:line="240" w:lineRule="auto"/>
              <w:ind w:firstLine="422"/>
              <w:rPr>
                <w:rFonts w:ascii="Times New Roman" w:hAnsi="Times New Roman" w:cs="宋体" w:hint="eastAsia"/>
                <w:b/>
              </w:rPr>
            </w:pPr>
            <w:r>
              <w:rPr>
                <w:rFonts w:ascii="Times New Roman" w:hAnsi="Times New Roman" w:cs="宋体" w:hint="eastAsia"/>
                <w:b/>
              </w:rPr>
              <w:t>《金属非金属矿山重大事故隐患判定标准》</w:t>
            </w:r>
          </w:p>
          <w:p w14:paraId="53E8E94A"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一、金属非金属地下矿山重大事故隐患</w:t>
            </w:r>
          </w:p>
          <w:p w14:paraId="294A8DDB"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（二十二）担负提升人员的提升系统，存在下列情形之一的：</w:t>
            </w:r>
          </w:p>
          <w:p w14:paraId="2C30D976" w14:textId="77777777" w:rsidR="00F6607E" w:rsidRDefault="00F6607E" w:rsidP="00B33DBC">
            <w:pPr>
              <w:spacing w:line="240" w:lineRule="auto"/>
              <w:ind w:firstLine="420"/>
              <w:rPr>
                <w:rFonts w:ascii="Times New Roman" w:hAnsi="Times New Roman" w:cs="宋体" w:hint="eastAsia"/>
              </w:rPr>
            </w:pPr>
            <w:r>
              <w:rPr>
                <w:rFonts w:ascii="Times New Roman" w:hAnsi="Times New Roman" w:cs="宋体" w:hint="eastAsia"/>
              </w:rPr>
              <w:t>5.</w:t>
            </w:r>
            <w:r>
              <w:rPr>
                <w:rFonts w:ascii="Times New Roman" w:hAnsi="Times New Roman" w:cs="宋体" w:hint="eastAsia"/>
              </w:rPr>
              <w:t>斜井提升信号系统与提升机之间未实现闭锁。</w:t>
            </w:r>
          </w:p>
        </w:tc>
        <w:tc>
          <w:tcPr>
            <w:tcW w:w="1417" w:type="dxa"/>
            <w:gridSpan w:val="2"/>
            <w:vAlign w:val="center"/>
          </w:tcPr>
          <w:p w14:paraId="6913419B"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22C8CAED"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0C1DA3FE" w14:textId="77777777" w:rsidR="00F6607E" w:rsidRDefault="00F6607E" w:rsidP="00B33DBC">
            <w:pPr>
              <w:overflowPunct w:val="0"/>
              <w:spacing w:line="240" w:lineRule="auto"/>
              <w:ind w:firstLineChars="0" w:firstLine="0"/>
              <w:rPr>
                <w:rFonts w:ascii="Times New Roman" w:hAnsi="Times New Roman" w:cs="宋体"/>
              </w:rPr>
            </w:pPr>
          </w:p>
        </w:tc>
      </w:tr>
      <w:tr w:rsidR="00F6607E" w14:paraId="6DD14C8C" w14:textId="77777777" w:rsidTr="00F6607E">
        <w:trPr>
          <w:gridAfter w:val="1"/>
          <w:wAfter w:w="33" w:type="dxa"/>
          <w:cantSplit/>
          <w:jc w:val="center"/>
        </w:trPr>
        <w:tc>
          <w:tcPr>
            <w:tcW w:w="1020" w:type="dxa"/>
            <w:gridSpan w:val="2"/>
            <w:vMerge/>
            <w:vAlign w:val="center"/>
          </w:tcPr>
          <w:p w14:paraId="075C2719" w14:textId="77777777" w:rsidR="00F6607E" w:rsidRDefault="00F6607E" w:rsidP="00B33DBC">
            <w:pPr>
              <w:overflowPunct w:val="0"/>
              <w:spacing w:line="240" w:lineRule="auto"/>
              <w:ind w:firstLineChars="0" w:firstLine="0"/>
              <w:rPr>
                <w:rFonts w:ascii="Times New Roman" w:hAnsi="Times New Roman" w:cs="宋体"/>
              </w:rPr>
            </w:pPr>
          </w:p>
        </w:tc>
        <w:tc>
          <w:tcPr>
            <w:tcW w:w="1020" w:type="dxa"/>
            <w:gridSpan w:val="2"/>
            <w:vAlign w:val="center"/>
          </w:tcPr>
          <w:p w14:paraId="75549FA7"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钢丝绳检查。</w:t>
            </w:r>
          </w:p>
        </w:tc>
        <w:tc>
          <w:tcPr>
            <w:tcW w:w="1474" w:type="dxa"/>
            <w:gridSpan w:val="2"/>
            <w:vAlign w:val="center"/>
          </w:tcPr>
          <w:p w14:paraId="4A7DC500"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查阅相关技术资料结合现场检查。</w:t>
            </w:r>
          </w:p>
        </w:tc>
        <w:tc>
          <w:tcPr>
            <w:tcW w:w="5953" w:type="dxa"/>
            <w:gridSpan w:val="2"/>
            <w:vAlign w:val="center"/>
          </w:tcPr>
          <w:p w14:paraId="55FB6A3D" w14:textId="77777777" w:rsidR="00F6607E" w:rsidRDefault="00F6607E" w:rsidP="00B33DBC">
            <w:pPr>
              <w:spacing w:line="240" w:lineRule="auto"/>
              <w:ind w:firstLine="422"/>
              <w:jc w:val="left"/>
              <w:rPr>
                <w:rFonts w:ascii="Times New Roman" w:hAnsi="Times New Roman" w:cs="宋体" w:hint="eastAsia"/>
                <w:b/>
              </w:rPr>
            </w:pPr>
            <w:r>
              <w:rPr>
                <w:rFonts w:ascii="Times New Roman" w:hAnsi="Times New Roman" w:cs="宋体" w:hint="eastAsia"/>
                <w:b/>
                <w:color w:val="2D2E2F"/>
                <w:lang w:val="zh-TW" w:eastAsia="zh-TW"/>
              </w:rPr>
              <w:t>《</w:t>
            </w:r>
            <w:r>
              <w:rPr>
                <w:rFonts w:ascii="Times New Roman" w:hAnsi="Times New Roman" w:cs="宋体" w:hint="eastAsia"/>
                <w:b/>
              </w:rPr>
              <w:t>金属非金属矿山安全规程》</w:t>
            </w:r>
          </w:p>
          <w:p w14:paraId="29278CD0" w14:textId="77777777" w:rsidR="00F6607E" w:rsidRDefault="00F6607E" w:rsidP="00B33DBC">
            <w:pPr>
              <w:spacing w:line="240" w:lineRule="auto"/>
              <w:ind w:firstLine="420"/>
              <w:jc w:val="left"/>
              <w:rPr>
                <w:rFonts w:ascii="Times New Roman" w:hAnsi="Times New Roman" w:cs="宋体" w:hint="eastAsia"/>
              </w:rPr>
            </w:pPr>
            <w:r>
              <w:rPr>
                <w:rFonts w:ascii="Times New Roman" w:hAnsi="Times New Roman" w:cs="宋体" w:hint="eastAsia"/>
              </w:rPr>
              <w:t>6.4.7.1</w:t>
            </w:r>
            <w:r>
              <w:rPr>
                <w:rFonts w:ascii="Times New Roman" w:hAnsi="Times New Roman" w:cs="宋体" w:hint="eastAsia"/>
              </w:rPr>
              <w:t xml:space="preserve">　提升钢丝绳、平衡钢丝绳、罐道钢丝绳、制动钢丝绳使用前均应进行检验，并有经过相关责任人员签字的检验报告。经过检验的钢丝绳贮存期不超过</w:t>
            </w:r>
            <w:r>
              <w:rPr>
                <w:rFonts w:ascii="Times New Roman" w:hAnsi="Times New Roman" w:cs="宋体" w:hint="eastAsia"/>
              </w:rPr>
              <w:t>6</w:t>
            </w:r>
            <w:r>
              <w:rPr>
                <w:rFonts w:ascii="Times New Roman" w:hAnsi="Times New Roman" w:cs="宋体" w:hint="eastAsia"/>
              </w:rPr>
              <w:t>个月，超过</w:t>
            </w:r>
            <w:r>
              <w:rPr>
                <w:rFonts w:ascii="Times New Roman" w:hAnsi="Times New Roman" w:cs="宋体" w:hint="eastAsia"/>
              </w:rPr>
              <w:t>6</w:t>
            </w:r>
            <w:r>
              <w:rPr>
                <w:rFonts w:ascii="Times New Roman" w:hAnsi="Times New Roman" w:cs="宋体" w:hint="eastAsia"/>
              </w:rPr>
              <w:t>个月应重新检验。</w:t>
            </w:r>
          </w:p>
          <w:p w14:paraId="6D51DB8E"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6.4.7.3</w:t>
            </w:r>
            <w:r>
              <w:rPr>
                <w:rFonts w:ascii="Times New Roman" w:hAnsi="Times New Roman" w:cs="宋体" w:hint="eastAsia"/>
              </w:rPr>
              <w:t xml:space="preserve">　钢丝绳的断丝、磨损情况：当班作业人员每日检查</w:t>
            </w:r>
            <w:r>
              <w:rPr>
                <w:rFonts w:ascii="Times New Roman" w:hAnsi="Times New Roman" w:cs="宋体" w:hint="eastAsia"/>
              </w:rPr>
              <w:t>1</w:t>
            </w:r>
            <w:r>
              <w:rPr>
                <w:rFonts w:ascii="Times New Roman" w:hAnsi="Times New Roman" w:cs="宋体" w:hint="eastAsia"/>
              </w:rPr>
              <w:t>次；提升管理部门每周组织检查</w:t>
            </w:r>
            <w:r>
              <w:rPr>
                <w:rFonts w:ascii="Times New Roman" w:hAnsi="Times New Roman" w:cs="宋体" w:hint="eastAsia"/>
              </w:rPr>
              <w:t>1</w:t>
            </w:r>
            <w:r>
              <w:rPr>
                <w:rFonts w:ascii="Times New Roman" w:hAnsi="Times New Roman" w:cs="宋体" w:hint="eastAsia"/>
              </w:rPr>
              <w:t>次；矿山管理部门每月组织检查</w:t>
            </w:r>
            <w:r>
              <w:rPr>
                <w:rFonts w:ascii="Times New Roman" w:hAnsi="Times New Roman" w:cs="宋体" w:hint="eastAsia"/>
              </w:rPr>
              <w:t>1</w:t>
            </w:r>
            <w:r>
              <w:rPr>
                <w:rFonts w:ascii="Times New Roman" w:hAnsi="Times New Roman" w:cs="宋体" w:hint="eastAsia"/>
              </w:rPr>
              <w:t>次</w:t>
            </w:r>
            <w:r>
              <w:rPr>
                <w:rFonts w:ascii="Times New Roman" w:hAnsi="Times New Roman" w:cs="宋体" w:hint="eastAsia"/>
              </w:rPr>
              <w:t>;</w:t>
            </w:r>
            <w:r>
              <w:rPr>
                <w:rFonts w:ascii="Times New Roman" w:hAnsi="Times New Roman" w:cs="宋体" w:hint="eastAsia"/>
              </w:rPr>
              <w:t>检查时钢丝绳速度不大于</w:t>
            </w:r>
            <w:r>
              <w:rPr>
                <w:rFonts w:ascii="Times New Roman" w:hAnsi="Times New Roman" w:cs="宋体" w:hint="eastAsia"/>
              </w:rPr>
              <w:t>0.3 m/s</w:t>
            </w:r>
            <w:r>
              <w:rPr>
                <w:rFonts w:ascii="Times New Roman" w:hAnsi="Times New Roman" w:cs="宋体" w:hint="eastAsia"/>
              </w:rPr>
              <w:t>；首绳和圆尾绳自悬挂时起</w:t>
            </w:r>
            <w:r>
              <w:rPr>
                <w:rFonts w:ascii="Times New Roman" w:hAnsi="Times New Roman" w:cs="宋体" w:hint="eastAsia"/>
              </w:rPr>
              <w:t>1</w:t>
            </w:r>
            <w:r>
              <w:rPr>
                <w:rFonts w:ascii="Times New Roman" w:hAnsi="Times New Roman" w:cs="宋体" w:hint="eastAsia"/>
              </w:rPr>
              <w:t>年内至少应进行</w:t>
            </w:r>
            <w:r>
              <w:rPr>
                <w:rFonts w:ascii="Times New Roman" w:hAnsi="Times New Roman" w:cs="宋体" w:hint="eastAsia"/>
              </w:rPr>
              <w:t>1</w:t>
            </w:r>
            <w:r>
              <w:rPr>
                <w:rFonts w:ascii="Times New Roman" w:hAnsi="Times New Roman" w:cs="宋体" w:hint="eastAsia"/>
              </w:rPr>
              <w:t>次检验，以后每</w:t>
            </w:r>
            <w:r>
              <w:rPr>
                <w:rFonts w:ascii="Times New Roman" w:hAnsi="Times New Roman" w:cs="宋体" w:hint="eastAsia"/>
              </w:rPr>
              <w:t>6</w:t>
            </w:r>
            <w:r>
              <w:rPr>
                <w:rFonts w:ascii="Times New Roman" w:hAnsi="Times New Roman" w:cs="宋体" w:hint="eastAsia"/>
              </w:rPr>
              <w:t>个月至少检验</w:t>
            </w:r>
            <w:r>
              <w:rPr>
                <w:rFonts w:ascii="Times New Roman" w:hAnsi="Times New Roman" w:cs="宋体" w:hint="eastAsia"/>
              </w:rPr>
              <w:t>1</w:t>
            </w:r>
            <w:r>
              <w:rPr>
                <w:rFonts w:ascii="Times New Roman" w:hAnsi="Times New Roman" w:cs="宋体" w:hint="eastAsia"/>
              </w:rPr>
              <w:t>次，达到报废标准立即更换。</w:t>
            </w:r>
          </w:p>
          <w:p w14:paraId="7860C82D"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钢丝绳定期检验应由有专业资质的检验、检测机构进行</w:t>
            </w:r>
            <w:r>
              <w:rPr>
                <w:rFonts w:ascii="Times New Roman" w:hAnsi="Times New Roman" w:cs="宋体" w:hint="eastAsia"/>
              </w:rPr>
              <w:t>,</w:t>
            </w:r>
            <w:r>
              <w:rPr>
                <w:rFonts w:ascii="Times New Roman" w:hAnsi="Times New Roman" w:cs="宋体" w:hint="eastAsia"/>
              </w:rPr>
              <w:t>并应提供检验报告。所有检查和处理结果均应记录存档。</w:t>
            </w:r>
          </w:p>
        </w:tc>
        <w:tc>
          <w:tcPr>
            <w:tcW w:w="1417" w:type="dxa"/>
            <w:gridSpan w:val="2"/>
            <w:vAlign w:val="center"/>
          </w:tcPr>
          <w:p w14:paraId="33EC4E46"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0B83AAE0"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553F05E0" w14:textId="77777777" w:rsidR="00F6607E" w:rsidRDefault="00F6607E" w:rsidP="00B33DBC">
            <w:pPr>
              <w:overflowPunct w:val="0"/>
              <w:spacing w:line="240" w:lineRule="auto"/>
              <w:ind w:firstLineChars="0" w:firstLine="0"/>
              <w:rPr>
                <w:rFonts w:ascii="Times New Roman" w:hAnsi="Times New Roman" w:cs="宋体"/>
              </w:rPr>
            </w:pPr>
          </w:p>
        </w:tc>
      </w:tr>
      <w:tr w:rsidR="00F6607E" w14:paraId="663DD447" w14:textId="77777777" w:rsidTr="00F6607E">
        <w:trPr>
          <w:gridAfter w:val="1"/>
          <w:wAfter w:w="33" w:type="dxa"/>
          <w:cantSplit/>
          <w:jc w:val="center"/>
        </w:trPr>
        <w:tc>
          <w:tcPr>
            <w:tcW w:w="1020" w:type="dxa"/>
            <w:gridSpan w:val="2"/>
            <w:vAlign w:val="center"/>
          </w:tcPr>
          <w:p w14:paraId="11727F76" w14:textId="77777777" w:rsidR="00F6607E" w:rsidRDefault="00F6607E" w:rsidP="00B33DBC">
            <w:pPr>
              <w:overflowPunct w:val="0"/>
              <w:spacing w:line="240" w:lineRule="auto"/>
              <w:ind w:firstLineChars="0" w:firstLine="0"/>
              <w:jc w:val="left"/>
              <w:rPr>
                <w:rFonts w:ascii="Times New Roman" w:hAnsi="Times New Roman" w:cs="宋体"/>
              </w:rPr>
            </w:pPr>
            <w:r>
              <w:rPr>
                <w:rFonts w:ascii="Times New Roman" w:hAnsi="Times New Roman" w:cs="宋体"/>
              </w:rPr>
              <w:t>10</w:t>
            </w:r>
            <w:r>
              <w:rPr>
                <w:rFonts w:ascii="Times New Roman" w:hAnsi="Times New Roman" w:cs="宋体" w:hint="eastAsia"/>
              </w:rPr>
              <w:t>.</w:t>
            </w:r>
            <w:r>
              <w:rPr>
                <w:rFonts w:ascii="Times New Roman" w:hAnsi="Times New Roman" w:cs="宋体" w:hint="eastAsia"/>
              </w:rPr>
              <w:t>防坠罐跑车管理</w:t>
            </w:r>
          </w:p>
        </w:tc>
        <w:tc>
          <w:tcPr>
            <w:tcW w:w="1020" w:type="dxa"/>
            <w:gridSpan w:val="2"/>
            <w:vAlign w:val="center"/>
          </w:tcPr>
          <w:p w14:paraId="70909B38"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带式输送机运输的保护装置。</w:t>
            </w:r>
          </w:p>
        </w:tc>
        <w:tc>
          <w:tcPr>
            <w:tcW w:w="1474" w:type="dxa"/>
            <w:gridSpan w:val="2"/>
            <w:vAlign w:val="center"/>
          </w:tcPr>
          <w:p w14:paraId="769FACE0"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查阅相关设备技术资料结合现场检查。</w:t>
            </w:r>
          </w:p>
        </w:tc>
        <w:tc>
          <w:tcPr>
            <w:tcW w:w="5953" w:type="dxa"/>
            <w:gridSpan w:val="2"/>
            <w:vAlign w:val="center"/>
          </w:tcPr>
          <w:p w14:paraId="66B7FF30" w14:textId="77777777" w:rsidR="00F6607E" w:rsidRDefault="00F6607E" w:rsidP="00B33DBC">
            <w:pPr>
              <w:spacing w:line="240" w:lineRule="auto"/>
              <w:ind w:firstLine="422"/>
              <w:jc w:val="left"/>
              <w:rPr>
                <w:rFonts w:ascii="Times New Roman" w:hAnsi="Times New Roman" w:cs="宋体" w:hint="eastAsia"/>
                <w:b/>
              </w:rPr>
            </w:pPr>
            <w:r>
              <w:rPr>
                <w:rFonts w:ascii="Times New Roman" w:hAnsi="Times New Roman" w:cs="宋体" w:hint="eastAsia"/>
                <w:b/>
              </w:rPr>
              <w:t>《金属非金属矿山安全规程》</w:t>
            </w:r>
          </w:p>
          <w:p w14:paraId="3BC5D158"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6.4.3.5</w:t>
            </w:r>
            <w:r>
              <w:rPr>
                <w:rFonts w:ascii="Times New Roman" w:hAnsi="Times New Roman" w:cs="宋体" w:hint="eastAsia"/>
              </w:rPr>
              <w:t xml:space="preserve">　带式输送机应有下列安全保护装置：</w:t>
            </w:r>
          </w:p>
          <w:p w14:paraId="2EFCEEF1"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——装料点和卸料点设空仓、满仓等保护和报警装置，并与输送机联锁；</w:t>
            </w:r>
          </w:p>
          <w:p w14:paraId="38676273"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——输送带清扫装置以及防大块冲击、防输送带跑偏等的保护装置；</w:t>
            </w:r>
          </w:p>
          <w:p w14:paraId="7138B9E1"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——紧急停车装置；</w:t>
            </w:r>
          </w:p>
          <w:p w14:paraId="283FE05B" w14:textId="77777777" w:rsidR="00F6607E" w:rsidRDefault="00F6607E" w:rsidP="00B33DBC">
            <w:pPr>
              <w:spacing w:line="240" w:lineRule="auto"/>
              <w:ind w:firstLine="420"/>
              <w:jc w:val="left"/>
              <w:rPr>
                <w:rFonts w:ascii="Times New Roman" w:hAnsi="Times New Roman" w:cs="宋体" w:hint="eastAsia"/>
              </w:rPr>
            </w:pPr>
            <w:r>
              <w:rPr>
                <w:rFonts w:ascii="Times New Roman" w:hAnsi="Times New Roman" w:cs="宋体" w:hint="eastAsia"/>
              </w:rPr>
              <w:t>——制动装置。</w:t>
            </w:r>
          </w:p>
          <w:p w14:paraId="358EC106"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6.4.3.6</w:t>
            </w:r>
            <w:r>
              <w:rPr>
                <w:rFonts w:ascii="Times New Roman" w:hAnsi="Times New Roman" w:cs="宋体" w:hint="eastAsia"/>
              </w:rPr>
              <w:t xml:space="preserve">　长度超过</w:t>
            </w:r>
            <w:r>
              <w:rPr>
                <w:rFonts w:ascii="Times New Roman" w:hAnsi="Times New Roman" w:cs="宋体" w:hint="eastAsia"/>
              </w:rPr>
              <w:t>400m</w:t>
            </w:r>
            <w:r>
              <w:rPr>
                <w:rFonts w:ascii="Times New Roman" w:hAnsi="Times New Roman" w:cs="宋体" w:hint="eastAsia"/>
              </w:rPr>
              <w:t>的带式输送机应设下列保护装置：</w:t>
            </w:r>
          </w:p>
          <w:p w14:paraId="408FE556"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——防输送带撕裂、断带等保护装置；</w:t>
            </w:r>
          </w:p>
          <w:p w14:paraId="6B5DEC21"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——防止过速、过载、打滑等的保护装置；</w:t>
            </w:r>
          </w:p>
          <w:p w14:paraId="0D38B0AB"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——线路上的信号、电气联锁和紧急停车装置。</w:t>
            </w:r>
          </w:p>
          <w:p w14:paraId="52DE3B34" w14:textId="77777777" w:rsidR="00F6607E" w:rsidRDefault="00F6607E" w:rsidP="00B33DBC">
            <w:pPr>
              <w:spacing w:line="240" w:lineRule="auto"/>
              <w:ind w:firstLine="420"/>
              <w:jc w:val="left"/>
              <w:rPr>
                <w:rFonts w:ascii="Times New Roman" w:hAnsi="Times New Roman" w:hint="eastAsia"/>
              </w:rPr>
            </w:pPr>
            <w:r>
              <w:rPr>
                <w:rFonts w:ascii="Times New Roman" w:hAnsi="Times New Roman" w:cs="宋体" w:hint="eastAsia"/>
              </w:rPr>
              <w:t>6.4.3.7</w:t>
            </w:r>
            <w:r>
              <w:rPr>
                <w:rFonts w:ascii="Times New Roman" w:hAnsi="Times New Roman" w:cs="宋体" w:hint="eastAsia"/>
              </w:rPr>
              <w:t xml:space="preserve">　上行带式输送机应有防止输送带逆转的措施。</w:t>
            </w:r>
          </w:p>
        </w:tc>
        <w:tc>
          <w:tcPr>
            <w:tcW w:w="1417" w:type="dxa"/>
            <w:gridSpan w:val="2"/>
            <w:vAlign w:val="center"/>
          </w:tcPr>
          <w:p w14:paraId="329224BD"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2B984140"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0B0BFEE2" w14:textId="77777777" w:rsidR="00F6607E" w:rsidRDefault="00F6607E" w:rsidP="00B33DBC">
            <w:pPr>
              <w:overflowPunct w:val="0"/>
              <w:spacing w:line="240" w:lineRule="auto"/>
              <w:ind w:firstLineChars="0" w:firstLine="0"/>
              <w:rPr>
                <w:rFonts w:ascii="Times New Roman" w:hAnsi="Times New Roman" w:cs="宋体"/>
              </w:rPr>
            </w:pPr>
          </w:p>
        </w:tc>
      </w:tr>
      <w:tr w:rsidR="00F6607E" w14:paraId="24125068" w14:textId="77777777" w:rsidTr="00700762">
        <w:trPr>
          <w:gridAfter w:val="1"/>
          <w:wAfter w:w="33" w:type="dxa"/>
          <w:cantSplit/>
          <w:trHeight w:val="7787"/>
          <w:jc w:val="center"/>
        </w:trPr>
        <w:tc>
          <w:tcPr>
            <w:tcW w:w="1020" w:type="dxa"/>
            <w:gridSpan w:val="2"/>
            <w:vAlign w:val="center"/>
          </w:tcPr>
          <w:p w14:paraId="6D05A020" w14:textId="77777777" w:rsidR="00F6607E" w:rsidRDefault="00F6607E" w:rsidP="00B33DBC">
            <w:pPr>
              <w:overflowPunct w:val="0"/>
              <w:spacing w:line="240" w:lineRule="auto"/>
              <w:ind w:firstLineChars="0" w:firstLine="0"/>
              <w:jc w:val="left"/>
              <w:rPr>
                <w:rFonts w:ascii="Times New Roman" w:hAnsi="Times New Roman" w:cs="宋体"/>
              </w:rPr>
            </w:pPr>
            <w:r>
              <w:rPr>
                <w:rFonts w:ascii="Times New Roman" w:hAnsi="Times New Roman" w:cs="宋体"/>
              </w:rPr>
              <w:t>10</w:t>
            </w:r>
            <w:r>
              <w:rPr>
                <w:rFonts w:ascii="Times New Roman" w:hAnsi="Times New Roman" w:cs="宋体" w:hint="eastAsia"/>
              </w:rPr>
              <w:t>.</w:t>
            </w:r>
            <w:r>
              <w:rPr>
                <w:rFonts w:ascii="Times New Roman" w:hAnsi="Times New Roman" w:cs="宋体" w:hint="eastAsia"/>
              </w:rPr>
              <w:t>防坠罐跑车管理</w:t>
            </w:r>
          </w:p>
        </w:tc>
        <w:tc>
          <w:tcPr>
            <w:tcW w:w="1020" w:type="dxa"/>
            <w:gridSpan w:val="2"/>
            <w:vAlign w:val="center"/>
          </w:tcPr>
          <w:p w14:paraId="0BDCE0E4"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井下无轨运人车辆。</w:t>
            </w:r>
          </w:p>
        </w:tc>
        <w:tc>
          <w:tcPr>
            <w:tcW w:w="1474" w:type="dxa"/>
            <w:gridSpan w:val="2"/>
            <w:vAlign w:val="center"/>
          </w:tcPr>
          <w:p w14:paraId="33AC48A5" w14:textId="77777777" w:rsidR="00F6607E" w:rsidRDefault="00F6607E" w:rsidP="00B33DBC">
            <w:pPr>
              <w:overflowPunct w:val="0"/>
              <w:spacing w:line="240" w:lineRule="auto"/>
              <w:ind w:firstLineChars="0" w:firstLine="0"/>
              <w:rPr>
                <w:rFonts w:ascii="Times New Roman" w:hAnsi="Times New Roman" w:cs="宋体"/>
              </w:rPr>
            </w:pPr>
            <w:r>
              <w:rPr>
                <w:rFonts w:ascii="Times New Roman" w:hAnsi="Times New Roman" w:cs="宋体" w:hint="eastAsia"/>
              </w:rPr>
              <w:t>查阅相关车辆技术资料并结合现场检查。</w:t>
            </w:r>
          </w:p>
        </w:tc>
        <w:tc>
          <w:tcPr>
            <w:tcW w:w="5953" w:type="dxa"/>
            <w:gridSpan w:val="2"/>
            <w:vAlign w:val="center"/>
          </w:tcPr>
          <w:p w14:paraId="736BB628" w14:textId="77777777" w:rsidR="00F6607E" w:rsidRDefault="00F6607E" w:rsidP="00B33DBC">
            <w:pPr>
              <w:spacing w:line="240" w:lineRule="auto"/>
              <w:ind w:firstLine="422"/>
              <w:jc w:val="left"/>
              <w:rPr>
                <w:rFonts w:ascii="Times New Roman" w:hAnsi="Times New Roman" w:cs="宋体" w:hint="eastAsia"/>
                <w:b/>
              </w:rPr>
            </w:pPr>
            <w:r>
              <w:rPr>
                <w:rFonts w:ascii="Times New Roman" w:hAnsi="Times New Roman" w:cs="宋体" w:hint="eastAsia"/>
                <w:b/>
              </w:rPr>
              <w:t>《金属非金属矿山重大事故隐患判定标准》</w:t>
            </w:r>
          </w:p>
          <w:p w14:paraId="06382308" w14:textId="77777777" w:rsidR="00F6607E" w:rsidRDefault="00F6607E" w:rsidP="00B33DBC">
            <w:pPr>
              <w:spacing w:line="240" w:lineRule="auto"/>
              <w:ind w:firstLine="420"/>
              <w:jc w:val="left"/>
              <w:rPr>
                <w:rFonts w:ascii="Times New Roman" w:hAnsi="Times New Roman" w:cs="宋体" w:hint="eastAsia"/>
              </w:rPr>
            </w:pPr>
            <w:r>
              <w:rPr>
                <w:rFonts w:ascii="Times New Roman" w:hAnsi="Times New Roman" w:cs="宋体" w:hint="eastAsia"/>
              </w:rPr>
              <w:t>一、金属非金属地下矿山重大事故隐患</w:t>
            </w:r>
          </w:p>
          <w:p w14:paraId="32A49F2E" w14:textId="77777777" w:rsidR="00F6607E" w:rsidRDefault="00F6607E" w:rsidP="00B33DBC">
            <w:pPr>
              <w:spacing w:line="240" w:lineRule="auto"/>
              <w:ind w:firstLine="420"/>
              <w:jc w:val="left"/>
              <w:rPr>
                <w:rFonts w:ascii="Times New Roman" w:hAnsi="Times New Roman" w:cs="宋体" w:hint="eastAsia"/>
              </w:rPr>
            </w:pPr>
            <w:r>
              <w:rPr>
                <w:rFonts w:ascii="Times New Roman" w:hAnsi="Times New Roman" w:cs="宋体" w:hint="eastAsia"/>
              </w:rPr>
              <w:t>（二十三）井下无轨运人车辆存在下列情形之一的：</w:t>
            </w:r>
          </w:p>
          <w:p w14:paraId="707B872B" w14:textId="77777777" w:rsidR="00F6607E" w:rsidRDefault="00F6607E" w:rsidP="00B33DBC">
            <w:pPr>
              <w:spacing w:line="240" w:lineRule="auto"/>
              <w:ind w:firstLine="420"/>
              <w:jc w:val="left"/>
              <w:rPr>
                <w:rFonts w:ascii="Times New Roman" w:hAnsi="Times New Roman" w:cs="宋体" w:hint="eastAsia"/>
              </w:rPr>
            </w:pPr>
            <w:r>
              <w:rPr>
                <w:rFonts w:ascii="Times New Roman" w:hAnsi="Times New Roman" w:cs="宋体" w:hint="eastAsia"/>
              </w:rPr>
              <w:t>1.</w:t>
            </w:r>
            <w:r>
              <w:rPr>
                <w:rFonts w:ascii="Times New Roman" w:hAnsi="Times New Roman" w:cs="宋体" w:hint="eastAsia"/>
              </w:rPr>
              <w:t>未取得金属非金属矿山矿用产品安全标志；</w:t>
            </w:r>
          </w:p>
          <w:p w14:paraId="4DFD6632" w14:textId="77777777" w:rsidR="00F6607E" w:rsidRDefault="00F6607E" w:rsidP="00B33DBC">
            <w:pPr>
              <w:spacing w:line="240" w:lineRule="auto"/>
              <w:ind w:firstLine="420"/>
              <w:jc w:val="left"/>
              <w:rPr>
                <w:rFonts w:ascii="Times New Roman" w:hAnsi="Times New Roman" w:cs="宋体" w:hint="eastAsia"/>
              </w:rPr>
            </w:pPr>
            <w:r>
              <w:rPr>
                <w:rFonts w:ascii="Times New Roman" w:hAnsi="Times New Roman" w:cs="宋体" w:hint="eastAsia"/>
              </w:rPr>
              <w:t>2.</w:t>
            </w:r>
            <w:r>
              <w:rPr>
                <w:rFonts w:ascii="Times New Roman" w:hAnsi="Times New Roman" w:cs="宋体" w:hint="eastAsia"/>
              </w:rPr>
              <w:t>载人数量超过</w:t>
            </w:r>
            <w:r>
              <w:rPr>
                <w:rFonts w:ascii="Times New Roman" w:hAnsi="Times New Roman" w:cs="宋体" w:hint="eastAsia"/>
              </w:rPr>
              <w:t>25</w:t>
            </w:r>
            <w:r>
              <w:rPr>
                <w:rFonts w:ascii="Times New Roman" w:hAnsi="Times New Roman" w:cs="宋体" w:hint="eastAsia"/>
              </w:rPr>
              <w:t>人或者超过核载人数；</w:t>
            </w:r>
          </w:p>
          <w:p w14:paraId="0D466375" w14:textId="77777777" w:rsidR="00F6607E" w:rsidRDefault="00F6607E" w:rsidP="00B33DBC">
            <w:pPr>
              <w:spacing w:line="240" w:lineRule="auto"/>
              <w:ind w:firstLine="420"/>
              <w:jc w:val="left"/>
              <w:rPr>
                <w:rFonts w:ascii="Times New Roman" w:hAnsi="Times New Roman" w:cs="宋体" w:hint="eastAsia"/>
              </w:rPr>
            </w:pPr>
            <w:r>
              <w:rPr>
                <w:rFonts w:ascii="Times New Roman" w:hAnsi="Times New Roman" w:cs="宋体" w:hint="eastAsia"/>
              </w:rPr>
              <w:t>3.</w:t>
            </w:r>
            <w:r>
              <w:rPr>
                <w:rFonts w:ascii="Times New Roman" w:hAnsi="Times New Roman" w:cs="宋体" w:hint="eastAsia"/>
              </w:rPr>
              <w:t>制动系统采用干式制动器，或者未同时配备行车制动系统、驻车制动系统和应急制动系统；</w:t>
            </w:r>
          </w:p>
          <w:p w14:paraId="60624A6E"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4.</w:t>
            </w:r>
            <w:r>
              <w:rPr>
                <w:rFonts w:ascii="Times New Roman" w:hAnsi="Times New Roman" w:cs="宋体" w:hint="eastAsia"/>
              </w:rPr>
              <w:t>未按国家规定对车辆进行检测检验。</w:t>
            </w:r>
          </w:p>
          <w:p w14:paraId="35CE5061" w14:textId="77777777" w:rsidR="00F6607E" w:rsidRDefault="00F6607E" w:rsidP="00B33DBC">
            <w:pPr>
              <w:spacing w:line="240" w:lineRule="auto"/>
              <w:ind w:firstLine="422"/>
              <w:jc w:val="left"/>
              <w:rPr>
                <w:rFonts w:ascii="Times New Roman" w:hAnsi="Times New Roman" w:cs="宋体" w:hint="eastAsia"/>
                <w:b/>
              </w:rPr>
            </w:pPr>
            <w:r>
              <w:rPr>
                <w:rFonts w:ascii="Times New Roman" w:hAnsi="Times New Roman" w:cs="宋体" w:hint="eastAsia"/>
                <w:b/>
              </w:rPr>
              <w:t>《金属非金属矿山安全规程》</w:t>
            </w:r>
          </w:p>
          <w:p w14:paraId="46EE5ABA"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6.3.4.2</w:t>
            </w:r>
            <w:r>
              <w:rPr>
                <w:rFonts w:ascii="Times New Roman" w:hAnsi="Times New Roman" w:cs="宋体" w:hint="eastAsia"/>
              </w:rPr>
              <w:t xml:space="preserve">　无轨设备应符合下列规定：</w:t>
            </w:r>
          </w:p>
          <w:p w14:paraId="411B61F8"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——每台设备均应配备灭火装置；</w:t>
            </w:r>
          </w:p>
          <w:p w14:paraId="528A3D1C"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——刹车系统、灯光系统、警报系统应齐全有效；</w:t>
            </w:r>
          </w:p>
          <w:p w14:paraId="1C574918"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——操作人员上方应有防护板或者防护网；</w:t>
            </w:r>
          </w:p>
          <w:p w14:paraId="5B9BE31A"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——井下专用运人车应有行车制动系统、驻车制动系统和应急制动系统；</w:t>
            </w:r>
          </w:p>
          <w:p w14:paraId="06643DEE" w14:textId="77777777" w:rsidR="00F6607E" w:rsidRDefault="00F6607E" w:rsidP="00B33DBC">
            <w:pPr>
              <w:spacing w:line="240" w:lineRule="auto"/>
              <w:ind w:firstLine="420"/>
              <w:jc w:val="left"/>
              <w:rPr>
                <w:rFonts w:ascii="Times New Roman" w:hAnsi="Times New Roman" w:cs="宋体" w:hint="eastAsia"/>
              </w:rPr>
            </w:pPr>
            <w:r>
              <w:rPr>
                <w:rFonts w:ascii="Times New Roman" w:hAnsi="Times New Roman" w:cs="宋体" w:hint="eastAsia"/>
              </w:rPr>
              <w:t>——行车制动系统和应急制动系统至少有一个为失效安全型。</w:t>
            </w:r>
          </w:p>
          <w:p w14:paraId="4EA89300"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6.3.4.3</w:t>
            </w:r>
            <w:r>
              <w:rPr>
                <w:rFonts w:ascii="Times New Roman" w:hAnsi="Times New Roman" w:cs="宋体" w:hint="eastAsia"/>
              </w:rPr>
              <w:t xml:space="preserve">　采用无轨设备运输应遵守下列规定：</w:t>
            </w:r>
          </w:p>
          <w:p w14:paraId="341C420A"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——应釆用地下矿山专用无轨设备；</w:t>
            </w:r>
          </w:p>
          <w:p w14:paraId="3B1E47B5" w14:textId="77777777" w:rsidR="00F6607E" w:rsidRDefault="00F6607E" w:rsidP="00B33DBC">
            <w:pPr>
              <w:spacing w:line="240" w:lineRule="auto"/>
              <w:ind w:firstLine="420"/>
              <w:jc w:val="left"/>
              <w:rPr>
                <w:rFonts w:ascii="Times New Roman" w:hAnsi="Times New Roman" w:cs="宋体"/>
                <w:bCs/>
              </w:rPr>
            </w:pPr>
            <w:r>
              <w:rPr>
                <w:rFonts w:ascii="Times New Roman" w:hAnsi="Times New Roman" w:cs="宋体" w:hint="eastAsia"/>
              </w:rPr>
              <w:t>——</w:t>
            </w:r>
            <w:r>
              <w:rPr>
                <w:rFonts w:ascii="Times New Roman" w:hAnsi="Times New Roman" w:cs="宋体" w:hint="eastAsia"/>
                <w:bCs/>
              </w:rPr>
              <w:t>行驶速度不超过</w:t>
            </w:r>
            <w:r>
              <w:rPr>
                <w:rFonts w:ascii="Times New Roman" w:hAnsi="Times New Roman" w:cs="宋体" w:hint="eastAsia"/>
                <w:bCs/>
              </w:rPr>
              <w:t>25km/h</w:t>
            </w:r>
            <w:r>
              <w:rPr>
                <w:rFonts w:ascii="Times New Roman" w:hAnsi="Times New Roman" w:cs="宋体" w:hint="eastAsia"/>
                <w:bCs/>
              </w:rPr>
              <w:t>；</w:t>
            </w:r>
          </w:p>
          <w:p w14:paraId="13B1CEF0" w14:textId="77777777" w:rsidR="00F6607E" w:rsidRDefault="00F6607E" w:rsidP="00B33DBC">
            <w:pPr>
              <w:spacing w:line="240" w:lineRule="auto"/>
              <w:ind w:firstLine="420"/>
              <w:jc w:val="left"/>
              <w:rPr>
                <w:rFonts w:ascii="Times New Roman" w:hAnsi="Times New Roman" w:cs="宋体"/>
                <w:bCs/>
              </w:rPr>
            </w:pPr>
            <w:r>
              <w:rPr>
                <w:rFonts w:ascii="Times New Roman" w:hAnsi="Times New Roman" w:cs="宋体" w:hint="eastAsia"/>
              </w:rPr>
              <w:t>——</w:t>
            </w:r>
            <w:r>
              <w:rPr>
                <w:rFonts w:ascii="Times New Roman" w:hAnsi="Times New Roman" w:cs="宋体" w:hint="eastAsia"/>
                <w:bCs/>
              </w:rPr>
              <w:t>通过斜坡道运输人员时，应采用井下专用运人车，每辆车乘员数量不超过</w:t>
            </w:r>
            <w:r>
              <w:rPr>
                <w:rFonts w:ascii="Times New Roman" w:hAnsi="Times New Roman" w:cs="宋体" w:hint="eastAsia"/>
                <w:bCs/>
              </w:rPr>
              <w:t>25</w:t>
            </w:r>
            <w:r>
              <w:rPr>
                <w:rFonts w:ascii="Times New Roman" w:hAnsi="Times New Roman" w:cs="宋体" w:hint="eastAsia"/>
                <w:bCs/>
              </w:rPr>
              <w:t>人；</w:t>
            </w:r>
          </w:p>
          <w:p w14:paraId="275C7B0C" w14:textId="77777777" w:rsidR="00F6607E" w:rsidRDefault="00F6607E" w:rsidP="00B33DBC">
            <w:pPr>
              <w:spacing w:line="240" w:lineRule="auto"/>
              <w:ind w:firstLine="420"/>
              <w:jc w:val="left"/>
              <w:rPr>
                <w:rFonts w:ascii="Times New Roman" w:hAnsi="Times New Roman" w:cs="宋体"/>
                <w:bCs/>
              </w:rPr>
            </w:pPr>
            <w:r>
              <w:rPr>
                <w:rFonts w:ascii="Times New Roman" w:hAnsi="Times New Roman" w:cs="宋体" w:hint="eastAsia"/>
              </w:rPr>
              <w:t>——</w:t>
            </w:r>
            <w:r>
              <w:rPr>
                <w:rFonts w:ascii="Times New Roman" w:hAnsi="Times New Roman" w:cs="宋体" w:hint="eastAsia"/>
                <w:bCs/>
              </w:rPr>
              <w:t>油料运输车辆在井下的行驶速度不超过</w:t>
            </w:r>
            <w:r>
              <w:rPr>
                <w:rFonts w:ascii="Times New Roman" w:hAnsi="Times New Roman" w:cs="宋体" w:hint="eastAsia"/>
                <w:bCs/>
              </w:rPr>
              <w:t>15km/h</w:t>
            </w:r>
            <w:r>
              <w:rPr>
                <w:rFonts w:ascii="Times New Roman" w:hAnsi="Times New Roman" w:cs="宋体" w:hint="eastAsia"/>
                <w:bCs/>
              </w:rPr>
              <w:t>，与其他同向运行车辆距离不小于</w:t>
            </w:r>
            <w:r>
              <w:rPr>
                <w:rFonts w:ascii="Times New Roman" w:hAnsi="Times New Roman" w:cs="宋体" w:hint="eastAsia"/>
                <w:bCs/>
              </w:rPr>
              <w:t>100m</w:t>
            </w:r>
            <w:r>
              <w:rPr>
                <w:rFonts w:ascii="Times New Roman" w:hAnsi="Times New Roman" w:cs="宋体" w:hint="eastAsia"/>
                <w:bCs/>
              </w:rPr>
              <w:t>；</w:t>
            </w:r>
          </w:p>
          <w:p w14:paraId="21E93522" w14:textId="77777777" w:rsidR="00F6607E" w:rsidRDefault="00F6607E" w:rsidP="00B33DBC">
            <w:pPr>
              <w:spacing w:line="240" w:lineRule="auto"/>
              <w:ind w:firstLine="420"/>
              <w:jc w:val="left"/>
              <w:rPr>
                <w:rFonts w:ascii="Times New Roman" w:hAnsi="Times New Roman" w:cs="宋体"/>
              </w:rPr>
            </w:pPr>
            <w:r>
              <w:rPr>
                <w:rFonts w:ascii="Times New Roman" w:hAnsi="Times New Roman" w:cs="宋体" w:hint="eastAsia"/>
              </w:rPr>
              <w:t>——</w:t>
            </w:r>
            <w:r>
              <w:rPr>
                <w:rFonts w:ascii="Times New Roman" w:hAnsi="Times New Roman" w:cs="宋体" w:hint="eastAsia"/>
                <w:bCs/>
              </w:rPr>
              <w:t>按照设备要求定期进行检查和维护保养</w:t>
            </w:r>
            <w:r>
              <w:rPr>
                <w:rFonts w:ascii="Times New Roman" w:hAnsi="Times New Roman" w:cs="宋体" w:hint="eastAsia"/>
              </w:rPr>
              <w:t>。</w:t>
            </w:r>
          </w:p>
        </w:tc>
        <w:tc>
          <w:tcPr>
            <w:tcW w:w="1417" w:type="dxa"/>
            <w:gridSpan w:val="2"/>
            <w:vAlign w:val="center"/>
          </w:tcPr>
          <w:p w14:paraId="0AA80E8E"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6C430FB6" w14:textId="77777777" w:rsidR="00F6607E" w:rsidRDefault="00F6607E" w:rsidP="00B33DBC">
            <w:pPr>
              <w:overflowPunct w:val="0"/>
              <w:spacing w:line="240" w:lineRule="auto"/>
              <w:ind w:firstLineChars="0" w:firstLine="0"/>
              <w:rPr>
                <w:rFonts w:ascii="Times New Roman" w:hAnsi="Times New Roman" w:cs="宋体"/>
              </w:rPr>
            </w:pPr>
          </w:p>
        </w:tc>
        <w:tc>
          <w:tcPr>
            <w:tcW w:w="1417" w:type="dxa"/>
            <w:gridSpan w:val="2"/>
            <w:vAlign w:val="center"/>
          </w:tcPr>
          <w:p w14:paraId="63BEA6CF" w14:textId="77777777" w:rsidR="00F6607E" w:rsidRDefault="00F6607E" w:rsidP="00B33DBC">
            <w:pPr>
              <w:overflowPunct w:val="0"/>
              <w:spacing w:line="240" w:lineRule="auto"/>
              <w:ind w:firstLineChars="0" w:firstLine="0"/>
              <w:rPr>
                <w:rFonts w:ascii="Times New Roman" w:hAnsi="Times New Roman" w:cs="宋体"/>
              </w:rPr>
            </w:pPr>
          </w:p>
        </w:tc>
      </w:tr>
    </w:tbl>
    <w:p w14:paraId="09C71274" w14:textId="77777777" w:rsidR="00BF6814" w:rsidRPr="00F6607E" w:rsidRDefault="00BF6814" w:rsidP="006872A9">
      <w:pPr>
        <w:ind w:firstLineChars="0" w:firstLine="0"/>
        <w:rPr>
          <w:rFonts w:hint="eastAsia"/>
        </w:rPr>
      </w:pPr>
    </w:p>
    <w:sectPr w:rsidR="00BF6814" w:rsidRPr="00F6607E" w:rsidSect="00F6607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1C4CE" w14:textId="77777777" w:rsidR="000F284A" w:rsidRDefault="000F284A" w:rsidP="00F6607E">
      <w:pPr>
        <w:spacing w:line="240" w:lineRule="auto"/>
        <w:ind w:firstLine="420"/>
      </w:pPr>
      <w:r>
        <w:separator/>
      </w:r>
    </w:p>
  </w:endnote>
  <w:endnote w:type="continuationSeparator" w:id="0">
    <w:p w14:paraId="50013C46" w14:textId="77777777" w:rsidR="000F284A" w:rsidRDefault="000F284A" w:rsidP="00F6607E">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CA81D" w14:textId="77777777" w:rsidR="000F284A" w:rsidRDefault="000F284A" w:rsidP="00F6607E">
      <w:pPr>
        <w:spacing w:line="240" w:lineRule="auto"/>
        <w:ind w:firstLine="420"/>
      </w:pPr>
      <w:r>
        <w:separator/>
      </w:r>
    </w:p>
  </w:footnote>
  <w:footnote w:type="continuationSeparator" w:id="0">
    <w:p w14:paraId="1E624489" w14:textId="77777777" w:rsidR="000F284A" w:rsidRDefault="000F284A" w:rsidP="00F6607E">
      <w:pPr>
        <w:spacing w:line="24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EDD"/>
    <w:rsid w:val="000F284A"/>
    <w:rsid w:val="00174A7B"/>
    <w:rsid w:val="001B7EDD"/>
    <w:rsid w:val="006872A9"/>
    <w:rsid w:val="00700762"/>
    <w:rsid w:val="00B1651C"/>
    <w:rsid w:val="00BF6814"/>
    <w:rsid w:val="00F660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42B5C"/>
  <w15:chartTrackingRefBased/>
  <w15:docId w15:val="{4E49909A-13F7-4643-8AEE-28756E9FD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F6607E"/>
    <w:pPr>
      <w:spacing w:line="580" w:lineRule="exact"/>
      <w:ind w:firstLineChars="200" w:firstLine="200"/>
      <w:jc w:val="both"/>
    </w:pPr>
    <w:rPr>
      <w:rFonts w:ascii="Calibri" w:eastAsia="宋体" w:hAnsi="Calibri" w:cs="Calibri"/>
      <w:szCs w:val="21"/>
    </w:rPr>
  </w:style>
  <w:style w:type="paragraph" w:styleId="1">
    <w:name w:val="heading 1"/>
    <w:basedOn w:val="a"/>
    <w:next w:val="a"/>
    <w:link w:val="10"/>
    <w:uiPriority w:val="9"/>
    <w:qFormat/>
    <w:rsid w:val="00174A7B"/>
    <w:pPr>
      <w:keepNext/>
      <w:keepLines/>
      <w:widowControl w:val="0"/>
      <w:spacing w:line="600" w:lineRule="exact"/>
      <w:jc w:val="center"/>
      <w:outlineLvl w:val="0"/>
    </w:pPr>
    <w:rPr>
      <w:rFonts w:asciiTheme="minorHAnsi" w:eastAsia="方正小标宋简体" w:hAnsiTheme="minorHAnsi" w:cstheme="minorBidi"/>
      <w:bCs/>
      <w:kern w:val="44"/>
      <w:sz w:val="52"/>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174A7B"/>
    <w:rPr>
      <w:rFonts w:eastAsia="方正小标宋简体"/>
      <w:bCs/>
      <w:kern w:val="44"/>
      <w:sz w:val="52"/>
      <w:szCs w:val="44"/>
    </w:rPr>
  </w:style>
  <w:style w:type="paragraph" w:styleId="a4">
    <w:name w:val="header"/>
    <w:basedOn w:val="a"/>
    <w:link w:val="a5"/>
    <w:uiPriority w:val="99"/>
    <w:unhideWhenUsed/>
    <w:rsid w:val="00F6607E"/>
    <w:pPr>
      <w:widowControl w:val="0"/>
      <w:pBdr>
        <w:bottom w:val="single" w:sz="6" w:space="1" w:color="auto"/>
      </w:pBdr>
      <w:tabs>
        <w:tab w:val="center" w:pos="4153"/>
        <w:tab w:val="right" w:pos="8306"/>
      </w:tabs>
      <w:snapToGrid w:val="0"/>
      <w:spacing w:line="240" w:lineRule="auto"/>
      <w:ind w:firstLineChars="0" w:firstLine="0"/>
      <w:jc w:val="center"/>
    </w:pPr>
    <w:rPr>
      <w:rFonts w:asciiTheme="minorHAnsi" w:eastAsiaTheme="minorEastAsia" w:hAnsiTheme="minorHAnsi" w:cstheme="minorBidi"/>
      <w:sz w:val="18"/>
      <w:szCs w:val="18"/>
    </w:rPr>
  </w:style>
  <w:style w:type="character" w:customStyle="1" w:styleId="a5">
    <w:name w:val="页眉 字符"/>
    <w:basedOn w:val="a1"/>
    <w:link w:val="a4"/>
    <w:uiPriority w:val="99"/>
    <w:rsid w:val="00F6607E"/>
    <w:rPr>
      <w:sz w:val="18"/>
      <w:szCs w:val="18"/>
    </w:rPr>
  </w:style>
  <w:style w:type="paragraph" w:styleId="a6">
    <w:name w:val="footer"/>
    <w:basedOn w:val="a"/>
    <w:link w:val="a7"/>
    <w:uiPriority w:val="99"/>
    <w:unhideWhenUsed/>
    <w:rsid w:val="00F6607E"/>
    <w:pPr>
      <w:widowControl w:val="0"/>
      <w:tabs>
        <w:tab w:val="center" w:pos="4153"/>
        <w:tab w:val="right" w:pos="8306"/>
      </w:tabs>
      <w:snapToGrid w:val="0"/>
      <w:spacing w:line="240" w:lineRule="auto"/>
      <w:ind w:firstLineChars="0" w:firstLine="0"/>
      <w:jc w:val="left"/>
    </w:pPr>
    <w:rPr>
      <w:rFonts w:asciiTheme="minorHAnsi" w:eastAsiaTheme="minorEastAsia" w:hAnsiTheme="minorHAnsi" w:cstheme="minorBidi"/>
      <w:sz w:val="18"/>
      <w:szCs w:val="18"/>
    </w:rPr>
  </w:style>
  <w:style w:type="character" w:customStyle="1" w:styleId="a7">
    <w:name w:val="页脚 字符"/>
    <w:basedOn w:val="a1"/>
    <w:link w:val="a6"/>
    <w:uiPriority w:val="99"/>
    <w:rsid w:val="00F6607E"/>
    <w:rPr>
      <w:sz w:val="18"/>
      <w:szCs w:val="18"/>
    </w:rPr>
  </w:style>
  <w:style w:type="paragraph" w:styleId="a0">
    <w:name w:val="Salutation"/>
    <w:basedOn w:val="a"/>
    <w:next w:val="a"/>
    <w:link w:val="a8"/>
    <w:uiPriority w:val="99"/>
    <w:qFormat/>
    <w:rsid w:val="00F6607E"/>
    <w:rPr>
      <w:rFonts w:cs="Times New Roman"/>
    </w:rPr>
  </w:style>
  <w:style w:type="character" w:customStyle="1" w:styleId="a8">
    <w:name w:val="称呼 字符"/>
    <w:basedOn w:val="a1"/>
    <w:link w:val="a0"/>
    <w:uiPriority w:val="99"/>
    <w:rsid w:val="00F6607E"/>
    <w:rPr>
      <w:rFonts w:ascii="Calibri"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770</Words>
  <Characters>4394</Characters>
  <Application>Microsoft Office Word</Application>
  <DocSecurity>0</DocSecurity>
  <Lines>36</Lines>
  <Paragraphs>10</Paragraphs>
  <ScaleCrop>false</ScaleCrop>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2023-03-17T02:28:00Z</dcterms:created>
  <dcterms:modified xsi:type="dcterms:W3CDTF">2023-03-17T02:34:00Z</dcterms:modified>
</cp:coreProperties>
</file>