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600" w:lineRule="exact"/>
        <w:jc w:val="center"/>
        <w:rPr>
          <w:rFonts w:ascii="Times New Roman" w:hAnsi="Times New Roman" w:eastAsia="方正小标宋_GBK" w:cs="Times New Roman"/>
          <w:sz w:val="44"/>
        </w:rPr>
      </w:pPr>
    </w:p>
    <w:p>
      <w:pPr>
        <w:pStyle w:val="2"/>
        <w:adjustRightInd w:val="0"/>
        <w:snapToGrid w:val="0"/>
        <w:spacing w:before="0" w:after="0" w:line="600" w:lineRule="exact"/>
        <w:jc w:val="center"/>
        <w:rPr>
          <w:rFonts w:hint="eastAsia" w:ascii="Times New Roman" w:hAnsi="Times New Roman" w:eastAsia="方正小标宋_GBK" w:cs="Times New Roman"/>
          <w:sz w:val="44"/>
        </w:rPr>
      </w:pPr>
      <w:r>
        <w:rPr>
          <w:rFonts w:hint="eastAsia" w:ascii="Times New Roman" w:hAnsi="Times New Roman" w:eastAsia="方正小标宋_GBK" w:cs="Times New Roman"/>
          <w:sz w:val="44"/>
        </w:rPr>
        <w:t>重庆市建设用地土壤污染修复方案编制要点</w:t>
      </w:r>
    </w:p>
    <w:p>
      <w:pPr>
        <w:jc w:val="center"/>
        <w:rPr>
          <w:rFonts w:ascii="Times New Roman" w:hAnsi="Times New Roman" w:cs="Times New Roman"/>
          <w:sz w:val="32"/>
          <w:szCs w:val="32"/>
        </w:rPr>
      </w:pPr>
      <w:bookmarkStart w:id="0" w:name="_GoBack"/>
      <w:bookmarkEnd w:id="0"/>
      <w:r>
        <w:rPr>
          <w:rFonts w:hint="eastAsia"/>
          <w:sz w:val="32"/>
          <w:szCs w:val="32"/>
        </w:rPr>
        <w:t>（征求意见稿）</w:t>
      </w:r>
    </w:p>
    <w:p>
      <w:pPr>
        <w:adjustRightInd w:val="0"/>
        <w:snapToGrid w:val="0"/>
        <w:spacing w:line="600" w:lineRule="exact"/>
        <w:ind w:firstLine="640" w:firstLineChars="200"/>
        <w:rPr>
          <w:rFonts w:ascii="Times New Roman" w:hAnsi="Times New Roman" w:eastAsia="方正仿宋_GBK" w:cs="Times New Roman"/>
          <w:sz w:val="32"/>
          <w:szCs w:val="32"/>
        </w:rPr>
      </w:pP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建设用地土壤污染修复方案总体应满足《建设用地土壤污染风险管控和修复监测技术导则》（</w:t>
      </w:r>
      <w:r>
        <w:rPr>
          <w:rFonts w:ascii="Times New Roman" w:hAnsi="Times New Roman" w:eastAsia="方正仿宋_GBK" w:cs="Times New Roman"/>
          <w:sz w:val="32"/>
          <w:szCs w:val="32"/>
        </w:rPr>
        <w:t>HJ 25.2）《建设用地土壤修复技术导则》（HJ 25.4）《污染地块地下水修复和风险管控技术导则》（HJ 25.6）的相关要求。</w:t>
      </w:r>
    </w:p>
    <w:p>
      <w:pPr>
        <w:adjustRightInd w:val="0"/>
        <w:snapToGrid w:val="0"/>
        <w:spacing w:line="600" w:lineRule="exact"/>
        <w:ind w:firstLine="640" w:firstLineChars="200"/>
        <w:rPr>
          <w:rFonts w:ascii="Times New Roman" w:hAnsi="Times New Roman" w:eastAsia="方正楷体_GBK" w:cs="Times New Roman"/>
          <w:sz w:val="32"/>
        </w:rPr>
      </w:pPr>
      <w:r>
        <w:rPr>
          <w:rFonts w:hint="eastAsia" w:ascii="Times New Roman" w:hAnsi="Times New Roman" w:eastAsia="方正黑体_GBK" w:cs="Times New Roman"/>
          <w:sz w:val="32"/>
        </w:rPr>
        <w:t>一、地块问题识别（确认地块污染状况）</w:t>
      </w:r>
    </w:p>
    <w:p>
      <w:pPr>
        <w:adjustRightInd w:val="0"/>
        <w:snapToGrid w:val="0"/>
        <w:spacing w:line="600" w:lineRule="exact"/>
        <w:ind w:firstLine="640" w:firstLineChars="200"/>
        <w:rPr>
          <w:rFonts w:ascii="Times New Roman" w:hAnsi="Times New Roman" w:eastAsia="方正楷体_GBK" w:cs="Times New Roman"/>
          <w:sz w:val="32"/>
        </w:rPr>
      </w:pPr>
      <w:r>
        <w:rPr>
          <w:rFonts w:hint="eastAsia" w:ascii="Times New Roman" w:hAnsi="Times New Roman" w:eastAsia="方正楷体_GBK" w:cs="Times New Roman"/>
          <w:sz w:val="32"/>
        </w:rPr>
        <w:t>（一）资料核实</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审阅地块前期的土壤污染状况调查报告和风险评估报告等资料，对照最新用地规划、技术导则和工作要求（如布点密度、采样深度、水文地质调查、人员访谈信息在相关资料中的反应等），核实前期调查评估能否准确反映地块目前实际情况。前期资料经核实准确完整且有效的，修复方案中应说明地块所在区域概况、地块基本特征、环境特征、污染特征和土壤污染风险（摘录已获取资料的相关内容）。</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szCs w:val="22"/>
        </w:rPr>
      </w:pPr>
      <w:r>
        <w:rPr>
          <w:rFonts w:hint="eastAsia" w:ascii="Times New Roman" w:hAnsi="Times New Roman" w:eastAsia="方正楷体_GBK" w:cs="Times New Roman"/>
          <w:b w:val="0"/>
          <w:bCs w:val="0"/>
          <w:sz w:val="32"/>
          <w:szCs w:val="22"/>
        </w:rPr>
        <w:t>（二）现场踏勘</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考察地块当前实际情况，关注地块前期调查评估中的不确定性问题、较调查评估阶段发生的重大变化、周边环境保护敏感目标的变化情况。考察地块修复工程施工条件，如电缆、管道、施工道路、安全保卫等情况。修复方案中应说明现场踏勘时地块的实际状况、地块是否具备修复施工条件以及施工是否可能对周边环境敏感目标产生不利影响。</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szCs w:val="22"/>
        </w:rPr>
      </w:pPr>
      <w:r>
        <w:rPr>
          <w:rFonts w:hint="eastAsia" w:ascii="Times New Roman" w:hAnsi="Times New Roman" w:eastAsia="方正楷体_GBK" w:cs="Times New Roman"/>
          <w:b w:val="0"/>
          <w:bCs w:val="0"/>
          <w:sz w:val="32"/>
          <w:szCs w:val="22"/>
        </w:rPr>
        <w:t>（三）补充资料</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资料核实和现场踏勘，若发现有不满足现行工作要求（如采样深度不够、采样数量不够、监测因子缺失等）、不能如实反映地块污染情况（如存在调查遗漏区域、开发建设、出现新的固体废物或外来土壤、存在地下管线等）以及用地规划调整等情况的，应补充相关资料。修复方案中应说明发现的问题，以及资料补充情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必要时需开展补充调查，如补充监测、地下水专项调查、地下管线调查、以及可能涉及的其他专项调查。修复方案中应说明地块开展补充调查工作内容、开展情况及结论。</w:t>
      </w:r>
    </w:p>
    <w:p>
      <w:pPr>
        <w:numPr>
          <w:ilvl w:val="255"/>
          <w:numId w:val="0"/>
        </w:num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黑体_GBK" w:cs="Times New Roman"/>
          <w:sz w:val="32"/>
        </w:rPr>
        <w:t>二、地块修复模式</w:t>
      </w:r>
    </w:p>
    <w:p>
      <w:pPr>
        <w:numPr>
          <w:ilvl w:val="255"/>
          <w:numId w:val="0"/>
        </w:num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（一）确认地块修复目标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1.确认目标污染物</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通过前期资料，结合必要的补充调查，修复方案中应对土壤和地下水修复的目标污染物进行核实和确认。</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2.确认修复目标值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结合风险评估的风险控制值、补充调查、</w:t>
      </w:r>
      <w:r>
        <w:rPr>
          <w:rFonts w:ascii="Times New Roman" w:hAnsi="Times New Roman" w:eastAsia="方正仿宋_GBK" w:cs="Times New Roman"/>
          <w:sz w:val="32"/>
          <w:szCs w:val="32"/>
        </w:rPr>
        <w:t>GB36600规定的筛选值和管制值、地块所在区域土壤中目标污染物的背景含量以及国家和地方有关标准中规定的限值，修复方案中应对土壤和地下水目标污染物的修复目标值进行核实和确认。</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3.确认修复范围</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修复方案中应依据土壤和地下水的目标污染物和修复目标值，对前期调查评估提出的土壤和地下水修复范围（包括四至边界和污染土层深度分布，特别关注非连续性等异常分布）、修复方量进行核实和确认。</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（二）选择修复模式</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地块特征条件、现场条件、修复目标和修复要求（如修复效果、修复时间、资金投入、环境安全等），选择和确定地块修复总体思路，即明确采用污染源处理技术、切断暴露途径的工程控制技术或限制受体暴露行为的制度控制技术</w:t>
      </w:r>
      <w:r>
        <w:rPr>
          <w:rFonts w:ascii="Times New Roman" w:hAnsi="Times New Roman" w:eastAsia="方正仿宋_GBK" w:cs="Times New Roman"/>
          <w:sz w:val="32"/>
          <w:szCs w:val="32"/>
        </w:rPr>
        <w:t>3种修复模式中的任意1种或其组合。</w:t>
      </w:r>
    </w:p>
    <w:p>
      <w:pPr>
        <w:pStyle w:val="3"/>
        <w:adjustRightInd w:val="0"/>
        <w:snapToGrid w:val="0"/>
        <w:spacing w:before="0" w:after="0" w:line="600" w:lineRule="exact"/>
        <w:ind w:firstLine="640" w:firstLineChars="200"/>
        <w:rPr>
          <w:rFonts w:ascii="Times New Roman" w:hAnsi="Times New Roman" w:eastAsia="方正黑体_GBK" w:cs="Times New Roman"/>
          <w:b w:val="0"/>
          <w:bCs w:val="0"/>
          <w:sz w:val="32"/>
        </w:rPr>
      </w:pPr>
      <w:r>
        <w:rPr>
          <w:rFonts w:hint="eastAsia" w:ascii="Times New Roman" w:hAnsi="Times New Roman" w:eastAsia="方正黑体_GBK" w:cs="Times New Roman"/>
          <w:b w:val="0"/>
          <w:bCs w:val="0"/>
          <w:sz w:val="32"/>
        </w:rPr>
        <w:t>三、修复技术筛选</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rPr>
      </w:pPr>
      <w:r>
        <w:rPr>
          <w:rFonts w:hint="eastAsia" w:ascii="Times New Roman" w:hAnsi="Times New Roman" w:eastAsia="方正楷体_GBK" w:cs="Times New Roman"/>
          <w:b w:val="0"/>
          <w:bCs w:val="0"/>
          <w:sz w:val="32"/>
        </w:rPr>
        <w:t>（一）修复技术选择</w:t>
      </w:r>
    </w:p>
    <w:p>
      <w:pPr>
        <w:adjustRightInd w:val="0"/>
        <w:snapToGrid w:val="0"/>
        <w:spacing w:line="600" w:lineRule="exact"/>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根据地块污染特征、修复模式、土壤和地下水特性，从技术成熟度、适合的目标污染物及土壤类型、修复效果、时间和成本等方面分析现有的土壤修复技术优缺点，提出</w:t>
      </w:r>
      <w:r>
        <w:rPr>
          <w:rFonts w:ascii="Times New Roman" w:hAnsi="Times New Roman" w:eastAsia="方正仿宋_GBK" w:cs="Times New Roman"/>
          <w:sz w:val="32"/>
        </w:rPr>
        <w:t>1种或多种备选修复技术进行下步可行性评价。</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确定采用水泥窑协同处置的项目可不开展修复技术可行性评价。</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rPr>
      </w:pPr>
      <w:r>
        <w:rPr>
          <w:rFonts w:hint="eastAsia" w:ascii="Times New Roman" w:hAnsi="Times New Roman" w:eastAsia="方正楷体_GBK" w:cs="Times New Roman"/>
          <w:b w:val="0"/>
          <w:bCs w:val="0"/>
          <w:sz w:val="32"/>
        </w:rPr>
        <w:t>（二）修复技术可行性评价</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1.实验室小试</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实验室小试应根据土壤的污染类型（如无机物污染、有机物污染、复合污染）采集有代表性的土壤（至少包括污染较重区域土壤）进行试验，针对需获得的修复技术关键环节和关键参数，制定试验方案。小试试验至少需要重复</w:t>
      </w:r>
      <w:r>
        <w:rPr>
          <w:rFonts w:ascii="Times New Roman" w:hAnsi="Times New Roman" w:eastAsia="方正仿宋_GBK" w:cs="Times New Roman"/>
          <w:sz w:val="32"/>
          <w:szCs w:val="32"/>
        </w:rPr>
        <w:t>1~2次，试验过程要有质量保证和质量控制措施，试验周期主要根据修复技术类型、参数需求确定。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方案中应明确小试试验过程（包括土壤和下水污染物类型、初始浓度、试验周期、次数，质控内容等）、获取的修复技术的关键环节和关键参数（如土壤含水率、有机质含量、试验后污染物浓度、药剂比例、反应周期、温度等）；采用化学氧化</w:t>
      </w:r>
      <w:r>
        <w:rPr>
          <w:rFonts w:ascii="Times New Roman" w:hAnsi="Times New Roman" w:eastAsia="方正仿宋_GBK" w:cs="Times New Roman"/>
          <w:sz w:val="32"/>
          <w:szCs w:val="32"/>
        </w:rPr>
        <w:t>/还原修复、微生物修复的需考虑二次污染物；采用固化/稳定化技术的，应</w:t>
      </w:r>
      <w:r>
        <w:rPr>
          <w:rFonts w:hint="eastAsia" w:ascii="Times New Roman" w:hAnsi="Times New Roman" w:eastAsia="方正仿宋_GBK" w:cs="Times New Roman"/>
          <w:sz w:val="32"/>
          <w:szCs w:val="32"/>
        </w:rPr>
        <w:t>明确</w:t>
      </w:r>
      <w:r>
        <w:rPr>
          <w:rFonts w:ascii="Times New Roman" w:hAnsi="Times New Roman" w:eastAsia="方正仿宋_GBK" w:cs="Times New Roman"/>
          <w:sz w:val="32"/>
          <w:szCs w:val="32"/>
        </w:rPr>
        <w:t>污染物浸出浓度</w:t>
      </w:r>
      <w:r>
        <w:rPr>
          <w:rFonts w:hint="eastAsia" w:ascii="Times New Roman" w:hAnsi="Times New Roman" w:eastAsia="方正仿宋_GBK" w:cs="Times New Roman"/>
          <w:sz w:val="32"/>
          <w:szCs w:val="32"/>
        </w:rPr>
        <w:t>需满足的限值。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2.现场中试</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采用热脱附、固化</w:t>
      </w:r>
      <w:r>
        <w:rPr>
          <w:rFonts w:ascii="Times New Roman" w:hAnsi="Times New Roman" w:eastAsia="方正仿宋_GBK" w:cs="Times New Roman"/>
          <w:sz w:val="32"/>
          <w:szCs w:val="32"/>
        </w:rPr>
        <w:t>/稳定化、化学氧化/还原、化学淋洗等技术的，需进行现场中试。中试处理量原则上不少于100</w:t>
      </w:r>
      <w:r>
        <w:rPr>
          <w:rFonts w:hint="eastAsia" w:ascii="Times New Roman" w:hAnsi="Times New Roman" w:eastAsia="方正仿宋_GBK" w:cs="Times New Roman"/>
          <w:sz w:val="32"/>
          <w:szCs w:val="32"/>
        </w:rPr>
        <w:t>m</w:t>
      </w:r>
      <w:r>
        <w:rPr>
          <w:rFonts w:ascii="Times New Roman" w:hAnsi="Times New Roman" w:eastAsia="方正仿宋_GBK" w:cs="Times New Roman"/>
          <w:sz w:val="32"/>
          <w:szCs w:val="32"/>
          <w:vertAlign w:val="superscript"/>
        </w:rPr>
        <w:t>3</w:t>
      </w:r>
      <w:r>
        <w:rPr>
          <w:rFonts w:hint="eastAsia" w:ascii="Times New Roman" w:hAnsi="Times New Roman" w:eastAsia="方正仿宋_GBK" w:cs="Times New Roman"/>
          <w:sz w:val="32"/>
          <w:szCs w:val="32"/>
        </w:rPr>
        <w:t>，热脱附需稳定运行</w:t>
      </w:r>
      <w:r>
        <w:rPr>
          <w:rFonts w:ascii="Times New Roman" w:hAnsi="Times New Roman" w:eastAsia="方正仿宋_GBK" w:cs="Times New Roman"/>
          <w:sz w:val="32"/>
          <w:szCs w:val="32"/>
        </w:rPr>
        <w:t>48小时及以上。其他修复技术若小试结果不满足土壤修复技术适用性确定的，应在地块内开展现场中试。</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中试试验应尽量兼顾地块中不同污染类型区域、不同污染浓度、不同土壤类型情况等开展试验，进一步优化修复技术工艺，获得土壤修复工程设计所需参数，同时考虑环境管理和二次污染防治等要求。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中试所用设备类型与规格型号应尽量与实际修复拟采用的设备相一致。中试试验至少需要重复</w:t>
      </w:r>
      <w:r>
        <w:rPr>
          <w:rFonts w:ascii="Times New Roman" w:hAnsi="Times New Roman" w:eastAsia="方正仿宋_GBK" w:cs="Times New Roman"/>
          <w:sz w:val="32"/>
          <w:szCs w:val="32"/>
        </w:rPr>
        <w:t>2~3次（热脱附除外），试验过程要有质量保证和质量控制措施，试验规模和周期应根据土壤的污染性质和程度、修复技术的性能与特点、工艺参数需求等确定。修复方案中应明确中试试验过程、获取的修复技术的关键环节和关键参数，以及较小试结果有变化的内容。采用化学氧化/还原修复、微生物修复的需考虑二次污染物；采用固化/稳定化技术的，应</w:t>
      </w:r>
      <w:r>
        <w:rPr>
          <w:rFonts w:hint="eastAsia" w:ascii="Times New Roman" w:hAnsi="Times New Roman" w:eastAsia="方正仿宋_GBK" w:cs="Times New Roman"/>
          <w:sz w:val="32"/>
          <w:szCs w:val="32"/>
        </w:rPr>
        <w:t>明确污染物浸出浓度需满足的限值。</w:t>
      </w:r>
    </w:p>
    <w:p>
      <w:pPr>
        <w:numPr>
          <w:ilvl w:val="0"/>
          <w:numId w:val="1"/>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确定修复技术</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根据可行性评估结果确定修复技术或修复技术组合。</w:t>
      </w:r>
    </w:p>
    <w:p>
      <w:pPr>
        <w:numPr>
          <w:ilvl w:val="255"/>
          <w:numId w:val="0"/>
        </w:numPr>
        <w:adjustRightInd w:val="0"/>
        <w:snapToGrid w:val="0"/>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四、修复方案设计</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（一）修复技术路线</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修复技术路线应反映修复总体思路、修复方式、工艺流程、具体步骤，以及修复过程中产生的废水、废气、固体废物处理处置和二次污染防治措施等。</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（二）修复技术工艺参数</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确定修复技术需采用的工艺参数（通过小试</w:t>
      </w:r>
      <w:r>
        <w:rPr>
          <w:rFonts w:ascii="Times New Roman" w:hAnsi="Times New Roman" w:eastAsia="方正仿宋_GBK" w:cs="Times New Roman"/>
          <w:sz w:val="32"/>
          <w:szCs w:val="32"/>
        </w:rPr>
        <w:t>/中试获取），包括不限于以下内容：</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1.设备处理能力（每批次处理方量和周期）；</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2.处理条件（温度、土壤含水率、粒径、污染物浓度等）；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3.土壤原位修复</w:t>
      </w:r>
      <w:r>
        <w:rPr>
          <w:rFonts w:hint="eastAsia" w:ascii="Times New Roman" w:hAnsi="Times New Roman" w:eastAsia="方正仿宋_GBK" w:cs="Times New Roman"/>
          <w:sz w:val="32"/>
          <w:szCs w:val="32"/>
        </w:rPr>
        <w:t>设施（如注入井，热处理）数量及规格；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4.地下水井（注入井或抽提井）数量及规格；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5.设备影响半径（注入井或抽提井）；</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6.药剂投加方式、投加量或比例；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7.能耗；</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8.设备占地面积或作业区面积等;</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9.采用阻隔措施的，阻隔材料类型、厚度、渗透系数等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采用水泥窑协同处置、烧结制陶粒的，无需说明上述工艺参数内容。</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（三）工程量估算</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修复工程量包括估算的土壤和地下水修复量，开挖方量、遗留固体废物处置量、以及修复过程中产生的废水、废气和固体废物的处置量。</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rPr>
      </w:pPr>
      <w:r>
        <w:rPr>
          <w:rFonts w:hint="eastAsia" w:ascii="Times New Roman" w:hAnsi="Times New Roman" w:eastAsia="方正楷体_GBK" w:cs="Times New Roman"/>
          <w:b w:val="0"/>
          <w:bCs w:val="0"/>
          <w:sz w:val="32"/>
        </w:rPr>
        <w:t>（四）功能区设计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说明各功能区的平面布置以及设计参数的合理性（如功能区规模满足土壤、废水、固体废物等的贮存量）和可行性（如功能区建设需满足的技术要求，如建设材料，防雨、防渗、防流失、防扬散的措施等）。</w:t>
      </w:r>
    </w:p>
    <w:p>
      <w:pPr>
        <w:numPr>
          <w:ilvl w:val="0"/>
          <w:numId w:val="2"/>
        </w:num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实施过程</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1.清挖</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明确清挖使用的设施设备、数量、设备安装和调试过程、清挖方式、施工顺序、工作计划、人员配置等内容。</w:t>
      </w:r>
    </w:p>
    <w:p>
      <w:pPr>
        <w:numPr>
          <w:ilvl w:val="0"/>
          <w:numId w:val="3"/>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清理</w:t>
      </w:r>
    </w:p>
    <w:p>
      <w:pPr>
        <w:numPr>
          <w:ilvl w:val="255"/>
          <w:numId w:val="0"/>
        </w:numPr>
        <w:adjustRightInd w:val="0"/>
        <w:snapToGrid w:val="0"/>
        <w:spacing w:line="60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明确对地块内遗留固体废物的清理使用的设施设备、数量、包装、工作计划、人员配置等内容。</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3.场内转运</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明确转运使用的设施设备、数量、转运路线、工作计划、人员配置等内容。</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rPr>
      </w:pPr>
      <w:r>
        <w:rPr>
          <w:rFonts w:ascii="Times New Roman" w:hAnsi="Times New Roman" w:eastAsia="方正仿宋_GBK" w:cs="Times New Roman"/>
          <w:sz w:val="32"/>
          <w:szCs w:val="32"/>
        </w:rPr>
        <w:t>4.预处理</w:t>
      </w:r>
    </w:p>
    <w:p>
      <w:pPr>
        <w:numPr>
          <w:ilvl w:val="255"/>
          <w:numId w:val="0"/>
        </w:numPr>
        <w:spacing w:line="600" w:lineRule="exact"/>
        <w:ind w:firstLine="640" w:firstLineChars="200"/>
        <w:rPr>
          <w:rFonts w:ascii="Times New Roman" w:hAnsi="Times New Roman" w:cs="Times New Roman"/>
        </w:rPr>
      </w:pPr>
      <w:r>
        <w:rPr>
          <w:rFonts w:hint="eastAsia" w:ascii="Times New Roman" w:hAnsi="Times New Roman" w:eastAsia="方正仿宋_GBK" w:cs="Times New Roman"/>
          <w:sz w:val="32"/>
          <w:szCs w:val="32"/>
        </w:rPr>
        <w:t>明确预处理的条件（如土壤过筛密度、土壤含水率）、使用的设施设备、数量、预处理位置、预处理后土壤需满足的参数及检测方案（如热脱附土壤的含水率以及检测方法和频次）、筛上物和筛下物去向、工作计划、人员配置等内容。</w:t>
      </w:r>
    </w:p>
    <w:p>
      <w:pPr>
        <w:numPr>
          <w:ilvl w:val="255"/>
          <w:numId w:val="0"/>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5.暂存</w:t>
      </w:r>
    </w:p>
    <w:p>
      <w:pPr>
        <w:numPr>
          <w:ilvl w:val="255"/>
          <w:numId w:val="0"/>
        </w:num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明确土壤、废水、固体废物等暂存场所位置、规模及暂存方式（如混合堆放、分区堆放）、工作计划、人员配置等内容。</w:t>
      </w:r>
    </w:p>
    <w:p>
      <w:pPr>
        <w:numPr>
          <w:ilvl w:val="255"/>
          <w:numId w:val="0"/>
        </w:num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6.处置</w:t>
      </w:r>
    </w:p>
    <w:p>
      <w:pPr>
        <w:numPr>
          <w:ilvl w:val="255"/>
          <w:numId w:val="0"/>
        </w:num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明确土壤、废水、废气处置设施设备的类型、数量、工程构成、工艺设计、主要工艺设备、达到处理条件需采取的措施、施工调试、过程控制、运行维护、启动关停、事故应急、工作计划、人员配置等内容。需制定土壤、废水、废气不满足处理要求或排放要求的整改措施或备选方案。</w:t>
      </w:r>
    </w:p>
    <w:p>
      <w:pPr>
        <w:numPr>
          <w:ilvl w:val="255"/>
          <w:numId w:val="0"/>
        </w:num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土壤采用水泥窑协同处置技术和烧结制陶粒的，废水、固体废物委外处置的，不要求说明上述内容。</w:t>
      </w:r>
    </w:p>
    <w:p>
      <w:pPr>
        <w:numPr>
          <w:ilvl w:val="0"/>
          <w:numId w:val="4"/>
        </w:num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地下设施保护</w:t>
      </w:r>
    </w:p>
    <w:p>
      <w:pPr>
        <w:numPr>
          <w:ilvl w:val="255"/>
          <w:numId w:val="0"/>
        </w:numPr>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若地块内有具有使用功能的地下管线、箱涵等，则应明确其的保护措施。</w:t>
      </w:r>
    </w:p>
    <w:p>
      <w:pPr>
        <w:pStyle w:val="4"/>
        <w:adjustRightInd w:val="0"/>
        <w:snapToGrid w:val="0"/>
        <w:spacing w:before="0" w:after="0" w:line="600" w:lineRule="exact"/>
        <w:ind w:firstLine="640" w:firstLineChars="200"/>
        <w:rPr>
          <w:rFonts w:ascii="Times New Roman" w:hAnsi="Times New Roman" w:eastAsia="方正楷体_GBK" w:cs="Times New Roman"/>
          <w:b w:val="0"/>
          <w:bCs w:val="0"/>
          <w:sz w:val="32"/>
        </w:rPr>
      </w:pPr>
      <w:r>
        <w:rPr>
          <w:rFonts w:hint="eastAsia" w:ascii="Times New Roman" w:hAnsi="Times New Roman" w:eastAsia="方正楷体_GBK" w:cs="Times New Roman"/>
          <w:b w:val="0"/>
          <w:bCs w:val="0"/>
          <w:sz w:val="32"/>
        </w:rPr>
        <w:t>（六）外运</w:t>
      </w:r>
    </w:p>
    <w:p>
      <w:pPr>
        <w:adjustRightInd w:val="0"/>
        <w:snapToGrid w:val="0"/>
        <w:spacing w:line="600" w:lineRule="exact"/>
        <w:ind w:firstLine="640" w:firstLineChars="200"/>
        <w:rPr>
          <w:rFonts w:ascii="Times New Roman" w:hAnsi="Times New Roman" w:eastAsia="方正仿宋_GBK" w:cs="Times New Roman"/>
          <w:b/>
          <w:bCs/>
          <w:sz w:val="32"/>
        </w:rPr>
      </w:pPr>
      <w:r>
        <w:rPr>
          <w:rFonts w:hint="eastAsia" w:ascii="Times New Roman" w:hAnsi="Times New Roman" w:eastAsia="方正仿宋_GBK" w:cs="Times New Roman"/>
          <w:sz w:val="32"/>
          <w:szCs w:val="32"/>
        </w:rPr>
        <w:t>外运土壤、废水和固体废物前，应当制定转运计划，明确运输方式、路线。</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1.土壤外运</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污染土壤外运至水泥窑协同处置、烧结制陶粒的，需明确接收单位和接收数量，提供接受单位具备土壤贮存、处置能力的证明材料（环评或批复）；实际的土壤贮存和处置量（按接受单位已签订的处置协议计算剩余可贮存和处置量）。贮存单位、处置单位和设施运营单位非同一单位的（以环评批复或排污许可证的单位名称为准），需提供涉及的相关方之间签署的同一份协议或合同。协议或合同需明确污染土壤投加位置和投加比例。</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土壤修复后外运的和外运修复的（不含水泥窑和烧结制陶粒），修复方案中应说明土壤去向；需新增监测的污染物（根据接受场所的环境管理要求，除目标污染物外的其他污染物）；外运土壤中目标污染物（含新增污染物）的修复目标值（根据接收地土壤暴露情景进行风险评估（按照HJ25.3执行）确定，或采用GB 36600中接收地用地类型对应的筛选值确定）。化学氧化/还原修复、微生物修复后土壤经可行性分析有二次污染物的，二次污染物应用GB36600</w:t>
      </w:r>
      <w:r>
        <w:rPr>
          <w:rFonts w:hint="eastAsia" w:ascii="Times New Roman" w:hAnsi="Times New Roman" w:eastAsia="方正仿宋_GBK" w:cs="Times New Roman"/>
          <w:sz w:val="32"/>
          <w:szCs w:val="32"/>
        </w:rPr>
        <w:t>的中一类用地筛选值作为修复目标，无筛选值的根据暴露情景进行风险评估确定修复目标。固化</w:t>
      </w:r>
      <w:r>
        <w:rPr>
          <w:rFonts w:ascii="Times New Roman" w:hAnsi="Times New Roman" w:eastAsia="方正仿宋_GBK" w:cs="Times New Roman"/>
          <w:sz w:val="32"/>
          <w:szCs w:val="32"/>
        </w:rPr>
        <w:t>/稳定化修复后土壤</w:t>
      </w:r>
      <w:r>
        <w:rPr>
          <w:rFonts w:hint="eastAsia" w:ascii="Times New Roman" w:hAnsi="Times New Roman" w:eastAsia="方正仿宋_GBK" w:cs="Times New Roman"/>
          <w:sz w:val="32"/>
          <w:szCs w:val="32"/>
        </w:rPr>
        <w:t>应根据接收地或者处置终端，明确污染物浸出浓度需满足的限值。</w:t>
      </w:r>
    </w:p>
    <w:p>
      <w:pPr>
        <w:numPr>
          <w:ilvl w:val="0"/>
          <w:numId w:val="5"/>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废水外运</w:t>
      </w:r>
    </w:p>
    <w:p>
      <w:pPr>
        <w:numPr>
          <w:ilvl w:val="255"/>
          <w:numId w:val="0"/>
        </w:numPr>
        <w:adjustRightInd w:val="0"/>
        <w:snapToGrid w:val="0"/>
        <w:spacing w:line="60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明确外运废水的接收单位和数量。提供接收单位具备废水贮存、处置能力的证明材料（环评或批复）。接收单位、处置单位和设施运营单位非同一单位的（以环评批复或排污许可证的单位名称为准），需提供涉及的相关方之间签署的同一份协议或合同。接收协议或合同上需明确拟接收废水的数量和接纳标准</w:t>
      </w:r>
      <w:r>
        <w:rPr>
          <w:rFonts w:hint="eastAsia" w:ascii="Times New Roman" w:hAnsi="Times New Roman" w:eastAsia="方正仿宋_GBK" w:cs="Times New Roman"/>
          <w:sz w:val="32"/>
          <w:szCs w:val="32"/>
        </w:rPr>
        <w:t>。接纳标准除常规项目外，应包括目标污染物和超</w:t>
      </w:r>
      <w:r>
        <w:rPr>
          <w:rFonts w:ascii="Times New Roman" w:hAnsi="Times New Roman" w:eastAsia="方正仿宋_GBK" w:cs="Times New Roman"/>
          <w:sz w:val="32"/>
          <w:szCs w:val="32"/>
        </w:rPr>
        <w:t>GB36600一类用地筛选值</w:t>
      </w:r>
      <w:r>
        <w:rPr>
          <w:rFonts w:hint="eastAsia" w:ascii="Times New Roman" w:hAnsi="Times New Roman" w:eastAsia="方正仿宋_GBK" w:cs="Times New Roman"/>
          <w:sz w:val="32"/>
          <w:szCs w:val="32"/>
        </w:rPr>
        <w:t>的污染物。</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固体废物外运</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明确外运固体废物的接收单位和数量。属于危险废物的还需提供接收单位危险废物经营资质证明。</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（七）制定环境管理计划</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1.二次污染防治计划</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分析地块内废水、废气、扬尘、噪声、固体废物的产生环节，明确污染防治措施和排放标准。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废水应明确污染物种类、排放标准和排放去向。污染物种类应包括土壤和地下水中的目标污染物以及土壤中超过GB36600中第一类用地筛选值的所有污染物，排放标准应满足国家、地方、行业以及接收终端的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2）扬尘污染防治应明确实施位置、施工阶段和措施，采用喷洒降尘的应明确频率和持续时间。</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3）挥发性有机物污染土壤开挖、暂存、处理和处置应明确污染防治措施，如在负压密闭大棚内进行。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4）采用固化/稳定化技术处理污染土壤且在地块内回填的，应明确具体的回填位置和配套的防渗设施，提出回填后土壤后期管理措施。</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2.环境监测计划</w:t>
      </w:r>
    </w:p>
    <w:p>
      <w:pPr>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1）废水</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废水间歇排放的，应在每次排放前开展测试，测试结果满足排放标准后方可排放；废水连续排放的，参照《污水监测技术规范》（</w:t>
      </w:r>
      <w:r>
        <w:rPr>
          <w:rFonts w:ascii="Times New Roman" w:hAnsi="Times New Roman" w:eastAsia="方正仿宋_GBK" w:cs="Times New Roman"/>
          <w:sz w:val="32"/>
          <w:szCs w:val="32"/>
        </w:rPr>
        <w:t>HJ91.1）执行。</w:t>
      </w:r>
    </w:p>
    <w:p>
      <w:pPr>
        <w:pStyle w:val="17"/>
        <w:adjustRightInd w:val="0"/>
        <w:snapToGrid w:val="0"/>
        <w:spacing w:line="600" w:lineRule="exact"/>
        <w:ind w:left="480" w:firstLine="0" w:firstLineChars="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2）大气</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施工期大气环境监测原则上每个月不少于</w:t>
      </w:r>
      <w:r>
        <w:rPr>
          <w:rFonts w:ascii="Times New Roman" w:hAnsi="Times New Roman" w:eastAsia="方正仿宋_GBK" w:cs="Times New Roman"/>
          <w:sz w:val="32"/>
          <w:szCs w:val="32"/>
        </w:rPr>
        <w:t>1次，应在施工负荷达80%及以上或施工异常时进行监测，整个施工期监测次数不少于1次。施工前和施工后</w:t>
      </w:r>
      <w:r>
        <w:rPr>
          <w:rFonts w:hint="eastAsia" w:ascii="Times New Roman" w:hAnsi="Times New Roman" w:eastAsia="方正仿宋_GBK" w:cs="Times New Roman"/>
          <w:sz w:val="32"/>
          <w:szCs w:val="32"/>
        </w:rPr>
        <w:t>的监测可结合实际情况进行。需制定监测结果不满足排放标准的整改措施。</w:t>
      </w:r>
    </w:p>
    <w:p>
      <w:pPr>
        <w:pStyle w:val="17"/>
        <w:adjustRightInd w:val="0"/>
        <w:snapToGrid w:val="0"/>
        <w:spacing w:line="600" w:lineRule="exact"/>
        <w:ind w:left="480" w:firstLine="0" w:firstLineChars="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3）噪声</w:t>
      </w:r>
    </w:p>
    <w:p>
      <w:pPr>
        <w:numPr>
          <w:ilvl w:val="255"/>
          <w:numId w:val="0"/>
        </w:numPr>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噪声监测原则上每个月不少于</w:t>
      </w:r>
      <w:r>
        <w:rPr>
          <w:rFonts w:ascii="Times New Roman" w:hAnsi="Times New Roman" w:eastAsia="方正仿宋_GBK" w:cs="Times New Roman"/>
          <w:sz w:val="32"/>
          <w:szCs w:val="32"/>
        </w:rPr>
        <w:t>1次，应在施工负荷达80%及以上或施工异常时进行监测，整个施工期监测次数不少于1次。施工前和施工后</w:t>
      </w:r>
      <w:r>
        <w:rPr>
          <w:rFonts w:hint="eastAsia" w:ascii="Times New Roman" w:hAnsi="Times New Roman" w:eastAsia="方正仿宋_GBK" w:cs="Times New Roman"/>
          <w:sz w:val="32"/>
          <w:szCs w:val="32"/>
        </w:rPr>
        <w:t>的监测可结合实际情况进行。需制定监测结果不满足标准的整改措施。</w:t>
      </w:r>
    </w:p>
    <w:p>
      <w:pPr>
        <w:numPr>
          <w:ilvl w:val="0"/>
          <w:numId w:val="6"/>
        </w:numPr>
        <w:adjustRightInd w:val="0"/>
        <w:snapToGrid w:val="0"/>
        <w:spacing w:line="600" w:lineRule="exact"/>
        <w:ind w:firstLine="640" w:firstLineChars="200"/>
        <w:rPr>
          <w:rFonts w:ascii="Times New Roman" w:hAnsi="Times New Roman" w:eastAsia="方正楷体_GBK" w:cs="Times New Roman"/>
          <w:sz w:val="32"/>
        </w:rPr>
      </w:pPr>
      <w:r>
        <w:rPr>
          <w:rFonts w:hint="eastAsia" w:ascii="Times New Roman" w:hAnsi="Times New Roman" w:eastAsia="方正楷体_GBK" w:cs="Times New Roman"/>
          <w:sz w:val="32"/>
        </w:rPr>
        <w:t>治理修复监测</w:t>
      </w:r>
    </w:p>
    <w:p>
      <w:pPr>
        <w:numPr>
          <w:ilvl w:val="255"/>
          <w:numId w:val="0"/>
        </w:numPr>
        <w:adjustRightInd w:val="0"/>
        <w:snapToGrid w:val="0"/>
        <w:spacing w:line="600" w:lineRule="exact"/>
        <w:ind w:firstLine="640"/>
        <w:rPr>
          <w:rFonts w:ascii="Times New Roman" w:hAnsi="Times New Roman" w:eastAsia="方正楷体_GBK" w:cs="Times New Roman"/>
          <w:sz w:val="32"/>
        </w:rPr>
      </w:pPr>
      <w:r>
        <w:rPr>
          <w:rFonts w:ascii="Times New Roman" w:hAnsi="Times New Roman" w:eastAsia="方正楷体_GBK" w:cs="Times New Roman"/>
          <w:sz w:val="32"/>
        </w:rPr>
        <w:t>1.</w:t>
      </w:r>
      <w:r>
        <w:rPr>
          <w:rFonts w:hint="eastAsia" w:ascii="Times New Roman" w:hAnsi="Times New Roman" w:eastAsia="方正仿宋_GBK" w:cs="Times New Roman"/>
          <w:sz w:val="32"/>
          <w:szCs w:val="32"/>
        </w:rPr>
        <w:t>地块残余危险废物（</w:t>
      </w:r>
      <w:r>
        <w:rPr>
          <w:rFonts w:ascii="Times New Roman" w:hAnsi="Times New Roman" w:eastAsia="方正仿宋_GBK" w:cs="Times New Roman"/>
          <w:sz w:val="32"/>
          <w:szCs w:val="32"/>
        </w:rPr>
        <w:t>危险废物</w:t>
      </w:r>
      <w:r>
        <w:rPr>
          <w:rFonts w:hint="eastAsia" w:ascii="Times New Roman" w:hAnsi="Times New Roman" w:eastAsia="方正仿宋_GBK" w:cs="Times New Roman"/>
          <w:sz w:val="32"/>
          <w:szCs w:val="32"/>
        </w:rPr>
        <w:t>与</w:t>
      </w:r>
      <w:r>
        <w:rPr>
          <w:rFonts w:ascii="Times New Roman" w:hAnsi="Times New Roman" w:eastAsia="方正仿宋_GBK" w:cs="Times New Roman"/>
          <w:sz w:val="32"/>
          <w:szCs w:val="32"/>
        </w:rPr>
        <w:t>土壤</w:t>
      </w:r>
      <w:r>
        <w:rPr>
          <w:rFonts w:hint="eastAsia" w:ascii="Times New Roman" w:hAnsi="Times New Roman" w:eastAsia="方正仿宋_GBK" w:cs="Times New Roman"/>
          <w:sz w:val="32"/>
          <w:szCs w:val="32"/>
        </w:rPr>
        <w:t>有直接接触的部分）和经鉴别具有危险特性的污染土壤清理效果的监测</w:t>
      </w:r>
    </w:p>
    <w:p>
      <w:pPr>
        <w:adjustRightInd w:val="0"/>
        <w:snapToGrid w:val="0"/>
        <w:spacing w:line="600" w:lineRule="exact"/>
        <w:ind w:firstLine="640"/>
        <w:rPr>
          <w:rFonts w:ascii="Times New Roman" w:hAnsi="Times New Roman" w:eastAsia="方正楷体_GBK" w:cs="Times New Roman"/>
          <w:sz w:val="32"/>
        </w:rPr>
      </w:pPr>
      <w:r>
        <w:rPr>
          <w:rFonts w:hint="eastAsia" w:ascii="Times New Roman" w:hAnsi="Times New Roman" w:eastAsia="方正楷体_GBK" w:cs="Times New Roman"/>
          <w:sz w:val="32"/>
        </w:rPr>
        <w:t>（</w:t>
      </w:r>
      <w:r>
        <w:rPr>
          <w:rFonts w:ascii="Times New Roman" w:hAnsi="Times New Roman" w:eastAsia="方正楷体_GBK" w:cs="Times New Roman"/>
          <w:sz w:val="32"/>
        </w:rPr>
        <w:t>1）点位布设和样品采集</w:t>
      </w:r>
    </w:p>
    <w:p>
      <w:pPr>
        <w:numPr>
          <w:ilvl w:val="255"/>
          <w:numId w:val="0"/>
        </w:numPr>
        <w:adjustRightInd w:val="0"/>
        <w:snapToGrid w:val="0"/>
        <w:spacing w:line="600" w:lineRule="exact"/>
        <w:ind w:firstLine="640"/>
        <w:rPr>
          <w:rFonts w:ascii="Times New Roman" w:hAnsi="Times New Roman" w:eastAsia="方正仿宋_GBK" w:cs="Times New Roman"/>
          <w:sz w:val="32"/>
        </w:rPr>
      </w:pPr>
      <w:r>
        <w:rPr>
          <w:rFonts w:hint="eastAsia" w:ascii="Times New Roman" w:hAnsi="Times New Roman" w:eastAsia="方正仿宋_GBK" w:cs="Times New Roman"/>
          <w:sz w:val="32"/>
          <w:szCs w:val="32"/>
        </w:rPr>
        <w:t>根据界面特征和大小将其分成面积相等的若干工作单元，单元面积不超过</w:t>
      </w:r>
      <w:r>
        <w:rPr>
          <w:rFonts w:ascii="Times New Roman" w:hAnsi="Times New Roman" w:eastAsia="方正仿宋_GBK" w:cs="Times New Roman"/>
          <w:sz w:val="32"/>
          <w:szCs w:val="32"/>
        </w:rPr>
        <w:t>100</w:t>
      </w:r>
      <w:r>
        <w:rPr>
          <w:rFonts w:hint="eastAsia" w:ascii="Times New Roman" w:hAnsi="Times New Roman" w:eastAsia="方正仿宋_GBK" w:cs="Times New Roman"/>
          <w:sz w:val="32"/>
          <w:szCs w:val="32"/>
        </w:rPr>
        <w:t>m</w:t>
      </w:r>
      <w:r>
        <w:rPr>
          <w:rFonts w:ascii="Times New Roman" w:hAnsi="Times New Roman" w:eastAsia="方正仿宋_GBK" w:cs="Times New Roman"/>
          <w:sz w:val="32"/>
          <w:szCs w:val="32"/>
          <w:vertAlign w:val="superscript"/>
        </w:rPr>
        <w:t>2</w:t>
      </w:r>
      <w:r>
        <w:rPr>
          <w:rFonts w:hint="eastAsia" w:ascii="Times New Roman" w:hAnsi="Times New Roman" w:eastAsia="方正仿宋_GBK" w:cs="Times New Roman"/>
          <w:sz w:val="32"/>
          <w:szCs w:val="32"/>
        </w:rPr>
        <w:t>（不区分坑底和坑壁）。每个工作单元中均匀分布采集</w:t>
      </w:r>
      <w:r>
        <w:rPr>
          <w:rFonts w:ascii="Times New Roman" w:hAnsi="Times New Roman" w:eastAsia="方正仿宋_GBK" w:cs="Times New Roman"/>
          <w:sz w:val="32"/>
          <w:szCs w:val="32"/>
        </w:rPr>
        <w:t>9个表层土壤样品（0~20cm，下同）制成混合样（测定挥发性有机物项目除外）。采集土壤混合样时，应在各点采集重量相等的土壤样品（对应前面9</w:t>
      </w:r>
      <w:r>
        <w:rPr>
          <w:rFonts w:hint="eastAsia" w:ascii="Times New Roman" w:hAnsi="Times New Roman" w:eastAsia="方正仿宋_GBK" w:cs="Times New Roman"/>
          <w:sz w:val="32"/>
          <w:szCs w:val="32"/>
        </w:rPr>
        <w:t>个表层样，每个点位应采集相同重量的土壤样品，所有点位采集土壤样品的总量需大于或等于检测所需的土壤样品量，下文的采集混合样同此要求</w:t>
      </w:r>
      <w:r>
        <w:rPr>
          <w:rFonts w:hint="eastAsia" w:ascii="Times New Roman" w:hAnsi="Times New Roman" w:eastAsia="方正仿宋_GBK" w:cs="Times New Roman"/>
          <w:b/>
          <w:sz w:val="32"/>
          <w:szCs w:val="32"/>
        </w:rPr>
        <w:t>）</w:t>
      </w:r>
      <w:r>
        <w:rPr>
          <w:rFonts w:hint="eastAsia" w:ascii="Times New Roman" w:hAnsi="Times New Roman" w:eastAsia="方正仿宋_GBK" w:cs="Times New Roman"/>
          <w:sz w:val="32"/>
          <w:szCs w:val="32"/>
        </w:rPr>
        <w:t>，采集的样品全部送检测试验室。</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2）检测指标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残余危险废物清理区域：一般为该区域的土壤目标污染物。若该区域在土壤污染状况调查阶段未开展采样监测，监测项目为特征污染物和</w:t>
      </w:r>
      <w:r>
        <w:rPr>
          <w:rFonts w:ascii="Times New Roman" w:hAnsi="Times New Roman" w:eastAsia="方正仿宋_GBK" w:cs="Times New Roman"/>
          <w:sz w:val="32"/>
          <w:szCs w:val="32"/>
        </w:rPr>
        <w:t>GB36600表1中的污染物，必要时还需开展土壤危险特性鉴别。</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具有危险特性的污染土壤清理区域：为将污染土壤判定为危险废物的污染物因子。</w:t>
      </w:r>
    </w:p>
    <w:p>
      <w:pPr>
        <w:numPr>
          <w:ilvl w:val="0"/>
          <w:numId w:val="7"/>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评估标准值</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残余危险废物清理区域：一般为修复方案中确定的修复目标值。若未达到修复目标值的，应继续按照危险废物进行清理处置，直至满足土壤修复目标值；若残余危险废物清理后对周边污染土壤开展了危险特性鉴别，不具有危险特性的，可按照污染土壤处置。</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若较调查评估阶段有新增污染物的，新增污染物的评估标准值可参照</w:t>
      </w:r>
      <w:r>
        <w:rPr>
          <w:rFonts w:ascii="Times New Roman" w:hAnsi="Times New Roman" w:eastAsia="方正仿宋_GBK" w:cs="Times New Roman"/>
          <w:sz w:val="32"/>
          <w:szCs w:val="32"/>
        </w:rPr>
        <w:t>GB36600中用地筛选值执行，或根据暴露情景进行风险评估确定其评估标准值，风险评估</w:t>
      </w:r>
      <w:r>
        <w:rPr>
          <w:rFonts w:hint="eastAsia" w:ascii="Times New Roman" w:hAnsi="Times New Roman" w:eastAsia="方正仿宋_GBK" w:cs="Times New Roman"/>
          <w:sz w:val="32"/>
          <w:szCs w:val="32"/>
        </w:rPr>
        <w:t>按照</w:t>
      </w:r>
      <w:r>
        <w:rPr>
          <w:rFonts w:ascii="Times New Roman" w:hAnsi="Times New Roman" w:eastAsia="方正仿宋_GBK" w:cs="Times New Roman"/>
          <w:sz w:val="32"/>
          <w:szCs w:val="32"/>
        </w:rPr>
        <w:t>HJ25.3执行（下同）。</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具有危险特性的污染土壤清理区域：评估标准值为将污染土壤判定为危险废物的限值。</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2.污染土壤清挖效果的监测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1）点位布设</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基坑侧壁等分成段，每段最大长度不应超过</w:t>
      </w:r>
      <w:r>
        <w:rPr>
          <w:rFonts w:ascii="Times New Roman" w:hAnsi="Times New Roman" w:eastAsia="方正仿宋_GBK" w:cs="Times New Roman"/>
          <w:sz w:val="32"/>
          <w:szCs w:val="32"/>
        </w:rPr>
        <w:t>40</w:t>
      </w:r>
      <w:r>
        <w:rPr>
          <w:rFonts w:hint="eastAsia" w:ascii="Times New Roman" w:hAnsi="Times New Roman" w:eastAsia="方正仿宋_GBK" w:cs="Times New Roman"/>
          <w:sz w:val="32"/>
          <w:szCs w:val="32"/>
        </w:rPr>
        <w:t>m，在每段均匀采集</w:t>
      </w:r>
      <w:r>
        <w:rPr>
          <w:rFonts w:ascii="Times New Roman" w:hAnsi="Times New Roman" w:eastAsia="方正仿宋_GBK" w:cs="Times New Roman"/>
          <w:sz w:val="32"/>
          <w:szCs w:val="32"/>
        </w:rPr>
        <w:t>9个表层土壤样品制成混合样（测定挥发性有机物项目除外）；当基坑深度大于1</w:t>
      </w:r>
      <w:r>
        <w:rPr>
          <w:rFonts w:hint="eastAsia" w:ascii="Times New Roman" w:hAnsi="Times New Roman" w:eastAsia="方正仿宋_GBK" w:cs="Times New Roman"/>
          <w:sz w:val="32"/>
          <w:szCs w:val="32"/>
        </w:rPr>
        <w:t>m时，侧壁应进行垂向分层采样，在污染物易富集位置设置采样点，各层采样点之间垂向距离不大于</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m。</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基坑底部均分工作单元，单元最大面积不应超过</w:t>
      </w:r>
      <w:r>
        <w:rPr>
          <w:rFonts w:ascii="Times New Roman" w:hAnsi="Times New Roman" w:eastAsia="方正仿宋_GBK" w:cs="Times New Roman"/>
          <w:sz w:val="32"/>
          <w:szCs w:val="32"/>
        </w:rPr>
        <w:t>400</w:t>
      </w:r>
      <w:r>
        <w:rPr>
          <w:rFonts w:hint="eastAsia" w:ascii="Times New Roman" w:hAnsi="Times New Roman" w:eastAsia="方正仿宋_GBK" w:cs="Times New Roman"/>
          <w:sz w:val="32"/>
          <w:szCs w:val="32"/>
        </w:rPr>
        <w:t>m</w:t>
      </w:r>
      <w:r>
        <w:rPr>
          <w:rFonts w:ascii="Times New Roman" w:hAnsi="Times New Roman" w:eastAsia="方正仿宋_GBK" w:cs="Times New Roman"/>
          <w:sz w:val="32"/>
          <w:szCs w:val="32"/>
          <w:vertAlign w:val="superscript"/>
        </w:rPr>
        <w:t>2</w:t>
      </w:r>
      <w:r>
        <w:rPr>
          <w:rFonts w:hint="eastAsia" w:ascii="Times New Roman" w:hAnsi="Times New Roman" w:eastAsia="方正仿宋_GBK" w:cs="Times New Roman"/>
          <w:sz w:val="32"/>
          <w:szCs w:val="32"/>
        </w:rPr>
        <w:t>，每个工作单元中均匀分布采集</w:t>
      </w:r>
      <w:r>
        <w:rPr>
          <w:rFonts w:ascii="Times New Roman" w:hAnsi="Times New Roman" w:eastAsia="方正仿宋_GBK" w:cs="Times New Roman"/>
          <w:sz w:val="32"/>
          <w:szCs w:val="32"/>
        </w:rPr>
        <w:t>9个表层土壤样品制成混合样（测定挥发性有机物项目除外）。</w:t>
      </w:r>
    </w:p>
    <w:p>
      <w:pPr>
        <w:adjustRightInd w:val="0"/>
        <w:snapToGrid w:val="0"/>
        <w:spacing w:line="600" w:lineRule="exact"/>
        <w:ind w:firstLine="640" w:firstLineChars="200"/>
        <w:rPr>
          <w:rFonts w:ascii="Times New Roman" w:hAnsi="Times New Roman" w:cs="Times New Roman"/>
        </w:rPr>
      </w:pPr>
      <w:r>
        <w:rPr>
          <w:rFonts w:hint="eastAsia" w:ascii="Times New Roman" w:hAnsi="Times New Roman" w:eastAsia="方正仿宋_GBK" w:cs="Times New Roman"/>
          <w:sz w:val="32"/>
          <w:szCs w:val="32"/>
        </w:rPr>
        <w:t>基坑坑底和坑壁以采集去除杂质后的土壤表层样为主，存在六价铬、石油烃、氯代烃、苯系物污染的区域，需采集深层样。</w:t>
      </w:r>
    </w:p>
    <w:p>
      <w:pPr>
        <w:adjustRightInd w:val="0"/>
        <w:snapToGrid w:val="0"/>
        <w:spacing w:line="600" w:lineRule="exact"/>
        <w:ind w:firstLine="640" w:firstLineChars="200"/>
        <w:rPr>
          <w:rFonts w:ascii="Times New Roman" w:hAnsi="Times New Roman" w:eastAsia="方正仿宋_GBK" w:cs="Times New Roman"/>
        </w:rPr>
      </w:pPr>
      <w:r>
        <w:rPr>
          <w:rFonts w:hint="eastAsia" w:ascii="Times New Roman" w:hAnsi="Times New Roman" w:eastAsia="方正仿宋_GBK" w:cs="Times New Roman"/>
          <w:sz w:val="32"/>
          <w:szCs w:val="32"/>
        </w:rPr>
        <w:t>若基坑内存在“坑中坑”的，“坑中坑”侧壁和底部的采样同上述要求（坑中坑深度之和小于</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m的，可视为同一平面）。</w:t>
      </w:r>
    </w:p>
    <w:p>
      <w:pPr>
        <w:numPr>
          <w:ilvl w:val="0"/>
          <w:numId w:val="8"/>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检测指标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一般为修复方案中对应基坑内的土壤中的所有目标污染物。</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3）评估标准值</w:t>
      </w:r>
    </w:p>
    <w:p>
      <w:pPr>
        <w:pStyle w:val="4"/>
        <w:numPr>
          <w:ilvl w:val="255"/>
          <w:numId w:val="0"/>
        </w:numPr>
        <w:adjustRightInd w:val="0"/>
        <w:snapToGrid w:val="0"/>
        <w:spacing w:before="0" w:after="0" w:line="600" w:lineRule="exact"/>
        <w:ind w:firstLine="640"/>
        <w:rPr>
          <w:rFonts w:ascii="Times New Roman" w:hAnsi="Times New Roman" w:eastAsia="方正仿宋_GBK" w:cs="Times New Roman"/>
          <w:b w:val="0"/>
          <w:bCs w:val="0"/>
          <w:sz w:val="32"/>
        </w:rPr>
      </w:pPr>
      <w:r>
        <w:rPr>
          <w:rFonts w:hint="eastAsia" w:ascii="Times New Roman" w:hAnsi="Times New Roman" w:eastAsia="方正仿宋_GBK" w:cs="Times New Roman"/>
          <w:b w:val="0"/>
          <w:bCs w:val="0"/>
          <w:sz w:val="32"/>
        </w:rPr>
        <w:t>修复方案中确定的修复目标值。</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3.污染土壤治理修复的监测</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1）点位布设</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Ⅰ</w:t>
      </w:r>
      <w:r>
        <w:rPr>
          <w:rFonts w:ascii="Times New Roman" w:hAnsi="Times New Roman" w:eastAsia="方正仿宋_GBK" w:cs="Times New Roman"/>
          <w:sz w:val="32"/>
          <w:szCs w:val="32"/>
        </w:rPr>
        <w:t>.异位修复土壤</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原则上每个采样单元不超过</w:t>
      </w:r>
      <w:r>
        <w:rPr>
          <w:rFonts w:ascii="Times New Roman" w:hAnsi="Times New Roman" w:eastAsia="方正仿宋_GBK" w:cs="Times New Roman"/>
          <w:sz w:val="32"/>
          <w:szCs w:val="32"/>
        </w:rPr>
        <w:t>500</w:t>
      </w:r>
      <w:r>
        <w:rPr>
          <w:rFonts w:hint="eastAsia" w:ascii="Times New Roman" w:hAnsi="Times New Roman" w:eastAsia="方正仿宋_GBK" w:cs="Times New Roman"/>
          <w:sz w:val="32"/>
          <w:szCs w:val="32"/>
        </w:rPr>
        <w:t>m</w:t>
      </w:r>
      <w:r>
        <w:rPr>
          <w:rFonts w:ascii="Times New Roman" w:hAnsi="Times New Roman" w:eastAsia="方正仿宋_GBK" w:cs="Times New Roman"/>
          <w:sz w:val="32"/>
          <w:szCs w:val="32"/>
          <w:vertAlign w:val="superscript"/>
        </w:rPr>
        <w:t>3</w:t>
      </w:r>
      <w:r>
        <w:rPr>
          <w:rFonts w:hint="eastAsia" w:ascii="Times New Roman" w:hAnsi="Times New Roman" w:eastAsia="方正仿宋_GBK" w:cs="Times New Roman"/>
          <w:sz w:val="32"/>
          <w:szCs w:val="32"/>
        </w:rPr>
        <w:t>，堆体高度应便于采样工作开展。对于按批次处理的修复技术，在满足前述要求的同时，每批次至少采集</w:t>
      </w:r>
      <w:r>
        <w:rPr>
          <w:rFonts w:ascii="Times New Roman" w:hAnsi="Times New Roman" w:eastAsia="方正仿宋_GBK" w:cs="Times New Roman"/>
          <w:sz w:val="32"/>
          <w:szCs w:val="32"/>
        </w:rPr>
        <w:t>1个样品；对于按堆体模式处理的修复技术，若在堆体拆除前采样，在满足前述要求的同时，应结合堆体大小设置采样点，采样点数量按照HJ25.5中表3执行。一般采用系统布点法设置采样点；考虑修复效果空间差异（如堆体内部设置管线），应在修复效果薄弱区域增设采样点。每个采样单元采集的样品应为混合样（测定挥发性有机物项目除外）。</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szCs w:val="32"/>
        </w:rPr>
        <w:t>Ⅱ</w:t>
      </w:r>
      <w:r>
        <w:rPr>
          <w:rFonts w:ascii="Times New Roman" w:hAnsi="Times New Roman" w:eastAsia="方正仿宋_GBK" w:cs="Times New Roman"/>
          <w:sz w:val="32"/>
          <w:szCs w:val="32"/>
        </w:rPr>
        <w:t>.</w:t>
      </w:r>
      <w:r>
        <w:rPr>
          <w:rFonts w:hint="eastAsia" w:ascii="Times New Roman" w:hAnsi="Times New Roman" w:eastAsia="方正仿宋_GBK" w:cs="Times New Roman"/>
          <w:sz w:val="32"/>
        </w:rPr>
        <w:t>原位修复土壤</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水平方向上采用系统布点法，采样数量参照HJ </w:t>
      </w:r>
      <w:r>
        <w:rPr>
          <w:rFonts w:ascii="Times New Roman" w:hAnsi="Times New Roman" w:eastAsia="方正仿宋_GBK" w:cs="Times New Roman"/>
          <w:sz w:val="32"/>
          <w:szCs w:val="32"/>
        </w:rPr>
        <w:t>25.5表1执行。垂直方向上采样深度应不小于调查评估确定的污染深度以及修复方案中确定修复可能造成污染物迁移的深度。根据土层性质设置采样点，原则上垂向采样点之间距离不大于3</w:t>
      </w:r>
      <w:r>
        <w:rPr>
          <w:rFonts w:hint="eastAsia" w:ascii="Times New Roman" w:hAnsi="Times New Roman" w:eastAsia="方正仿宋_GBK" w:cs="Times New Roman"/>
          <w:sz w:val="32"/>
          <w:szCs w:val="32"/>
        </w:rPr>
        <w:t>m。在高浓度污染物聚集区、修复效果薄弱区、修复范围边界处等位置增设采样点。</w:t>
      </w:r>
    </w:p>
    <w:p>
      <w:pPr>
        <w:numPr>
          <w:ilvl w:val="0"/>
          <w:numId w:val="9"/>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检测指标</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Ⅰ</w:t>
      </w:r>
      <w:r>
        <w:rPr>
          <w:rFonts w:ascii="Times New Roman" w:hAnsi="Times New Roman" w:eastAsia="方正仿宋_GBK" w:cs="Times New Roman"/>
          <w:sz w:val="32"/>
          <w:szCs w:val="32"/>
        </w:rPr>
        <w:t>.异位修复土壤</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污染物类别不同的污染土壤单独修复、堆放的，检测指标为修复方案中对应修复范围内的污染物种类；修复或堆放过程中可能混合的，检测指标为涉及区域的所有污染物种类。</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土壤外运的，监测项目为“土壤外运”章节确定的污染物种类。</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szCs w:val="32"/>
        </w:rPr>
        <w:t>Ⅱ</w:t>
      </w:r>
      <w:r>
        <w:rPr>
          <w:rFonts w:ascii="Times New Roman" w:hAnsi="Times New Roman" w:eastAsia="方正仿宋_GBK" w:cs="Times New Roman"/>
          <w:sz w:val="32"/>
          <w:szCs w:val="32"/>
        </w:rPr>
        <w:t>.</w:t>
      </w:r>
      <w:r>
        <w:rPr>
          <w:rFonts w:hint="eastAsia" w:ascii="Times New Roman" w:hAnsi="Times New Roman" w:eastAsia="方正仿宋_GBK" w:cs="Times New Roman"/>
          <w:sz w:val="32"/>
        </w:rPr>
        <w:t>原位修复土壤</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修复方案中对应区域的目标污染物。</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异位或原位修复，采用化学氧化</w:t>
      </w:r>
      <w:r>
        <w:rPr>
          <w:rFonts w:ascii="Times New Roman" w:hAnsi="Times New Roman" w:eastAsia="方正仿宋_GBK" w:cs="Times New Roman"/>
          <w:sz w:val="32"/>
          <w:szCs w:val="32"/>
        </w:rPr>
        <w:t>/还原修复、微生物修复后土壤的检测指标应包括可行性评价中的二次污染物。</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3）评估标准值</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Ⅰ</w:t>
      </w:r>
      <w:r>
        <w:rPr>
          <w:rFonts w:ascii="Times New Roman" w:hAnsi="Times New Roman" w:eastAsia="方正仿宋_GBK" w:cs="Times New Roman"/>
          <w:sz w:val="32"/>
          <w:szCs w:val="32"/>
        </w:rPr>
        <w:t>.异位修复土壤</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一般</w:t>
      </w:r>
      <w:r>
        <w:rPr>
          <w:rFonts w:hint="eastAsia" w:ascii="Times New Roman" w:hAnsi="Times New Roman" w:eastAsia="方正仿宋_GBK" w:cs="Times New Roman"/>
          <w:sz w:val="32"/>
          <w:szCs w:val="32"/>
        </w:rPr>
        <w:t>为修复方案中确定的修复目标值。土壤外运的，监测项目为“土壤外运”章节确定的污染物</w:t>
      </w:r>
      <w:r>
        <w:rPr>
          <w:rFonts w:ascii="Times New Roman" w:hAnsi="Times New Roman" w:eastAsia="方正仿宋_GBK" w:cs="Times New Roman"/>
          <w:sz w:val="32"/>
          <w:szCs w:val="32"/>
        </w:rPr>
        <w:t>修复目标</w:t>
      </w:r>
      <w:r>
        <w:rPr>
          <w:rFonts w:hint="eastAsia" w:ascii="Times New Roman" w:hAnsi="Times New Roman" w:eastAsia="方正仿宋_GBK" w:cs="Times New Roman"/>
          <w:sz w:val="32"/>
          <w:szCs w:val="32"/>
        </w:rPr>
        <w:t>值。</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Ⅱ</w:t>
      </w:r>
      <w:r>
        <w:rPr>
          <w:rFonts w:ascii="Times New Roman" w:hAnsi="Times New Roman" w:eastAsia="方正仿宋_GBK" w:cs="Times New Roman"/>
          <w:sz w:val="32"/>
          <w:szCs w:val="32"/>
        </w:rPr>
        <w:t>.原位修复土壤</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一般为修复方案中确定的修复目标值。</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异位或原位修复土壤中，二次污染物的评估标准值可参照</w:t>
      </w:r>
      <w:r>
        <w:rPr>
          <w:rFonts w:ascii="Times New Roman" w:hAnsi="Times New Roman" w:eastAsia="方正仿宋_GBK" w:cs="Times New Roman"/>
          <w:sz w:val="32"/>
          <w:szCs w:val="32"/>
        </w:rPr>
        <w:t>GB36600中一类用地筛选值执行，或根据暴露情景进行风险评估确定其评估标准值。</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开挖清洁土的监测参照上述异位修复土壤方法开展。</w:t>
      </w:r>
    </w:p>
    <w:p>
      <w:pPr>
        <w:numPr>
          <w:ilvl w:val="0"/>
          <w:numId w:val="1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大粒径石块的监测</w:t>
      </w:r>
    </w:p>
    <w:p>
      <w:pPr>
        <w:numPr>
          <w:ilvl w:val="0"/>
          <w:numId w:val="11"/>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点位布设</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大粒径石块原则上每个采样单元不超过</w:t>
      </w:r>
      <w:r>
        <w:rPr>
          <w:rFonts w:ascii="Times New Roman" w:hAnsi="Times New Roman" w:eastAsia="方正仿宋_GBK" w:cs="Times New Roman"/>
          <w:sz w:val="32"/>
          <w:szCs w:val="32"/>
        </w:rPr>
        <w:t>500</w:t>
      </w:r>
      <w:r>
        <w:rPr>
          <w:rFonts w:hint="eastAsia" w:ascii="Times New Roman" w:hAnsi="Times New Roman" w:eastAsia="方正仿宋_GBK" w:cs="Times New Roman"/>
          <w:sz w:val="32"/>
          <w:szCs w:val="32"/>
        </w:rPr>
        <w:t>m</w:t>
      </w:r>
      <w:r>
        <w:rPr>
          <w:rFonts w:ascii="Times New Roman" w:hAnsi="Times New Roman" w:eastAsia="方正仿宋_GBK" w:cs="Times New Roman"/>
          <w:sz w:val="32"/>
          <w:szCs w:val="32"/>
          <w:vertAlign w:val="superscript"/>
        </w:rPr>
        <w:t>3</w:t>
      </w:r>
      <w:r>
        <w:rPr>
          <w:rFonts w:hint="eastAsia" w:ascii="Times New Roman" w:hAnsi="Times New Roman" w:eastAsia="方正仿宋_GBK" w:cs="Times New Roman"/>
          <w:sz w:val="32"/>
          <w:szCs w:val="32"/>
        </w:rPr>
        <w:t>，堆体高度应便于采样工作开展。一般采用系统布点法设置采样点，每个采样单元采集</w:t>
      </w:r>
      <w:r>
        <w:rPr>
          <w:rFonts w:ascii="Times New Roman" w:hAnsi="Times New Roman" w:eastAsia="方正仿宋_GBK" w:cs="Times New Roman"/>
          <w:sz w:val="32"/>
          <w:szCs w:val="32"/>
        </w:rPr>
        <w:t>1个混合样（测定挥发性有机物项目除外）。</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2）检测指标</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污染物类别不同的区域筛分后的大粒径石块单独堆放、清洗的，检测指标为修复方案中对应修复范围内的污染物；堆放、清洗过程可能混合的，监测项目为涉及修复区域的所有目标污染物。</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3）评估标准值</w:t>
      </w:r>
    </w:p>
    <w:p>
      <w:pPr>
        <w:numPr>
          <w:ilvl w:val="255"/>
          <w:numId w:val="0"/>
        </w:numPr>
        <w:ind w:firstLine="640" w:firstLineChars="200"/>
        <w:rPr>
          <w:rFonts w:ascii="Times New Roman" w:hAnsi="Times New Roman" w:cs="Times New Roman"/>
        </w:rPr>
      </w:pPr>
      <w:r>
        <w:rPr>
          <w:rFonts w:hint="eastAsia" w:ascii="Times New Roman" w:hAnsi="Times New Roman" w:eastAsia="方正仿宋_GBK" w:cs="Times New Roman"/>
          <w:sz w:val="32"/>
          <w:szCs w:val="32"/>
        </w:rPr>
        <w:t>清洗后大粒径石块需开展污染物含量测试和浸出测试。含量测试的评价标准值为修复方案中确定的修复目标值。浸出测试的评价标准值为按照</w:t>
      </w:r>
      <w:r>
        <w:rPr>
          <w:rFonts w:ascii="Times New Roman" w:hAnsi="Times New Roman" w:eastAsia="方正仿宋_GBK" w:cs="Times New Roman"/>
          <w:sz w:val="32"/>
          <w:szCs w:val="32"/>
        </w:rPr>
        <w:t>HJ557规定方法获得的浸出液中有一种或一种以上的特征污染物浓度是否超过《污水综合排放标准》（GB8978）最高允许排放浓度（第二类污染物最高允许排放浓度按一级标准执行），或者是pH值是否在6~9范围之外的。含量测试和浸出测试任意一种超过相关标准，该部分大粒径石块按第Ⅱ类工业固体废物要求处置。</w:t>
      </w:r>
    </w:p>
    <w:p>
      <w:pPr>
        <w:numPr>
          <w:ilvl w:val="255"/>
          <w:numId w:val="0"/>
        </w:num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rPr>
        <w:t>5</w:t>
      </w:r>
      <w:r>
        <w:rPr>
          <w:rFonts w:ascii="Times New Roman" w:hAnsi="Times New Roman" w:eastAsia="方正仿宋_GBK" w:cs="Times New Roman"/>
          <w:sz w:val="32"/>
          <w:szCs w:val="32"/>
        </w:rPr>
        <w:t>.二次污染区域的监测</w:t>
      </w:r>
    </w:p>
    <w:p>
      <w:pPr>
        <w:numPr>
          <w:ilvl w:val="0"/>
          <w:numId w:val="12"/>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点位布设</w:t>
      </w:r>
    </w:p>
    <w:p>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土壤污染二次污染区域包括：污染土壤暂存区、修复设施所在区、固体废物或危险废物堆存区、运输车辆临时道路、土壤或地下水待检区、废水暂存处理区、修复过程中污染物迁移涉及的区域、其他可能的二次污染区域。</w:t>
      </w:r>
    </w:p>
    <w:p>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二次污染区采用系统布点法，采样点数量参照</w:t>
      </w:r>
      <w:r>
        <w:rPr>
          <w:rFonts w:ascii="Times New Roman" w:hAnsi="Times New Roman" w:eastAsia="方正仿宋_GBK" w:cs="Times New Roman"/>
          <w:sz w:val="32"/>
          <w:szCs w:val="32"/>
        </w:rPr>
        <w:t>HJ25.5表1执行。采集去除杂质后的土壤表层样为主，存在六价铬、石油烃、氯代烃、苯系物污染的区域，需采集深层样。深层样品数量不少于样品总数的10%，至少1个。深层样品采样深度为不低于1米，深层样品为单点样品。</w:t>
      </w:r>
    </w:p>
    <w:p>
      <w:pPr>
        <w:numPr>
          <w:ilvl w:val="255"/>
          <w:numId w:val="0"/>
        </w:numPr>
        <w:adjustRightInd w:val="0"/>
        <w:snapToGrid w:val="0"/>
        <w:spacing w:line="60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2）检测指标</w:t>
      </w:r>
    </w:p>
    <w:p>
      <w:pPr>
        <w:numPr>
          <w:ilvl w:val="255"/>
          <w:numId w:val="0"/>
        </w:num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修复方案中所有的目标污染物。化学氧化</w:t>
      </w:r>
      <w:r>
        <w:rPr>
          <w:rFonts w:ascii="Times New Roman" w:hAnsi="Times New Roman" w:eastAsia="方正仿宋_GBK" w:cs="Times New Roman"/>
          <w:sz w:val="32"/>
          <w:szCs w:val="32"/>
        </w:rPr>
        <w:t>/还原修复、微生物修复后土壤的检测指标应包括可行性评价中的二次污染物。</w:t>
      </w:r>
    </w:p>
    <w:p>
      <w:pPr>
        <w:numPr>
          <w:ilvl w:val="0"/>
          <w:numId w:val="13"/>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评估标准值</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修复方案中确定的修复目标值。</w:t>
      </w:r>
      <w:r>
        <w:rPr>
          <w:rFonts w:hint="eastAsia" w:ascii="Times New Roman" w:hAnsi="Times New Roman" w:eastAsia="方正仿宋_GBK" w:cs="Times New Roman"/>
          <w:sz w:val="32"/>
          <w:szCs w:val="32"/>
        </w:rPr>
        <w:t>二次污染物的评估标准值可参照</w:t>
      </w:r>
      <w:r>
        <w:rPr>
          <w:rFonts w:ascii="Times New Roman" w:hAnsi="Times New Roman" w:eastAsia="方正仿宋_GBK" w:cs="Times New Roman"/>
          <w:sz w:val="32"/>
          <w:szCs w:val="32"/>
        </w:rPr>
        <w:t>GB36600中一类用地筛选值执行，或根据暴露情景进行风险评估确定其评估标准值。</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rPr>
      </w:pPr>
      <w:r>
        <w:rPr>
          <w:rFonts w:ascii="Times New Roman" w:hAnsi="Times New Roman" w:eastAsia="方正仿宋_GBK" w:cs="Times New Roman"/>
          <w:sz w:val="32"/>
        </w:rPr>
        <w:t>7.地下水的监测</w:t>
      </w:r>
    </w:p>
    <w:p>
      <w:pPr>
        <w:pStyle w:val="4"/>
        <w:adjustRightInd w:val="0"/>
        <w:snapToGrid w:val="0"/>
        <w:spacing w:before="0" w:after="0" w:line="600" w:lineRule="exact"/>
        <w:ind w:firstLine="640" w:firstLineChars="200"/>
        <w:rPr>
          <w:rFonts w:ascii="Times New Roman" w:hAnsi="Times New Roman" w:eastAsia="方正仿宋_GBK" w:cs="Times New Roman"/>
          <w:b w:val="0"/>
          <w:bCs w:val="0"/>
          <w:sz w:val="32"/>
          <w:szCs w:val="22"/>
        </w:rPr>
      </w:pPr>
      <w:r>
        <w:rPr>
          <w:rFonts w:hint="eastAsia" w:ascii="Times New Roman" w:hAnsi="Times New Roman" w:eastAsia="方正仿宋_GBK" w:cs="Times New Roman"/>
          <w:b w:val="0"/>
          <w:bCs w:val="0"/>
          <w:sz w:val="32"/>
          <w:szCs w:val="22"/>
        </w:rPr>
        <w:t>（</w:t>
      </w:r>
      <w:r>
        <w:rPr>
          <w:rFonts w:ascii="Times New Roman" w:hAnsi="Times New Roman" w:eastAsia="方正仿宋_GBK" w:cs="Times New Roman"/>
          <w:b w:val="0"/>
          <w:bCs w:val="0"/>
          <w:sz w:val="32"/>
          <w:szCs w:val="22"/>
        </w:rPr>
        <w:t>1</w:t>
      </w:r>
      <w:r>
        <w:rPr>
          <w:rFonts w:hint="eastAsia" w:ascii="Times New Roman" w:hAnsi="Times New Roman" w:eastAsia="方正仿宋_GBK" w:cs="Times New Roman"/>
          <w:b w:val="0"/>
          <w:bCs w:val="0"/>
          <w:sz w:val="32"/>
          <w:szCs w:val="22"/>
        </w:rPr>
        <w:t>）点位布设</w:t>
      </w:r>
    </w:p>
    <w:p>
      <w:pPr>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对照井至少设置</w:t>
      </w:r>
      <w:r>
        <w:rPr>
          <w:rFonts w:ascii="Times New Roman" w:hAnsi="Times New Roman" w:eastAsia="方正仿宋_GBK" w:cs="Times New Roman"/>
          <w:sz w:val="32"/>
        </w:rPr>
        <w:t>1个，设置在污染羽地下水流向上游；内部监测井</w:t>
      </w:r>
      <w:r>
        <w:rPr>
          <w:rFonts w:hint="eastAsia" w:ascii="Times New Roman" w:hAnsi="Times New Roman" w:eastAsia="方正仿宋_GBK" w:cs="Times New Roman"/>
          <w:sz w:val="32"/>
        </w:rPr>
        <w:t>至少设置</w:t>
      </w:r>
      <w:r>
        <w:rPr>
          <w:rFonts w:ascii="Times New Roman" w:hAnsi="Times New Roman" w:eastAsia="方正仿宋_GBK" w:cs="Times New Roman"/>
          <w:sz w:val="32"/>
        </w:rPr>
        <w:t>3-4个，设置在污染羽内部，按三角形或四边形布设；控制井至少设置4个，布设在地下水污染羽边界位置，污染羽上游、下游以及垂直于地下水径流方向的污染羽两侧边界位置。内部监测井设置网格不宜大于80</w:t>
      </w:r>
      <w:r>
        <w:rPr>
          <w:rFonts w:hint="eastAsia" w:ascii="Times New Roman" w:hAnsi="Times New Roman" w:eastAsia="方正仿宋_GBK" w:cs="Times New Roman"/>
          <w:sz w:val="32"/>
        </w:rPr>
        <w:t>m</w:t>
      </w:r>
      <w:r>
        <w:rPr>
          <w:rFonts w:ascii="Times New Roman" w:hAnsi="Times New Roman" w:eastAsia="方正仿宋_GBK" w:cs="Times New Roman"/>
          <w:sz w:val="32"/>
        </w:rPr>
        <w:t>×80</w:t>
      </w:r>
      <w:r>
        <w:rPr>
          <w:rFonts w:hint="eastAsia" w:ascii="Times New Roman" w:hAnsi="Times New Roman" w:eastAsia="方正仿宋_GBK" w:cs="Times New Roman"/>
          <w:sz w:val="32"/>
        </w:rPr>
        <w:t>m，存在非水溶性有机物或污染物浓度高的区域，监测井设置网格不宜大于</w:t>
      </w:r>
      <w:r>
        <w:rPr>
          <w:rFonts w:ascii="Times New Roman" w:hAnsi="Times New Roman" w:eastAsia="方正仿宋_GBK" w:cs="Times New Roman"/>
          <w:sz w:val="32"/>
        </w:rPr>
        <w:t>40</w:t>
      </w:r>
      <w:r>
        <w:rPr>
          <w:rFonts w:hint="eastAsia" w:ascii="Times New Roman" w:hAnsi="Times New Roman" w:eastAsia="方正仿宋_GBK" w:cs="Times New Roman"/>
          <w:sz w:val="32"/>
        </w:rPr>
        <w:t>m</w:t>
      </w:r>
      <w:r>
        <w:rPr>
          <w:rFonts w:ascii="Times New Roman" w:hAnsi="Times New Roman" w:eastAsia="方正仿宋_GBK" w:cs="Times New Roman"/>
          <w:sz w:val="32"/>
        </w:rPr>
        <w:t>×40</w:t>
      </w:r>
      <w:r>
        <w:rPr>
          <w:rFonts w:hint="eastAsia" w:ascii="Times New Roman" w:hAnsi="Times New Roman" w:eastAsia="方正仿宋_GBK" w:cs="Times New Roman"/>
          <w:sz w:val="32"/>
        </w:rPr>
        <w:t>m。</w:t>
      </w:r>
    </w:p>
    <w:p>
      <w:pPr>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含水层厚度大于</w:t>
      </w:r>
      <w:r>
        <w:rPr>
          <w:rFonts w:ascii="Times New Roman" w:hAnsi="Times New Roman" w:eastAsia="方正仿宋_GBK" w:cs="Times New Roman"/>
          <w:sz w:val="32"/>
        </w:rPr>
        <w:t>6</w:t>
      </w:r>
      <w:r>
        <w:rPr>
          <w:rFonts w:hint="eastAsia" w:ascii="Times New Roman" w:hAnsi="Times New Roman" w:eastAsia="方正仿宋_GBK" w:cs="Times New Roman"/>
          <w:sz w:val="32"/>
        </w:rPr>
        <w:t>m时，原则上应分层采样。对于低密度非水溶性有机物污染，监测点应设置在含水层顶部；对于高密度非水溶性有机物污染，监测点应设置在含水层地和隔水层顶部。不同含水层设置监测井时应分层止水。</w:t>
      </w:r>
    </w:p>
    <w:p>
      <w:pPr>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w:t>
      </w:r>
      <w:r>
        <w:rPr>
          <w:rFonts w:ascii="Times New Roman" w:hAnsi="Times New Roman" w:eastAsia="方正仿宋_GBK" w:cs="Times New Roman"/>
          <w:sz w:val="32"/>
        </w:rPr>
        <w:t>2</w:t>
      </w:r>
      <w:r>
        <w:rPr>
          <w:rFonts w:hint="eastAsia" w:ascii="Times New Roman" w:hAnsi="Times New Roman" w:eastAsia="方正仿宋_GBK" w:cs="Times New Roman"/>
          <w:sz w:val="32"/>
        </w:rPr>
        <w:t>）检测指标</w:t>
      </w:r>
    </w:p>
    <w:p>
      <w:pPr>
        <w:numPr>
          <w:ilvl w:val="255"/>
          <w:numId w:val="0"/>
        </w:num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工程运行期间需对地下水水位、水质（目标污染物浓度）、注入药剂特征指标（药剂浓度以及因药剂注入导致地下水水质变化的参数，如</w:t>
      </w:r>
      <w:r>
        <w:rPr>
          <w:rFonts w:ascii="Times New Roman" w:hAnsi="Times New Roman" w:eastAsia="方正仿宋_GBK" w:cs="Times New Roman"/>
          <w:sz w:val="32"/>
          <w:szCs w:val="32"/>
        </w:rPr>
        <w:t>pH、温度、电导率、总硬度、氧化还原电位、溶解氧等）、工程性能指标（如阻隔技术通过监测墙体地下水流向上游及下游地下水水位、目标污染物浓度等判断工程控制运行状况）、二次污染物（可行性评价中的施工和运行过程中在地下水、土壤、地表水、环境空气中产生的二次污染物）等进行监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）检测频次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工程运行初期（目标污染物呈剧烈变化或波动情形）原则上每半个月</w:t>
      </w:r>
      <w:r>
        <w:rPr>
          <w:rFonts w:ascii="Times New Roman" w:hAnsi="Times New Roman" w:eastAsia="方正仿宋_GBK" w:cs="Times New Roman"/>
          <w:sz w:val="32"/>
          <w:szCs w:val="32"/>
        </w:rPr>
        <w:t>1次；运行稳定期（目标污染物持续下降）原则上每月1次；运行后期（目标污染物持续达到或低于修复目标值，或达修复极限）原则上每季度1次。出现修复效果低于预期、局部修复和风险管控失效、污染扩散等情况时，应适当提高检测频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）评估标准值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修复后地下水的评估标准值为地块修复方案中的修复目标值。</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化学氧化</w:t>
      </w:r>
      <w:r>
        <w:rPr>
          <w:rFonts w:ascii="Times New Roman" w:hAnsi="Times New Roman" w:eastAsia="方正仿宋_GBK" w:cs="Times New Roman"/>
          <w:sz w:val="32"/>
          <w:szCs w:val="32"/>
        </w:rPr>
        <w:t>/还原、微生物修复产生的二次污染的评估标准值，可参照GB/T 14848中地下水使用功能对应标准值执行，或根据暴露情景进行风险评估确定，风险评估可参照HJ 25.3执行。</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（九）估算修复周期</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根据地块修复工程量、修复处理工期，以及地块平整、设备安装调试、修复效果评估等进行修复周期的估算。</w:t>
      </w:r>
    </w:p>
    <w:p>
      <w:pPr>
        <w:adjustRightInd w:val="0"/>
        <w:snapToGrid w:val="0"/>
        <w:spacing w:line="600" w:lineRule="exact"/>
        <w:ind w:firstLine="640" w:firstLineChars="200"/>
        <w:rPr>
          <w:rFonts w:ascii="Times New Roman" w:hAnsi="Times New Roman" w:eastAsia="方正楷体_GBK" w:cs="Times New Roman"/>
          <w:sz w:val="32"/>
          <w:szCs w:val="32"/>
        </w:rPr>
      </w:pPr>
      <w:r>
        <w:rPr>
          <w:rFonts w:hint="eastAsia" w:ascii="Times New Roman" w:hAnsi="Times New Roman" w:eastAsia="方正楷体_GBK" w:cs="Times New Roman"/>
          <w:sz w:val="32"/>
          <w:szCs w:val="32"/>
        </w:rPr>
        <w:t>（十）突发环境事故应急预案</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包括环境突发事故识别、需要采取的预防措施、突发事故时的应急措施、应急装备、环境安全防护培训等；应急机构的设立、职责、人员、技术、装备、设施（备）、物资、救援行动及其指挥与协调等方面。</w:t>
      </w:r>
    </w:p>
    <w:p>
      <w:pPr>
        <w:adjustRightInd w:val="0"/>
        <w:snapToGrid w:val="0"/>
        <w:spacing w:line="600" w:lineRule="exact"/>
        <w:rPr>
          <w:rFonts w:ascii="Times New Roman" w:hAnsi="Times New Roman" w:cs="Times New Roman"/>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360C0"/>
    <w:multiLevelType w:val="singleLevel"/>
    <w:tmpl w:val="621360C0"/>
    <w:lvl w:ilvl="0" w:tentative="0">
      <w:start w:val="3"/>
      <w:numFmt w:val="chineseCounting"/>
      <w:suff w:val="nothing"/>
      <w:lvlText w:val="（%1）"/>
      <w:lvlJc w:val="left"/>
    </w:lvl>
  </w:abstractNum>
  <w:abstractNum w:abstractNumId="1">
    <w:nsid w:val="62209BE1"/>
    <w:multiLevelType w:val="singleLevel"/>
    <w:tmpl w:val="62209BE1"/>
    <w:lvl w:ilvl="0" w:tentative="0">
      <w:start w:val="5"/>
      <w:numFmt w:val="chineseCounting"/>
      <w:suff w:val="nothing"/>
      <w:lvlText w:val="（%1）"/>
      <w:lvlJc w:val="left"/>
    </w:lvl>
  </w:abstractNum>
  <w:abstractNum w:abstractNumId="2">
    <w:nsid w:val="624E5F33"/>
    <w:multiLevelType w:val="singleLevel"/>
    <w:tmpl w:val="624E5F33"/>
    <w:lvl w:ilvl="0" w:tentative="0">
      <w:start w:val="6"/>
      <w:numFmt w:val="decimal"/>
      <w:suff w:val="nothing"/>
      <w:lvlText w:val="%1."/>
      <w:lvlJc w:val="left"/>
    </w:lvl>
  </w:abstractNum>
  <w:abstractNum w:abstractNumId="3">
    <w:nsid w:val="626508B7"/>
    <w:multiLevelType w:val="singleLevel"/>
    <w:tmpl w:val="626508B7"/>
    <w:lvl w:ilvl="0" w:tentative="0">
      <w:start w:val="3"/>
      <w:numFmt w:val="decimal"/>
      <w:suff w:val="nothing"/>
      <w:lvlText w:val="（%1）"/>
      <w:lvlJc w:val="left"/>
    </w:lvl>
  </w:abstractNum>
  <w:abstractNum w:abstractNumId="4">
    <w:nsid w:val="62650CE5"/>
    <w:multiLevelType w:val="singleLevel"/>
    <w:tmpl w:val="62650CE5"/>
    <w:lvl w:ilvl="0" w:tentative="0">
      <w:start w:val="2"/>
      <w:numFmt w:val="decimal"/>
      <w:suff w:val="nothing"/>
      <w:lvlText w:val="（%1）"/>
      <w:lvlJc w:val="left"/>
    </w:lvl>
  </w:abstractNum>
  <w:abstractNum w:abstractNumId="5">
    <w:nsid w:val="6265168B"/>
    <w:multiLevelType w:val="singleLevel"/>
    <w:tmpl w:val="6265168B"/>
    <w:lvl w:ilvl="0" w:tentative="0">
      <w:start w:val="2"/>
      <w:numFmt w:val="decimal"/>
      <w:suff w:val="nothing"/>
      <w:lvlText w:val="（%1）"/>
      <w:lvlJc w:val="left"/>
    </w:lvl>
  </w:abstractNum>
  <w:abstractNum w:abstractNumId="6">
    <w:nsid w:val="626520C5"/>
    <w:multiLevelType w:val="singleLevel"/>
    <w:tmpl w:val="626520C5"/>
    <w:lvl w:ilvl="0" w:tentative="0">
      <w:start w:val="3"/>
      <w:numFmt w:val="decimal"/>
      <w:suff w:val="nothing"/>
      <w:lvlText w:val="（%1）"/>
      <w:lvlJc w:val="left"/>
    </w:lvl>
  </w:abstractNum>
  <w:abstractNum w:abstractNumId="7">
    <w:nsid w:val="626523FF"/>
    <w:multiLevelType w:val="singleLevel"/>
    <w:tmpl w:val="626523FF"/>
    <w:lvl w:ilvl="0" w:tentative="0">
      <w:start w:val="4"/>
      <w:numFmt w:val="decimal"/>
      <w:suff w:val="nothing"/>
      <w:lvlText w:val="%1."/>
      <w:lvlJc w:val="left"/>
    </w:lvl>
  </w:abstractNum>
  <w:abstractNum w:abstractNumId="8">
    <w:nsid w:val="6265241D"/>
    <w:multiLevelType w:val="singleLevel"/>
    <w:tmpl w:val="6265241D"/>
    <w:lvl w:ilvl="0" w:tentative="0">
      <w:start w:val="1"/>
      <w:numFmt w:val="decimal"/>
      <w:suff w:val="nothing"/>
      <w:lvlText w:val="（%1）"/>
      <w:lvlJc w:val="left"/>
    </w:lvl>
  </w:abstractNum>
  <w:abstractNum w:abstractNumId="9">
    <w:nsid w:val="626528CE"/>
    <w:multiLevelType w:val="singleLevel"/>
    <w:tmpl w:val="626528CE"/>
    <w:lvl w:ilvl="0" w:tentative="0">
      <w:start w:val="1"/>
      <w:numFmt w:val="decimal"/>
      <w:suff w:val="nothing"/>
      <w:lvlText w:val="（%1）"/>
      <w:lvlJc w:val="left"/>
    </w:lvl>
  </w:abstractNum>
  <w:abstractNum w:abstractNumId="10">
    <w:nsid w:val="628737CC"/>
    <w:multiLevelType w:val="singleLevel"/>
    <w:tmpl w:val="628737CC"/>
    <w:lvl w:ilvl="0" w:tentative="0">
      <w:start w:val="8"/>
      <w:numFmt w:val="chineseCounting"/>
      <w:suff w:val="nothing"/>
      <w:lvlText w:val="（%1）"/>
      <w:lvlJc w:val="left"/>
    </w:lvl>
  </w:abstractNum>
  <w:abstractNum w:abstractNumId="11">
    <w:nsid w:val="62874FF3"/>
    <w:multiLevelType w:val="singleLevel"/>
    <w:tmpl w:val="62874FF3"/>
    <w:lvl w:ilvl="0" w:tentative="0">
      <w:start w:val="2"/>
      <w:numFmt w:val="decimal"/>
      <w:suff w:val="nothing"/>
      <w:lvlText w:val="%1."/>
      <w:lvlJc w:val="left"/>
    </w:lvl>
  </w:abstractNum>
  <w:abstractNum w:abstractNumId="12">
    <w:nsid w:val="628750CD"/>
    <w:multiLevelType w:val="singleLevel"/>
    <w:tmpl w:val="628750CD"/>
    <w:lvl w:ilvl="0" w:tentative="0">
      <w:start w:val="2"/>
      <w:numFmt w:val="decimal"/>
      <w:suff w:val="nothing"/>
      <w:lvlText w:val="%1."/>
      <w:lvlJc w:val="left"/>
    </w:lvl>
  </w:abstractNum>
  <w:num w:numId="1">
    <w:abstractNumId w:val="0"/>
  </w:num>
  <w:num w:numId="2">
    <w:abstractNumId w:val="1"/>
  </w:num>
  <w:num w:numId="3">
    <w:abstractNumId w:val="12"/>
  </w:num>
  <w:num w:numId="4">
    <w:abstractNumId w:val="2"/>
  </w:num>
  <w:num w:numId="5">
    <w:abstractNumId w:val="11"/>
  </w:num>
  <w:num w:numId="6">
    <w:abstractNumId w:val="10"/>
  </w:num>
  <w:num w:numId="7">
    <w:abstractNumId w:val="3"/>
  </w:num>
  <w:num w:numId="8">
    <w:abstractNumId w:val="4"/>
  </w:num>
  <w:num w:numId="9">
    <w:abstractNumId w:val="5"/>
  </w:num>
  <w:num w:numId="10">
    <w:abstractNumId w:val="7"/>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RlMTBiNGYwODljNjRkN2YzMDRkMmYzMjExYWJlNjgifQ=="/>
  </w:docVars>
  <w:rsids>
    <w:rsidRoot w:val="00EB0E10"/>
    <w:rsid w:val="00003F39"/>
    <w:rsid w:val="0000745A"/>
    <w:rsid w:val="00011A56"/>
    <w:rsid w:val="00014F69"/>
    <w:rsid w:val="0002696E"/>
    <w:rsid w:val="0006195E"/>
    <w:rsid w:val="000668B0"/>
    <w:rsid w:val="00083897"/>
    <w:rsid w:val="0009138A"/>
    <w:rsid w:val="000A5311"/>
    <w:rsid w:val="000D0758"/>
    <w:rsid w:val="000D0C75"/>
    <w:rsid w:val="000D198D"/>
    <w:rsid w:val="000E55EA"/>
    <w:rsid w:val="001021D2"/>
    <w:rsid w:val="001137A5"/>
    <w:rsid w:val="00136012"/>
    <w:rsid w:val="001435BB"/>
    <w:rsid w:val="00143AA0"/>
    <w:rsid w:val="00143C59"/>
    <w:rsid w:val="00147CF7"/>
    <w:rsid w:val="001608A6"/>
    <w:rsid w:val="00162AE3"/>
    <w:rsid w:val="001B2B7C"/>
    <w:rsid w:val="001B3930"/>
    <w:rsid w:val="001B685D"/>
    <w:rsid w:val="001C2E66"/>
    <w:rsid w:val="001C3472"/>
    <w:rsid w:val="001E428F"/>
    <w:rsid w:val="001F5CE2"/>
    <w:rsid w:val="001F626A"/>
    <w:rsid w:val="00201266"/>
    <w:rsid w:val="00205C64"/>
    <w:rsid w:val="00211D4D"/>
    <w:rsid w:val="0021471D"/>
    <w:rsid w:val="00223BE2"/>
    <w:rsid w:val="00255BC9"/>
    <w:rsid w:val="002627FE"/>
    <w:rsid w:val="00270E79"/>
    <w:rsid w:val="00272DC1"/>
    <w:rsid w:val="002A6B08"/>
    <w:rsid w:val="002A71A8"/>
    <w:rsid w:val="002B0D5A"/>
    <w:rsid w:val="002D4A80"/>
    <w:rsid w:val="002D7ED3"/>
    <w:rsid w:val="002E2D64"/>
    <w:rsid w:val="002F22A2"/>
    <w:rsid w:val="003061D1"/>
    <w:rsid w:val="00325AAA"/>
    <w:rsid w:val="00326D12"/>
    <w:rsid w:val="00352F3A"/>
    <w:rsid w:val="00374C79"/>
    <w:rsid w:val="003856AA"/>
    <w:rsid w:val="003937A9"/>
    <w:rsid w:val="003B0B55"/>
    <w:rsid w:val="003B5134"/>
    <w:rsid w:val="003D2231"/>
    <w:rsid w:val="003E5B92"/>
    <w:rsid w:val="003F01BA"/>
    <w:rsid w:val="003F3AC9"/>
    <w:rsid w:val="004031B7"/>
    <w:rsid w:val="004072DC"/>
    <w:rsid w:val="00416957"/>
    <w:rsid w:val="00417970"/>
    <w:rsid w:val="00432906"/>
    <w:rsid w:val="00440788"/>
    <w:rsid w:val="00446314"/>
    <w:rsid w:val="00453CFF"/>
    <w:rsid w:val="004607A5"/>
    <w:rsid w:val="00486FF4"/>
    <w:rsid w:val="004A47E6"/>
    <w:rsid w:val="004C6F1E"/>
    <w:rsid w:val="004F3404"/>
    <w:rsid w:val="005123DE"/>
    <w:rsid w:val="00520530"/>
    <w:rsid w:val="00525882"/>
    <w:rsid w:val="005313C4"/>
    <w:rsid w:val="00545BFB"/>
    <w:rsid w:val="005543FC"/>
    <w:rsid w:val="00556AA9"/>
    <w:rsid w:val="00562471"/>
    <w:rsid w:val="00563EAE"/>
    <w:rsid w:val="00565AE5"/>
    <w:rsid w:val="005709AA"/>
    <w:rsid w:val="005B76A3"/>
    <w:rsid w:val="005C01ED"/>
    <w:rsid w:val="005D29B6"/>
    <w:rsid w:val="006258B4"/>
    <w:rsid w:val="00626211"/>
    <w:rsid w:val="006334B2"/>
    <w:rsid w:val="006341BC"/>
    <w:rsid w:val="006447C1"/>
    <w:rsid w:val="00660EEF"/>
    <w:rsid w:val="00661A4C"/>
    <w:rsid w:val="00665C0E"/>
    <w:rsid w:val="00675B51"/>
    <w:rsid w:val="0067630A"/>
    <w:rsid w:val="0069791E"/>
    <w:rsid w:val="006A3BF2"/>
    <w:rsid w:val="006B5425"/>
    <w:rsid w:val="006C5D21"/>
    <w:rsid w:val="006C6208"/>
    <w:rsid w:val="006D0B19"/>
    <w:rsid w:val="006D2AC2"/>
    <w:rsid w:val="006D7593"/>
    <w:rsid w:val="006E2803"/>
    <w:rsid w:val="006F6D9F"/>
    <w:rsid w:val="00732F63"/>
    <w:rsid w:val="007517D2"/>
    <w:rsid w:val="007523F2"/>
    <w:rsid w:val="00763F8B"/>
    <w:rsid w:val="0078568A"/>
    <w:rsid w:val="007B16C5"/>
    <w:rsid w:val="007B600C"/>
    <w:rsid w:val="007C4E9C"/>
    <w:rsid w:val="007C7AF2"/>
    <w:rsid w:val="007D0606"/>
    <w:rsid w:val="007F69D0"/>
    <w:rsid w:val="008021C7"/>
    <w:rsid w:val="00810A9D"/>
    <w:rsid w:val="00822E3A"/>
    <w:rsid w:val="0082309E"/>
    <w:rsid w:val="00823EA7"/>
    <w:rsid w:val="00832187"/>
    <w:rsid w:val="00841CDC"/>
    <w:rsid w:val="00844A75"/>
    <w:rsid w:val="008625C1"/>
    <w:rsid w:val="0086630B"/>
    <w:rsid w:val="00867011"/>
    <w:rsid w:val="0088395E"/>
    <w:rsid w:val="0088638B"/>
    <w:rsid w:val="008A22F1"/>
    <w:rsid w:val="008B6570"/>
    <w:rsid w:val="008C0F94"/>
    <w:rsid w:val="008C3391"/>
    <w:rsid w:val="008C5002"/>
    <w:rsid w:val="008D0009"/>
    <w:rsid w:val="008D3DE9"/>
    <w:rsid w:val="008E4132"/>
    <w:rsid w:val="00901224"/>
    <w:rsid w:val="009049AB"/>
    <w:rsid w:val="00946E43"/>
    <w:rsid w:val="00991857"/>
    <w:rsid w:val="009A4A96"/>
    <w:rsid w:val="009C61A0"/>
    <w:rsid w:val="009D1CB1"/>
    <w:rsid w:val="00A02CB0"/>
    <w:rsid w:val="00A12B81"/>
    <w:rsid w:val="00A17EF3"/>
    <w:rsid w:val="00A20267"/>
    <w:rsid w:val="00A308D0"/>
    <w:rsid w:val="00A361D5"/>
    <w:rsid w:val="00A470BA"/>
    <w:rsid w:val="00A559B7"/>
    <w:rsid w:val="00A620AA"/>
    <w:rsid w:val="00A7488A"/>
    <w:rsid w:val="00AA24E3"/>
    <w:rsid w:val="00AA3F69"/>
    <w:rsid w:val="00AB6D2A"/>
    <w:rsid w:val="00AC7D46"/>
    <w:rsid w:val="00AD6967"/>
    <w:rsid w:val="00AE3407"/>
    <w:rsid w:val="00AF01D6"/>
    <w:rsid w:val="00AF2D73"/>
    <w:rsid w:val="00B064F9"/>
    <w:rsid w:val="00B1056B"/>
    <w:rsid w:val="00B45729"/>
    <w:rsid w:val="00B53DBA"/>
    <w:rsid w:val="00B576AF"/>
    <w:rsid w:val="00B57A64"/>
    <w:rsid w:val="00B66BA0"/>
    <w:rsid w:val="00B72324"/>
    <w:rsid w:val="00B83FE5"/>
    <w:rsid w:val="00BB63FF"/>
    <w:rsid w:val="00BB6BFB"/>
    <w:rsid w:val="00BD4293"/>
    <w:rsid w:val="00C06078"/>
    <w:rsid w:val="00C109AC"/>
    <w:rsid w:val="00C10D43"/>
    <w:rsid w:val="00C11937"/>
    <w:rsid w:val="00C12DCA"/>
    <w:rsid w:val="00C25C84"/>
    <w:rsid w:val="00C44E28"/>
    <w:rsid w:val="00C47637"/>
    <w:rsid w:val="00C52426"/>
    <w:rsid w:val="00C72FF0"/>
    <w:rsid w:val="00C751AE"/>
    <w:rsid w:val="00C76AAE"/>
    <w:rsid w:val="00C84A6C"/>
    <w:rsid w:val="00C9248F"/>
    <w:rsid w:val="00C958CA"/>
    <w:rsid w:val="00C97565"/>
    <w:rsid w:val="00CA4854"/>
    <w:rsid w:val="00CA6082"/>
    <w:rsid w:val="00CB4B24"/>
    <w:rsid w:val="00CB5C15"/>
    <w:rsid w:val="00CD720A"/>
    <w:rsid w:val="00CE0C54"/>
    <w:rsid w:val="00CE280A"/>
    <w:rsid w:val="00D21F97"/>
    <w:rsid w:val="00D36C7D"/>
    <w:rsid w:val="00D4087B"/>
    <w:rsid w:val="00D433CB"/>
    <w:rsid w:val="00D536CF"/>
    <w:rsid w:val="00D5637E"/>
    <w:rsid w:val="00D5765E"/>
    <w:rsid w:val="00D65FBA"/>
    <w:rsid w:val="00D717E7"/>
    <w:rsid w:val="00D731D7"/>
    <w:rsid w:val="00D73336"/>
    <w:rsid w:val="00D83B99"/>
    <w:rsid w:val="00D96F38"/>
    <w:rsid w:val="00DB36B1"/>
    <w:rsid w:val="00DC6CF0"/>
    <w:rsid w:val="00DD271E"/>
    <w:rsid w:val="00DD400D"/>
    <w:rsid w:val="00DD4C47"/>
    <w:rsid w:val="00DD60E8"/>
    <w:rsid w:val="00DF39A5"/>
    <w:rsid w:val="00E0138F"/>
    <w:rsid w:val="00E11DCA"/>
    <w:rsid w:val="00E22EB7"/>
    <w:rsid w:val="00E417FD"/>
    <w:rsid w:val="00E41F18"/>
    <w:rsid w:val="00E72294"/>
    <w:rsid w:val="00E76E4E"/>
    <w:rsid w:val="00E83CA1"/>
    <w:rsid w:val="00E91AB9"/>
    <w:rsid w:val="00E96DAD"/>
    <w:rsid w:val="00E97228"/>
    <w:rsid w:val="00EB0E10"/>
    <w:rsid w:val="00EB395A"/>
    <w:rsid w:val="00EC07B6"/>
    <w:rsid w:val="00EE0D3B"/>
    <w:rsid w:val="00EE5768"/>
    <w:rsid w:val="00F1719F"/>
    <w:rsid w:val="00F20E0E"/>
    <w:rsid w:val="00F6355D"/>
    <w:rsid w:val="00F81533"/>
    <w:rsid w:val="00F87E91"/>
    <w:rsid w:val="00F91CC5"/>
    <w:rsid w:val="00FB18F3"/>
    <w:rsid w:val="00FB6BDD"/>
    <w:rsid w:val="00FC6B81"/>
    <w:rsid w:val="00FD096B"/>
    <w:rsid w:val="00FE2AEE"/>
    <w:rsid w:val="00FE43AA"/>
    <w:rsid w:val="00FF4D4B"/>
    <w:rsid w:val="00FF6D77"/>
    <w:rsid w:val="01CC7F26"/>
    <w:rsid w:val="02F43A2A"/>
    <w:rsid w:val="03151D16"/>
    <w:rsid w:val="044B775E"/>
    <w:rsid w:val="04616BF2"/>
    <w:rsid w:val="06B63BB3"/>
    <w:rsid w:val="0C2E4CFF"/>
    <w:rsid w:val="0D350317"/>
    <w:rsid w:val="0DFB48E3"/>
    <w:rsid w:val="0E5F0624"/>
    <w:rsid w:val="0FA13B74"/>
    <w:rsid w:val="124E5CAE"/>
    <w:rsid w:val="12590125"/>
    <w:rsid w:val="13AB7562"/>
    <w:rsid w:val="140E2F87"/>
    <w:rsid w:val="145A2F30"/>
    <w:rsid w:val="145C7AFC"/>
    <w:rsid w:val="14C5009D"/>
    <w:rsid w:val="14F958F9"/>
    <w:rsid w:val="15AE2B18"/>
    <w:rsid w:val="16D73734"/>
    <w:rsid w:val="17C4067A"/>
    <w:rsid w:val="180374A3"/>
    <w:rsid w:val="190D632A"/>
    <w:rsid w:val="1A38521B"/>
    <w:rsid w:val="1C862DF8"/>
    <w:rsid w:val="1DA83132"/>
    <w:rsid w:val="1F4D6F77"/>
    <w:rsid w:val="20C3223A"/>
    <w:rsid w:val="20D52B2D"/>
    <w:rsid w:val="220B6136"/>
    <w:rsid w:val="234F14B7"/>
    <w:rsid w:val="23AF21AF"/>
    <w:rsid w:val="247E2CBE"/>
    <w:rsid w:val="24964A4A"/>
    <w:rsid w:val="26D53103"/>
    <w:rsid w:val="26E0285D"/>
    <w:rsid w:val="27AF2DD4"/>
    <w:rsid w:val="280B524E"/>
    <w:rsid w:val="2885172F"/>
    <w:rsid w:val="2915044A"/>
    <w:rsid w:val="2BEE0E7D"/>
    <w:rsid w:val="2F1A40FC"/>
    <w:rsid w:val="2FB24721"/>
    <w:rsid w:val="30D82859"/>
    <w:rsid w:val="32471904"/>
    <w:rsid w:val="328B766B"/>
    <w:rsid w:val="32C4040D"/>
    <w:rsid w:val="34DC0F0A"/>
    <w:rsid w:val="351E7A86"/>
    <w:rsid w:val="3B2E128E"/>
    <w:rsid w:val="3BFA7DC5"/>
    <w:rsid w:val="3D3976EF"/>
    <w:rsid w:val="3FBA15A9"/>
    <w:rsid w:val="425303F8"/>
    <w:rsid w:val="443B3878"/>
    <w:rsid w:val="45E251F2"/>
    <w:rsid w:val="460C3F74"/>
    <w:rsid w:val="47226AE0"/>
    <w:rsid w:val="480504AA"/>
    <w:rsid w:val="48F4590E"/>
    <w:rsid w:val="4E2930D8"/>
    <w:rsid w:val="4E343A76"/>
    <w:rsid w:val="4EBE31BB"/>
    <w:rsid w:val="4EEA60D7"/>
    <w:rsid w:val="4FAA3796"/>
    <w:rsid w:val="4FDD16A7"/>
    <w:rsid w:val="525014B0"/>
    <w:rsid w:val="54C86B12"/>
    <w:rsid w:val="550744A2"/>
    <w:rsid w:val="574D43AF"/>
    <w:rsid w:val="57F13EAC"/>
    <w:rsid w:val="5B54045B"/>
    <w:rsid w:val="5C0352F7"/>
    <w:rsid w:val="5DAB5D18"/>
    <w:rsid w:val="604418E4"/>
    <w:rsid w:val="6326616F"/>
    <w:rsid w:val="648B04BA"/>
    <w:rsid w:val="65D47A1D"/>
    <w:rsid w:val="6823531A"/>
    <w:rsid w:val="684D33BA"/>
    <w:rsid w:val="68992119"/>
    <w:rsid w:val="68F11433"/>
    <w:rsid w:val="6A661E0E"/>
    <w:rsid w:val="6AB452C1"/>
    <w:rsid w:val="6D4C3179"/>
    <w:rsid w:val="6DEF77A9"/>
    <w:rsid w:val="6EB4204F"/>
    <w:rsid w:val="6EDD2117"/>
    <w:rsid w:val="6EFD5F75"/>
    <w:rsid w:val="6FE7807C"/>
    <w:rsid w:val="70397756"/>
    <w:rsid w:val="70FC022F"/>
    <w:rsid w:val="71096022"/>
    <w:rsid w:val="736C61B2"/>
    <w:rsid w:val="73C508B2"/>
    <w:rsid w:val="73EB4653"/>
    <w:rsid w:val="75083870"/>
    <w:rsid w:val="77A50258"/>
    <w:rsid w:val="77F06A23"/>
    <w:rsid w:val="78CD164C"/>
    <w:rsid w:val="79D2409B"/>
    <w:rsid w:val="7D935118"/>
    <w:rsid w:val="7F5F4CC4"/>
    <w:rsid w:val="7FD6F89C"/>
    <w:rsid w:val="BB9FC13A"/>
    <w:rsid w:val="D6FEEE34"/>
    <w:rsid w:val="EBCB288D"/>
    <w:rsid w:val="EC5F115F"/>
    <w:rsid w:val="F7FBBD3A"/>
    <w:rsid w:val="FF7F4A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rFonts w:eastAsiaTheme="majorEastAsia"/>
      <w:b/>
      <w:bCs/>
      <w:kern w:val="44"/>
      <w:sz w:val="30"/>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28"/>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24"/>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alloon Text"/>
    <w:basedOn w:val="1"/>
    <w:link w:val="18"/>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unhideWhenUsed/>
    <w:qFormat/>
    <w:uiPriority w:val="99"/>
    <w:rPr>
      <w:sz w:val="21"/>
      <w:szCs w:val="21"/>
    </w:rPr>
  </w:style>
  <w:style w:type="character" w:customStyle="1" w:styleId="12">
    <w:name w:val="页眉 Char"/>
    <w:basedOn w:val="10"/>
    <w:link w:val="8"/>
    <w:qFormat/>
    <w:uiPriority w:val="99"/>
    <w:rPr>
      <w:sz w:val="18"/>
      <w:szCs w:val="18"/>
    </w:rPr>
  </w:style>
  <w:style w:type="character" w:customStyle="1" w:styleId="13">
    <w:name w:val="页脚 Char"/>
    <w:basedOn w:val="10"/>
    <w:link w:val="7"/>
    <w:qFormat/>
    <w:uiPriority w:val="99"/>
    <w:rPr>
      <w:sz w:val="18"/>
      <w:szCs w:val="18"/>
    </w:rPr>
  </w:style>
  <w:style w:type="character" w:customStyle="1" w:styleId="14">
    <w:name w:val="标题 1 Char"/>
    <w:basedOn w:val="10"/>
    <w:link w:val="2"/>
    <w:qFormat/>
    <w:uiPriority w:val="9"/>
    <w:rPr>
      <w:rFonts w:eastAsiaTheme="majorEastAsia"/>
      <w:b/>
      <w:bCs/>
      <w:kern w:val="44"/>
      <w:sz w:val="30"/>
      <w:szCs w:val="44"/>
    </w:rPr>
  </w:style>
  <w:style w:type="character" w:customStyle="1" w:styleId="15">
    <w:name w:val="标题 2 Char"/>
    <w:basedOn w:val="10"/>
    <w:link w:val="3"/>
    <w:qFormat/>
    <w:uiPriority w:val="9"/>
    <w:rPr>
      <w:rFonts w:asciiTheme="majorHAnsi" w:hAnsiTheme="majorHAnsi" w:eastAsiaTheme="majorEastAsia" w:cstheme="majorBidi"/>
      <w:b/>
      <w:bCs/>
      <w:sz w:val="28"/>
      <w:szCs w:val="32"/>
    </w:rPr>
  </w:style>
  <w:style w:type="character" w:customStyle="1" w:styleId="16">
    <w:name w:val="标题 3 Char"/>
    <w:basedOn w:val="10"/>
    <w:link w:val="4"/>
    <w:qFormat/>
    <w:uiPriority w:val="9"/>
    <w:rPr>
      <w:b/>
      <w:bCs/>
      <w:sz w:val="24"/>
      <w:szCs w:val="32"/>
    </w:rPr>
  </w:style>
  <w:style w:type="paragraph" w:customStyle="1" w:styleId="17">
    <w:name w:val="列出段落1"/>
    <w:basedOn w:val="1"/>
    <w:qFormat/>
    <w:uiPriority w:val="34"/>
    <w:pPr>
      <w:ind w:firstLine="420" w:firstLineChars="200"/>
    </w:pPr>
  </w:style>
  <w:style w:type="character" w:customStyle="1" w:styleId="18">
    <w:name w:val="批注框文本 Char"/>
    <w:basedOn w:val="10"/>
    <w:link w:val="6"/>
    <w:semiHidden/>
    <w:qFormat/>
    <w:uiPriority w:val="99"/>
    <w:rPr>
      <w:kern w:val="2"/>
      <w:sz w:val="18"/>
      <w:szCs w:val="18"/>
    </w:rPr>
  </w:style>
  <w:style w:type="paragraph" w:customStyle="1" w:styleId="19">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方正仿宋GBK">
      <a:majorFont>
        <a:latin typeface="Times New Roman"/>
        <a:ea typeface="黑体"/>
        <a:cs typeface=""/>
      </a:majorFont>
      <a:minorFont>
        <a:latin typeface="Times New Roman"/>
        <a:ea typeface="方正仿宋_GBK"/>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18</Pages>
  <Words>7674</Words>
  <Characters>7883</Characters>
  <Lines>57</Lines>
  <Paragraphs>16</Paragraphs>
  <TotalTime>0</TotalTime>
  <ScaleCrop>false</ScaleCrop>
  <LinksUpToDate>false</LinksUpToDate>
  <CharactersWithSpaces>7890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2022-12-01T02:06:00Z</dcterms:created>
  <dc:creator>郑佳</dc:creator>
  <cp:lastModifiedBy>苏毅</cp:lastModifiedBy>
  <dcterms:modified xsi:type="dcterms:W3CDTF">2022-12-22T06:28:10Z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0DF1F8E13256444CB178DD2570687846</vt:lpwstr>
  </property>
</Properties>
</file>