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DF1C20" w14:textId="77777777" w:rsidR="00994B6A" w:rsidRDefault="00B4766E">
      <w:pPr>
        <w:adjustRightInd w:val="0"/>
        <w:snapToGrid w:val="0"/>
        <w:spacing w:line="60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全域土地综合整治与生态修复工程</w:t>
      </w:r>
    </w:p>
    <w:p w14:paraId="5D46E757" w14:textId="77777777" w:rsidR="00994B6A" w:rsidRDefault="00B4766E">
      <w:pPr>
        <w:adjustRightInd w:val="0"/>
        <w:snapToGrid w:val="0"/>
        <w:spacing w:line="60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实施方案编制提纲</w:t>
      </w:r>
    </w:p>
    <w:p w14:paraId="0425EE38" w14:textId="77777777" w:rsidR="00994B6A" w:rsidRDefault="00994B6A">
      <w:pPr>
        <w:adjustRightInd w:val="0"/>
        <w:snapToGrid w:val="0"/>
        <w:spacing w:line="300" w:lineRule="auto"/>
        <w:jc w:val="center"/>
        <w:rPr>
          <w:rFonts w:ascii="楷体_GB2312" w:eastAsia="楷体_GB2312" w:hAnsi="楷体_GB2312" w:cs="楷体_GB2312"/>
          <w:b/>
          <w:bCs/>
          <w:sz w:val="32"/>
          <w:szCs w:val="32"/>
        </w:rPr>
      </w:pPr>
    </w:p>
    <w:p w14:paraId="3E308641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一、基本情况</w:t>
      </w:r>
    </w:p>
    <w:p w14:paraId="669B3005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（一）工程项目区土地利用现状、人口、产业、村庄建设、基础设施、环境地质条件和地质灾害等情况（工程项目区涉及多个行政村的，土地利用现状与人口分村进行统计）。</w:t>
      </w:r>
    </w:p>
    <w:p w14:paraId="6A8E29CC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（二）工程项目区内土地利用、村庄建设、基础设施、产业发展、农业生产、生态环境等方面存在的问题。</w:t>
      </w:r>
    </w:p>
    <w:p w14:paraId="6AE66C38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（三）实施全域土地综合整治与生态修复工程的可行性分析（重点从发展基础、群众意愿、整治潜力、生态修复能力等方面阐述）。</w:t>
      </w:r>
    </w:p>
    <w:p w14:paraId="24D29CE0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二、工作目标</w:t>
      </w:r>
    </w:p>
    <w:p w14:paraId="3ED91305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主要包括耕地和永久基本农田保护、村庄建设、基础设施和公共服务设施建设、产业发展、生态保护、环境整治等方面的目标，各项目标设定要因地制宜，科学合理，可量化、可统计、可考核。</w:t>
      </w:r>
    </w:p>
    <w:p w14:paraId="28BB71E5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三、土地利用功能分区情况</w:t>
      </w:r>
    </w:p>
    <w:p w14:paraId="3A0D382E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（一）划定土地利用功能分区（根据村土地利用规划、当地自然条件差异、土地利用现状、经济社会发展和产业特色，对农村生产、生活、生态空间进行优化，合理划分农业生产、村庄建设、产业发展和生态</w:t>
      </w:r>
      <w:r>
        <w:rPr>
          <w:rFonts w:eastAsia="仿宋_GB2312"/>
          <w:sz w:val="32"/>
          <w:szCs w:val="32"/>
        </w:rPr>
        <w:t>保护等功能分区，促进农业适度规模经营和农村一二三产业融合发展）。</w:t>
      </w:r>
    </w:p>
    <w:p w14:paraId="28311C52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（二）明确各功能分区重点整治内容（明确各土地利用功能区重点整治内容，合理划分整治分区，明确整治任务和目标）。</w:t>
      </w:r>
    </w:p>
    <w:p w14:paraId="7F1846EF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四、统筹安排项目</w:t>
      </w:r>
    </w:p>
    <w:p w14:paraId="61663429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（一）土地整治项目安排（统筹安排高标准农田建设、旱地改水田、耕地质量提升、农村建设用地复垦、宜耕后备资源开发等项目，明确各项</w:t>
      </w:r>
      <w:proofErr w:type="gramStart"/>
      <w:r>
        <w:rPr>
          <w:rFonts w:eastAsia="仿宋_GB2312"/>
          <w:sz w:val="32"/>
          <w:szCs w:val="32"/>
        </w:rPr>
        <w:t>目主要</w:t>
      </w:r>
      <w:proofErr w:type="gramEnd"/>
      <w:r>
        <w:rPr>
          <w:rFonts w:eastAsia="仿宋_GB2312"/>
          <w:sz w:val="32"/>
          <w:szCs w:val="32"/>
        </w:rPr>
        <w:t>建设内容）。</w:t>
      </w:r>
    </w:p>
    <w:p w14:paraId="28EBF41E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（二）各类建设项目安排（对新农村建设、农村新产业新业态发展、现代农业及一二三产业融合发展、公共服务配套设施与基础设施建设、农村拆</w:t>
      </w:r>
      <w:proofErr w:type="gramStart"/>
      <w:r>
        <w:rPr>
          <w:rFonts w:eastAsia="仿宋_GB2312"/>
          <w:sz w:val="32"/>
          <w:szCs w:val="32"/>
        </w:rPr>
        <w:t>违治违</w:t>
      </w:r>
      <w:proofErr w:type="gramEnd"/>
      <w:r>
        <w:rPr>
          <w:rFonts w:eastAsia="仿宋_GB2312"/>
          <w:sz w:val="32"/>
          <w:szCs w:val="32"/>
        </w:rPr>
        <w:t>、村庄环境整治、交通、水利等具体项目进行</w:t>
      </w:r>
      <w:r>
        <w:rPr>
          <w:rFonts w:eastAsia="仿宋_GB2312"/>
          <w:sz w:val="32"/>
          <w:szCs w:val="32"/>
        </w:rPr>
        <w:t>安排，明确各项</w:t>
      </w:r>
      <w:proofErr w:type="gramStart"/>
      <w:r>
        <w:rPr>
          <w:rFonts w:eastAsia="仿宋_GB2312"/>
          <w:sz w:val="32"/>
          <w:szCs w:val="32"/>
        </w:rPr>
        <w:t>目主要</w:t>
      </w:r>
      <w:proofErr w:type="gramEnd"/>
      <w:r>
        <w:rPr>
          <w:rFonts w:eastAsia="仿宋_GB2312"/>
          <w:sz w:val="32"/>
          <w:szCs w:val="32"/>
        </w:rPr>
        <w:t>建设内容）。</w:t>
      </w:r>
    </w:p>
    <w:p w14:paraId="7F00F9F6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（三）生态修复项目安排（对损毁土地复垦、土壤污染防治、废弃矿山治理以及其他生态修复工程等具体任务进行安排，明确各项</w:t>
      </w:r>
      <w:proofErr w:type="gramStart"/>
      <w:r>
        <w:rPr>
          <w:rFonts w:eastAsia="仿宋_GB2312"/>
          <w:sz w:val="32"/>
          <w:szCs w:val="32"/>
        </w:rPr>
        <w:t>目主要</w:t>
      </w:r>
      <w:proofErr w:type="gramEnd"/>
      <w:r>
        <w:rPr>
          <w:rFonts w:eastAsia="仿宋_GB2312"/>
          <w:sz w:val="32"/>
          <w:szCs w:val="32"/>
        </w:rPr>
        <w:t>建设内容）。</w:t>
      </w:r>
    </w:p>
    <w:p w14:paraId="6382551D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五、实施期限及进度计划</w:t>
      </w:r>
    </w:p>
    <w:p w14:paraId="1A083864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（一）实施期限。原则上不超过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年。</w:t>
      </w:r>
    </w:p>
    <w:p w14:paraId="48681BA9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（二）进度计划。对分年度实施计划进行安排。</w:t>
      </w:r>
    </w:p>
    <w:p w14:paraId="5CF9F93C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六、项目实施保障措施</w:t>
      </w:r>
    </w:p>
    <w:p w14:paraId="7CDB60A3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（一）组织保障措施：阐述项目所在县（市、区）人民政府组织领导、协调、工作落实等举措。</w:t>
      </w:r>
    </w:p>
    <w:p w14:paraId="0717585C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（二）资金保障措施：项目投资总额、资金来源以及资金平衡情况等。</w:t>
      </w:r>
    </w:p>
    <w:p w14:paraId="25A580BD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（三）生态环境保护措施：阐述工程实施生态保护防治</w:t>
      </w:r>
      <w:r>
        <w:rPr>
          <w:rFonts w:eastAsia="仿宋_GB2312"/>
          <w:sz w:val="32"/>
          <w:szCs w:val="32"/>
        </w:rPr>
        <w:lastRenderedPageBreak/>
        <w:t>措施以及后续管护措施</w:t>
      </w:r>
      <w:r>
        <w:rPr>
          <w:rFonts w:eastAsia="仿宋_GB2312"/>
          <w:sz w:val="32"/>
          <w:szCs w:val="32"/>
        </w:rPr>
        <w:t>等。</w:t>
      </w:r>
    </w:p>
    <w:p w14:paraId="594898CB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（四）项目监管措施：阐述工程质量、工程进度、资金使用等方面的监管措施等。</w:t>
      </w:r>
    </w:p>
    <w:p w14:paraId="511A7E2F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七、其他</w:t>
      </w:r>
    </w:p>
    <w:p w14:paraId="0067B422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其他需要补充说明的事项。</w:t>
      </w:r>
    </w:p>
    <w:p w14:paraId="257634C6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八、附件</w:t>
      </w:r>
    </w:p>
    <w:p w14:paraId="42D36127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（一）全域土地综合整治与生态修复工程项目区基本情况表。</w:t>
      </w:r>
    </w:p>
    <w:p w14:paraId="4242F97F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（二）村土地利用规划批复及规划图件（不单独编制村土地利用规划的，利用乡镇土地利用总体规划，应</w:t>
      </w:r>
      <w:proofErr w:type="gramStart"/>
      <w:r>
        <w:rPr>
          <w:rFonts w:eastAsia="仿宋_GB2312"/>
          <w:sz w:val="32"/>
          <w:szCs w:val="32"/>
        </w:rPr>
        <w:t>作出</w:t>
      </w:r>
      <w:proofErr w:type="gramEnd"/>
      <w:r>
        <w:rPr>
          <w:rFonts w:eastAsia="仿宋_GB2312"/>
          <w:sz w:val="32"/>
          <w:szCs w:val="32"/>
        </w:rPr>
        <w:t>说明，附乡镇土地利用总体规划局部图）。</w:t>
      </w:r>
    </w:p>
    <w:p w14:paraId="1E6A5F4C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（三）项目区遥感（或航空）影像图（比例尺为</w:t>
      </w:r>
      <w:r>
        <w:rPr>
          <w:rFonts w:eastAsia="仿宋_GB2312"/>
          <w:sz w:val="32"/>
          <w:szCs w:val="32"/>
        </w:rPr>
        <w:t>1:2000</w:t>
      </w:r>
      <w:r>
        <w:rPr>
          <w:rFonts w:eastAsia="仿宋_GB2312"/>
          <w:sz w:val="32"/>
          <w:szCs w:val="32"/>
        </w:rPr>
        <w:t>）。</w:t>
      </w:r>
    </w:p>
    <w:p w14:paraId="71D69822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  <w:highlight w:val="red"/>
        </w:rPr>
      </w:pPr>
      <w:r>
        <w:rPr>
          <w:rFonts w:eastAsia="仿宋_GB2312"/>
          <w:sz w:val="32"/>
          <w:szCs w:val="32"/>
        </w:rPr>
        <w:t>（四）有关部门意见（农办、财政、国土资源、环保、建设、交通、水利、农业、林业等项目涉及的有关部门出具相关规划、政策衔接、项目安排等具体意见）。</w:t>
      </w:r>
    </w:p>
    <w:p w14:paraId="50975307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（五）评审论证意见（评审论证意见应对工程项目区耕地面积、永久基本农田面积不减少、粮食产能不下降、农民利益</w:t>
      </w:r>
      <w:proofErr w:type="gramStart"/>
      <w:r>
        <w:rPr>
          <w:rFonts w:eastAsia="仿宋_GB2312"/>
          <w:sz w:val="32"/>
          <w:szCs w:val="32"/>
        </w:rPr>
        <w:t>不</w:t>
      </w:r>
      <w:proofErr w:type="gramEnd"/>
      <w:r>
        <w:rPr>
          <w:rFonts w:eastAsia="仿宋_GB2312"/>
          <w:sz w:val="32"/>
          <w:szCs w:val="32"/>
        </w:rPr>
        <w:t>受损等进行说明，对生态环境保护、资金平衡测算、农民意愿等进行阐述。另外，因优化国土空间布局和土地利用结构，需要对零星林地进行调整的，在论证意见中需明确植树造林规划设计、资金保障、责任主体等，确保项目区内森林面积不减少）。</w:t>
      </w:r>
    </w:p>
    <w:p w14:paraId="585904FD" w14:textId="77777777" w:rsidR="00994B6A" w:rsidRDefault="00B4766E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（六）其他相关材料。</w:t>
      </w:r>
    </w:p>
    <w:p w14:paraId="6A2148C1" w14:textId="77777777" w:rsidR="00994B6A" w:rsidRDefault="00994B6A">
      <w:pPr>
        <w:widowControl/>
        <w:jc w:val="left"/>
      </w:pPr>
    </w:p>
    <w:p w14:paraId="19F11511" w14:textId="77777777" w:rsidR="00994B6A" w:rsidRDefault="00B4766E">
      <w:pPr>
        <w:tabs>
          <w:tab w:val="left" w:pos="1701"/>
        </w:tabs>
        <w:spacing w:line="600" w:lineRule="exact"/>
        <w:ind w:leftChars="405" w:left="2124" w:hangingChars="398" w:hanging="1274"/>
        <w:rPr>
          <w:rFonts w:eastAsia="仿宋_GB2312"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附表：</w:t>
      </w:r>
      <w:r>
        <w:rPr>
          <w:rFonts w:eastAsia="仿宋_GB2312"/>
          <w:bCs/>
          <w:sz w:val="32"/>
          <w:szCs w:val="32"/>
        </w:rPr>
        <w:t>1</w:t>
      </w:r>
      <w:r>
        <w:rPr>
          <w:rFonts w:eastAsia="仿宋_GB2312" w:hint="eastAsia"/>
          <w:bCs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全域土地综合整治与生态修复工程项目区基本情况</w:t>
      </w:r>
    </w:p>
    <w:p w14:paraId="3C4C7061" w14:textId="06D23423" w:rsidR="00994B6A" w:rsidRPr="00B4766E" w:rsidRDefault="00B4766E" w:rsidP="00B4766E">
      <w:pPr>
        <w:adjustRightInd w:val="0"/>
        <w:snapToGrid w:val="0"/>
        <w:spacing w:line="300" w:lineRule="auto"/>
        <w:ind w:leftChars="877" w:left="2120" w:hangingChars="87" w:hanging="278"/>
        <w:rPr>
          <w:rFonts w:eastAsia="仿宋_GB2312" w:hint="eastAsia"/>
          <w:bCs/>
          <w:sz w:val="32"/>
          <w:szCs w:val="32"/>
        </w:rPr>
        <w:sectPr w:rsidR="00994B6A" w:rsidRPr="00B4766E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eastAsia="仿宋_GB2312" w:hint="eastAsia"/>
          <w:bCs/>
          <w:sz w:val="32"/>
          <w:szCs w:val="32"/>
        </w:rPr>
        <w:t>2</w:t>
      </w:r>
      <w:r>
        <w:rPr>
          <w:rFonts w:eastAsia="仿宋_GB2312" w:hint="eastAsia"/>
          <w:bCs/>
          <w:sz w:val="32"/>
          <w:szCs w:val="32"/>
        </w:rPr>
        <w:t>．</w:t>
      </w:r>
      <w:r>
        <w:rPr>
          <w:rFonts w:eastAsia="仿宋_GB2312"/>
          <w:bCs/>
          <w:sz w:val="32"/>
          <w:szCs w:val="32"/>
        </w:rPr>
        <w:t>分村人均村庄建设用地</w:t>
      </w:r>
      <w:r>
        <w:rPr>
          <w:rFonts w:eastAsia="仿宋_GB2312" w:hint="eastAsia"/>
          <w:bCs/>
          <w:sz w:val="32"/>
          <w:szCs w:val="32"/>
        </w:rPr>
        <w:t>及建设用地复垦统计</w:t>
      </w:r>
      <w:r>
        <w:rPr>
          <w:rFonts w:eastAsia="仿宋_GB2312"/>
          <w:bCs/>
          <w:sz w:val="32"/>
          <w:szCs w:val="32"/>
        </w:rPr>
        <w:t>表</w:t>
      </w:r>
    </w:p>
    <w:p w14:paraId="5B800B35" w14:textId="77777777" w:rsidR="00994B6A" w:rsidRDefault="00994B6A">
      <w:pPr>
        <w:rPr>
          <w:rFonts w:hint="eastAsia"/>
        </w:rPr>
      </w:pPr>
    </w:p>
    <w:sectPr w:rsidR="00994B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44B7045"/>
    <w:rsid w:val="00994B6A"/>
    <w:rsid w:val="00B4766E"/>
    <w:rsid w:val="644B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83DD0F"/>
  <w15:docId w15:val="{7E4E4467-535F-4BDC-BD3B-42A1B9255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浅笑</dc:creator>
  <cp:lastModifiedBy>449200276@qq.com</cp:lastModifiedBy>
  <cp:revision>2</cp:revision>
  <dcterms:created xsi:type="dcterms:W3CDTF">2018-10-08T06:25:00Z</dcterms:created>
  <dcterms:modified xsi:type="dcterms:W3CDTF">2020-06-24T08:08:00Z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