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黑体"/>
          <w:sz w:val="32"/>
          <w:szCs w:val="32"/>
        </w:rPr>
      </w:pPr>
      <w:r>
        <w:rPr>
          <w:rFonts w:hint="eastAsia" w:ascii="宋体" w:hAnsi="宋体" w:eastAsia="宋体" w:cs="黑体"/>
          <w:sz w:val="32"/>
          <w:szCs w:val="32"/>
        </w:rPr>
        <w:t>附件2</w:t>
      </w:r>
    </w:p>
    <w:p>
      <w:pPr>
        <w:jc w:val="center"/>
        <w:rPr>
          <w:rFonts w:ascii="仿宋_GB2312" w:hAnsi="仿宋" w:eastAsia="仿宋_GB2312"/>
          <w:b/>
          <w:bCs/>
          <w:sz w:val="36"/>
          <w:szCs w:val="32"/>
        </w:rPr>
      </w:pPr>
      <w:r>
        <w:rPr>
          <w:rFonts w:hint="eastAsia" w:ascii="仿宋_GB2312" w:hAnsi="仿宋" w:eastAsia="仿宋_GB2312"/>
          <w:b/>
          <w:bCs/>
          <w:sz w:val="36"/>
          <w:szCs w:val="32"/>
        </w:rPr>
        <w:t>青海省</w:t>
      </w:r>
      <w:r>
        <w:rPr>
          <w:rFonts w:hint="eastAsia" w:ascii="仿宋_GB2312" w:hAnsi="仿宋" w:eastAsia="仿宋_GB2312"/>
          <w:b/>
          <w:bCs/>
          <w:sz w:val="36"/>
          <w:szCs w:val="32"/>
          <w:lang w:eastAsia="zh-CN"/>
        </w:rPr>
        <w:t>（</w:t>
      </w:r>
      <w:r>
        <w:rPr>
          <w:rFonts w:hint="eastAsia" w:ascii="仿宋_GB2312" w:hAnsi="仿宋" w:eastAsia="仿宋_GB2312"/>
          <w:b/>
          <w:bCs/>
          <w:sz w:val="36"/>
          <w:szCs w:val="32"/>
        </w:rPr>
        <w:t>省级</w:t>
      </w:r>
      <w:r>
        <w:rPr>
          <w:rFonts w:hint="eastAsia" w:ascii="仿宋_GB2312" w:hAnsi="仿宋" w:eastAsia="仿宋_GB2312"/>
          <w:b/>
          <w:bCs/>
          <w:sz w:val="36"/>
          <w:szCs w:val="32"/>
          <w:lang w:eastAsia="zh-CN"/>
        </w:rPr>
        <w:t>）</w:t>
      </w:r>
      <w:r>
        <w:rPr>
          <w:rFonts w:hint="eastAsia" w:ascii="仿宋_GB2312" w:hAnsi="仿宋" w:eastAsia="仿宋_GB2312"/>
          <w:b/>
          <w:bCs/>
          <w:sz w:val="36"/>
          <w:szCs w:val="32"/>
        </w:rPr>
        <w:t>绿色矿山建设自评报告编写提纲</w:t>
      </w:r>
    </w:p>
    <w:p>
      <w:pPr>
        <w:jc w:val="center"/>
        <w:rPr>
          <w:rFonts w:ascii="仿宋_GB2312" w:hAnsi="仿宋" w:eastAsia="仿宋_GB2312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自评估报告需要加扉页反映</w:t>
      </w:r>
      <w:r>
        <w:rPr>
          <w:rFonts w:hint="eastAsia" w:ascii="仿宋_GB2312" w:hAnsi="仿宋" w:eastAsia="仿宋_GB2312"/>
          <w:sz w:val="28"/>
          <w:lang w:eastAsia="zh-CN"/>
        </w:rPr>
        <w:t>采矿权人</w:t>
      </w:r>
      <w:r>
        <w:rPr>
          <w:rFonts w:hint="eastAsia" w:ascii="仿宋_GB2312" w:hAnsi="仿宋" w:eastAsia="仿宋_GB2312"/>
          <w:sz w:val="28"/>
        </w:rPr>
        <w:t>名称、矿山名称、许可证号、有效期、企业法人、绿色矿山负责人；自评估报告单位负责人、编制组负责人、编制组成员（姓名、职称、专业等信息）、联系方式等。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32"/>
        </w:rPr>
        <w:t>前言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说明自评的背景，依据（文件依据、省级绿色矿山建设标准、相应的“行业绿色矿山建设规范”等），评估的范围。简要介绍本次自评估的实地评估及报告编写的起止时间、方法（资料审查、实地核查、指标评测</w:t>
      </w:r>
      <w:r>
        <w:rPr>
          <w:rFonts w:hint="eastAsia" w:ascii="仿宋_GB2312" w:hAnsi="仿宋" w:eastAsia="仿宋_GB2312"/>
          <w:sz w:val="28"/>
          <w:lang w:eastAsia="zh-CN"/>
        </w:rPr>
        <w:t>等</w:t>
      </w:r>
      <w:r>
        <w:rPr>
          <w:rFonts w:hint="eastAsia" w:ascii="仿宋_GB2312" w:hAnsi="仿宋" w:eastAsia="仿宋_GB2312"/>
          <w:sz w:val="28"/>
        </w:rPr>
        <w:t>）。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第一章  矿山基本情况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第一节  矿山简介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</w:t>
      </w:r>
      <w:r>
        <w:rPr>
          <w:rFonts w:hint="eastAsia" w:ascii="仿宋_GB2312" w:hAnsi="仿宋" w:eastAsia="仿宋_GB2312"/>
          <w:sz w:val="28"/>
          <w:lang w:eastAsia="zh-CN"/>
        </w:rPr>
        <w:t>基本情况：</w:t>
      </w:r>
      <w:r>
        <w:rPr>
          <w:rFonts w:hint="eastAsia" w:ascii="仿宋_GB2312" w:hAnsi="仿宋" w:eastAsia="仿宋_GB2312"/>
          <w:sz w:val="28"/>
        </w:rPr>
        <w:t>简要介绍矿山企业名称、隶属关系、企业性质</w:t>
      </w:r>
      <w:r>
        <w:rPr>
          <w:rFonts w:hint="eastAsia" w:ascii="仿宋_GB2312" w:hAnsi="仿宋" w:eastAsia="仿宋_GB2312"/>
          <w:sz w:val="28"/>
          <w:lang w:eastAsia="zh-CN"/>
        </w:rPr>
        <w:t>等基本信息</w:t>
      </w:r>
      <w:r>
        <w:rPr>
          <w:rFonts w:hint="eastAsia" w:ascii="仿宋_GB2312" w:hAnsi="仿宋" w:eastAsia="仿宋_GB2312"/>
          <w:sz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</w:t>
      </w:r>
      <w:r>
        <w:rPr>
          <w:rFonts w:hint="eastAsia" w:ascii="仿宋_GB2312" w:hAnsi="仿宋" w:eastAsia="仿宋_GB2312"/>
          <w:sz w:val="28"/>
          <w:lang w:eastAsia="zh-CN"/>
        </w:rPr>
        <w:t>自然地理：介绍</w:t>
      </w:r>
      <w:r>
        <w:rPr>
          <w:rFonts w:hint="eastAsia" w:ascii="仿宋_GB2312" w:hAnsi="仿宋" w:eastAsia="仿宋_GB2312"/>
          <w:sz w:val="28"/>
        </w:rPr>
        <w:t>矿山位置、交通、自然地理概况（</w:t>
      </w:r>
      <w:r>
        <w:rPr>
          <w:rFonts w:hint="eastAsia" w:ascii="仿宋_GB2312" w:hAnsi="仿宋" w:eastAsia="仿宋_GB2312"/>
          <w:sz w:val="22"/>
          <w:szCs w:val="21"/>
        </w:rPr>
        <w:t>注：交通位置图或交通位置示意图</w:t>
      </w:r>
      <w:r>
        <w:rPr>
          <w:rFonts w:hint="eastAsia" w:ascii="仿宋_GB2312" w:hAnsi="仿宋" w:eastAsia="仿宋_GB2312"/>
          <w:sz w:val="28"/>
        </w:rPr>
        <w:t>）、外部建设条件；明确矿区位置是否涉及到各类保护区、国家公园等限制、禁止区域。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三、矿山企业开发情况</w:t>
      </w:r>
      <w:r>
        <w:rPr>
          <w:rFonts w:hint="eastAsia" w:ascii="仿宋_GB2312" w:hAnsi="仿宋" w:eastAsia="仿宋_GB2312"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包括矿山开发的历史和现状（需正常生产满一年），剩余生产服务年限；矿山累计探明及保有资源储量情况与剩余生产年限，矿山储量年报编制、审查情况；矿业权税费等的缴纳情况；矿山地质勘查程度满足生产需求情况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第二节  守法情况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矿山企业遵守相关法律、法规、产业政策、以及相关强制性标准、规范等情况；近两年绿色矿山建设期间是否有严重违法事件受到相关行政处罚（主要是自然资源部门、环保部门、安监部门），是否有重大环境污染和安全生产事故发生；是否被列入国家企业信用信息公示系统企业信用系统失信名单、矿业权人勘查开采信息公示异常名录或严重违法名单；在土地矿产年度卫片执法检查等工作中，是否存在违法违规行为</w:t>
      </w:r>
      <w:r>
        <w:rPr>
          <w:rFonts w:hint="eastAsia" w:ascii="仿宋_GB2312" w:hAnsi="仿宋" w:eastAsia="仿宋_GB2312"/>
          <w:sz w:val="28"/>
          <w:lang w:eastAsia="zh-CN"/>
        </w:rPr>
        <w:t>等</w:t>
      </w:r>
      <w:r>
        <w:rPr>
          <w:rFonts w:hint="eastAsia" w:ascii="仿宋_GB2312" w:hAnsi="仿宋" w:eastAsia="仿宋_GB2312"/>
          <w:sz w:val="28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第三节  证照齐全和合法经营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相关证照（采矿许可证、营业执照必须在有效期内；根据企业情况，若必须持有安全生产许可、排污许可等证照的，须合法、有效）是否齐全，应列举依法取得的证照（证号、有效期等相关内容）。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第二章  绿色矿山建设自评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（对照绿色矿山建设要求与行业规范按以下六项逐项进行详细评估，给出评估的意见和建议）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第一节  矿区环境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矿容矿貌：1.功能区布局。叙述矿区功能区布局的规范、合理性。整体的环境整洁美观情况、各功能分区的科学管理等方面。2.矿区环境卫生。矿区主干地面道路硬化、供水、供电、卫生、环保等配套设施；生产生活区操作提示牌、说明牌、线路示意图等标牌的设置情况；员工宿舍、食堂、澡堂、生活娱乐等设施的配套及卫生；矿区有无私搭乱建，生产、运输、储存环节的抑尘、抑噪设施及效果；生产区、生活区环境卫生等情况；生产区设备、物资材料的定点管理、堆放整齐有序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二、矿区绿化:采区周边、尾矿库周边、生活区周边绿化（不含荒漠区）与周边自然环境和景观的协调性，可绿化面积的绿化覆盖率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废石场、排土场进行的治理、复垦及绿化为主的治理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矿区专用道路两侧因地制宜的绿化及设置绿化带情况；各类绿化植物的长势情况。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第二节  资源开发方式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科学、绿色采选：1.采矿系统。矿山开拓系统（露天、地下）的建立与评审通过的开发利用方案的一致性，开拓系统的科学合理及高效性。采矿的工艺技术及装备是否采用国家鼓励、支持和推广的工艺技术及装备，其对资源利用的最大化所起的作用。开拓、采矿、运输、排水、提升等工业装备能否满足对资源的高效利用，符合资源利用高、环境破坏小的要求。2.选矿工艺。选矿的技术、工艺与装备符合清洁生产要求，选矿的工艺技术及装备是否采用国家鼓励、支持和推广的工艺技术及装备，其降低能耗、提高技术经济指标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选矿技术、工艺、设备符合清洁生产情况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对复杂难处理矿石采用的创新工艺技术等。3.采选指标。采选指标情况是否达到国家和开发利用方案的要求（建议明确具体指标数据，包括开采回采率、选矿回收率、采矿贫化率），必须满足《国土资源部关于矿产资源合理利用开发利用 “三率”指标要求（试行）公告》及《矿产资源开发利用方案》的要求。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二、矿山环境恢复与土地复垦：是否编制矿山地质环境保护与土地复垦方案，并按照方案要求进行治理和恢复，效果如何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剥土层的合理堆放与利用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采场、排土场、废石场、矿区专用道路、工业场地等的及时保护与治理情况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《矿山地质环境保护与土地复垦方案》的执行情况，矿山开采中具体的环境保护措施及实际效果，矿山地质环境与土地复垦监测情况等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三、环境管理与监测：环境保护设施的有效运转，防治废弃物的二次污染情况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针对环境监测的管理和监测人员的设置情况；对废水、尾矿、粉尘、噪音进行的动态监测。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第三节  资源综合利用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一、共伴生资源综合利用：共伴生资源与主矿种是否同时开采、同时回收利用（</w:t>
      </w:r>
      <w:r>
        <w:rPr>
          <w:rFonts w:hint="eastAsia" w:ascii="仿宋_GB2312" w:hAnsi="仿宋" w:eastAsia="仿宋_GB2312"/>
          <w:sz w:val="28"/>
          <w:lang w:eastAsia="zh-CN"/>
        </w:rPr>
        <w:t>明确</w:t>
      </w:r>
      <w:r>
        <w:rPr>
          <w:rFonts w:hint="eastAsia" w:ascii="仿宋_GB2312" w:hAnsi="仿宋" w:eastAsia="仿宋_GB2312"/>
          <w:sz w:val="28"/>
        </w:rPr>
        <w:t>综合利用率</w:t>
      </w:r>
      <w:r>
        <w:rPr>
          <w:rFonts w:hint="eastAsia" w:ascii="仿宋_GB2312" w:hAnsi="仿宋" w:eastAsia="仿宋_GB2312"/>
          <w:sz w:val="28"/>
          <w:lang w:eastAsia="zh-CN"/>
        </w:rPr>
        <w:t>数据</w:t>
      </w:r>
      <w:r>
        <w:rPr>
          <w:rFonts w:hint="eastAsia" w:ascii="仿宋_GB2312" w:hAnsi="仿宋" w:eastAsia="仿宋_GB2312"/>
          <w:sz w:val="28"/>
        </w:rPr>
        <w:t>），与开发利用方案设定的矿种的开发利用一致性；对达到有经济利用价值的共伴生资源的综合利用，发展精深加工；对暂不能开发利用矿种采取合理有效的保护措施。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二、废弃物资源化利用、促进循环经济发展</w:t>
      </w:r>
      <w:r>
        <w:rPr>
          <w:rFonts w:hint="eastAsia" w:ascii="仿宋_GB2312" w:hAnsi="仿宋" w:eastAsia="仿宋_GB2312"/>
          <w:sz w:val="22"/>
          <w:szCs w:val="21"/>
        </w:rPr>
        <w:t>（注重</w:t>
      </w:r>
      <w:r>
        <w:rPr>
          <w:rFonts w:hint="eastAsia" w:ascii="仿宋_GB2312" w:hAnsi="宋体" w:eastAsia="仿宋_GB2312"/>
          <w:sz w:val="22"/>
          <w:szCs w:val="22"/>
        </w:rPr>
        <w:t>废弃物的再利用）</w:t>
      </w:r>
      <w:r>
        <w:rPr>
          <w:rFonts w:hint="eastAsia" w:ascii="仿宋_GB2312" w:hAnsi="宋体" w:eastAsia="仿宋_GB2312"/>
          <w:sz w:val="28"/>
          <w:szCs w:val="28"/>
        </w:rPr>
        <w:t>：矿山废弃物的再利用，并根据实际，开展矿山各部门之间，以及与周边企业循环经济模式。对废气、固废（废石和尾矿）、废水的再利用情况（量化三年以来采（选）矿废水的利用率、固体废弃物的处置率）；</w:t>
      </w:r>
      <w:r>
        <w:rPr>
          <w:rFonts w:hint="eastAsia" w:ascii="仿宋_GB2312" w:hAnsi="仿宋" w:eastAsia="仿宋_GB2312"/>
          <w:sz w:val="28"/>
        </w:rPr>
        <w:t>建立固废综合利用与加工系统，通过合理有效的方式充分利用。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第四节  节能减排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一、节能降耗：建立矿山单位电耗、能耗及水耗台账及核算体系。单位能耗（电耗、水耗、物耗）情况，降低单位能耗</w:t>
      </w:r>
      <w:r>
        <w:rPr>
          <w:rFonts w:hint="eastAsia" w:ascii="仿宋_GB2312" w:hAnsi="宋体" w:eastAsia="仿宋_GB2312"/>
          <w:sz w:val="28"/>
          <w:szCs w:val="28"/>
        </w:rPr>
        <w:t>（节能、节水、节电）</w:t>
      </w:r>
      <w:r>
        <w:rPr>
          <w:rFonts w:hint="eastAsia" w:ascii="仿宋_GB2312" w:hAnsi="仿宋" w:eastAsia="仿宋_GB2312"/>
          <w:sz w:val="28"/>
        </w:rPr>
        <w:t>采取的措施及效果。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b/>
          <w:sz w:val="28"/>
        </w:rPr>
        <w:t>二、</w:t>
      </w:r>
      <w:r>
        <w:rPr>
          <w:rFonts w:hint="eastAsia" w:ascii="仿宋_GB2312" w:hAnsi="仿宋" w:eastAsia="仿宋_GB2312"/>
          <w:sz w:val="28"/>
        </w:rPr>
        <w:t>“三废”减排与监测</w:t>
      </w:r>
      <w:r>
        <w:rPr>
          <w:rFonts w:hint="eastAsia" w:ascii="仿宋_GB2312" w:hAnsi="仿宋" w:eastAsia="仿宋_GB2312"/>
          <w:sz w:val="22"/>
          <w:szCs w:val="21"/>
        </w:rPr>
        <w:t>（注重废弃物的</w:t>
      </w:r>
      <w:r>
        <w:rPr>
          <w:rFonts w:hint="eastAsia" w:ascii="仿宋_GB2312" w:hAnsi="仿宋" w:eastAsia="仿宋_GB2312"/>
          <w:sz w:val="22"/>
          <w:szCs w:val="21"/>
          <w:lang w:eastAsia="zh-CN"/>
        </w:rPr>
        <w:t>达标</w:t>
      </w:r>
      <w:r>
        <w:rPr>
          <w:rFonts w:hint="eastAsia" w:ascii="仿宋_GB2312" w:hAnsi="仿宋" w:eastAsia="仿宋_GB2312"/>
          <w:sz w:val="22"/>
          <w:szCs w:val="21"/>
        </w:rPr>
        <w:t>排放及无害化处理）</w:t>
      </w:r>
      <w:r>
        <w:rPr>
          <w:rFonts w:hint="eastAsia" w:ascii="仿宋_GB2312" w:hAnsi="仿宋" w:eastAsia="仿宋_GB2312"/>
          <w:sz w:val="28"/>
        </w:rPr>
        <w:t>：1.粉尘排放。各生产过程中的抑尘措施、有效控制排放。２.废水排放。是否建立废水处理站集中处理，设备的运行情况及效果；针对矿区易产生废水地区和环节产生废水的达标合理排放。3.固废排放。废石的排放措施及落实情况，尾矿的排放、露天剥离层的排放场所后期的治理复垦；生活垃圾的分类、无害化处理情况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第五节  科技创新与数字化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bCs/>
          <w:sz w:val="28"/>
          <w:lang w:val="en-US" w:eastAsia="zh-CN"/>
        </w:rPr>
        <w:t>一、</w:t>
      </w:r>
      <w:r>
        <w:rPr>
          <w:rFonts w:hint="eastAsia" w:ascii="仿宋_GB2312" w:hAnsi="仿宋" w:eastAsia="仿宋_GB2312"/>
          <w:bCs/>
          <w:sz w:val="28"/>
        </w:rPr>
        <w:t>科技创新</w:t>
      </w:r>
      <w:r>
        <w:rPr>
          <w:rFonts w:hint="eastAsia" w:ascii="仿宋_GB2312" w:hAnsi="仿宋" w:eastAsia="仿宋_GB2312"/>
          <w:bCs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企业产学研用建设、科研团队的建设及管理；高新技术企业、专利、论文等；开展支撑绿色发展的技术研究和技术改造；技改投入及技改投入财务科目</w:t>
      </w:r>
      <w:r>
        <w:rPr>
          <w:rFonts w:hint="eastAsia" w:ascii="仿宋_GB2312" w:hAnsi="仿宋" w:eastAsia="仿宋_GB2312"/>
          <w:sz w:val="28"/>
          <w:lang w:eastAsia="zh-CN"/>
        </w:rPr>
        <w:t>的建立</w:t>
      </w:r>
      <w:r>
        <w:rPr>
          <w:rFonts w:hint="eastAsia" w:ascii="仿宋_GB2312" w:hAnsi="仿宋" w:eastAsia="仿宋_GB2312"/>
          <w:sz w:val="28"/>
        </w:rPr>
        <w:t>，科技投入占上年度主营业务收入的百分比。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eastAsia="zh-CN"/>
        </w:rPr>
        <w:t>二、</w:t>
      </w:r>
      <w:r>
        <w:rPr>
          <w:rFonts w:hint="eastAsia" w:ascii="仿宋_GB2312" w:hAnsi="仿宋" w:eastAsia="仿宋_GB2312"/>
          <w:sz w:val="28"/>
        </w:rPr>
        <w:t>数字化矿山建设</w:t>
      </w:r>
      <w:r>
        <w:rPr>
          <w:rFonts w:hint="eastAsia" w:ascii="仿宋_GB2312" w:hAnsi="仿宋" w:eastAsia="仿宋_GB2312"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生产设备的现代化、数字化；设备的远程、自动化、集中控制</w:t>
      </w:r>
      <w:r>
        <w:rPr>
          <w:rFonts w:hint="eastAsia" w:ascii="仿宋_GB2312" w:hAnsi="仿宋" w:eastAsia="仿宋_GB2312"/>
          <w:sz w:val="28"/>
          <w:lang w:eastAsia="zh-CN"/>
        </w:rPr>
        <w:t>，</w:t>
      </w:r>
      <w:r>
        <w:rPr>
          <w:rFonts w:hint="eastAsia" w:ascii="仿宋_GB2312" w:hAnsi="仿宋" w:eastAsia="仿宋_GB2312"/>
          <w:sz w:val="28"/>
        </w:rPr>
        <w:t>无人值守工作面建设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r>
        <w:rPr>
          <w:rFonts w:hint="eastAsia" w:ascii="仿宋_GB2312" w:hAnsi="仿宋" w:eastAsia="仿宋_GB2312"/>
          <w:sz w:val="28"/>
        </w:rPr>
        <w:t>储量管理软件及执行；远程视频监控系统的建设及应用；露天采场、排土场边坡稳定性的监测。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eastAsia="zh-CN"/>
        </w:rPr>
        <w:t>三、</w:t>
      </w:r>
      <w:r>
        <w:rPr>
          <w:rFonts w:hint="eastAsia" w:ascii="仿宋_GB2312" w:hAnsi="仿宋" w:eastAsia="仿宋_GB2312"/>
          <w:bCs/>
          <w:sz w:val="28"/>
        </w:rPr>
        <w:t>信息化管理</w:t>
      </w:r>
      <w:r>
        <w:rPr>
          <w:rFonts w:hint="eastAsia" w:ascii="仿宋_GB2312" w:hAnsi="仿宋" w:eastAsia="仿宋_GB2312"/>
          <w:bCs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信息网络系统建设、过程控制系统、业务处理、企业管理与现代化网络系统相结合。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bCs/>
          <w:sz w:val="28"/>
        </w:rPr>
      </w:pPr>
      <w:r>
        <w:rPr>
          <w:rFonts w:hint="eastAsia" w:ascii="仿宋_GB2312" w:hAnsi="仿宋" w:eastAsia="仿宋_GB2312"/>
          <w:b/>
          <w:bCs/>
          <w:sz w:val="28"/>
        </w:rPr>
        <w:t>第六节  企业管理及企业形象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规范管理：1.矿山企业组织机构。矿山企业在绿色矿山建设、资源管理、生态环境保护、安全生产、节能减排、科技创新等方面成立的相关组织或机构。2.规章制度建设和执行。包括基本管理、业务管理、专业管理（包含财务）、节能降耗及个人行为规范、矿山生产、运输、储存</w:t>
      </w:r>
      <w:r>
        <w:rPr>
          <w:rFonts w:hint="eastAsia" w:ascii="仿宋_GB2312" w:hAnsi="仿宋" w:eastAsia="仿宋_GB2312"/>
          <w:sz w:val="28"/>
          <w:lang w:eastAsia="zh-CN"/>
        </w:rPr>
        <w:t>，节能减排</w:t>
      </w:r>
      <w:r>
        <w:rPr>
          <w:rFonts w:hint="eastAsia" w:ascii="仿宋_GB2312" w:hAnsi="仿宋" w:eastAsia="仿宋_GB2312"/>
          <w:sz w:val="28"/>
        </w:rPr>
        <w:t>等方面建立的规章制度及执行效果；</w:t>
      </w:r>
      <w:r>
        <w:rPr>
          <w:rFonts w:hint="eastAsia" w:ascii="仿宋_GB2312" w:hAnsi="仿宋" w:eastAsia="仿宋_GB2312"/>
          <w:sz w:val="28"/>
          <w:lang w:eastAsia="zh-CN"/>
        </w:rPr>
        <w:t>员工的目视化管理；</w:t>
      </w:r>
      <w:r>
        <w:rPr>
          <w:rFonts w:hint="eastAsia" w:ascii="仿宋_GB2312" w:hAnsi="仿宋" w:eastAsia="仿宋_GB2312"/>
          <w:sz w:val="28"/>
        </w:rPr>
        <w:t>确保矿山管理实现科学化，制度化等。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bCs/>
          <w:sz w:val="28"/>
        </w:rPr>
        <w:t>二、企业文化：</w:t>
      </w:r>
      <w:r>
        <w:rPr>
          <w:rFonts w:hint="eastAsia" w:ascii="仿宋_GB2312" w:hAnsi="仿宋" w:eastAsia="仿宋_GB2312"/>
          <w:sz w:val="28"/>
        </w:rPr>
        <w:t>建立以人为本、创新发展、行为规范、高效安全、生态文明、绿色发展的企业文化；具有明确发展愿景，且符合全员职工和社会共同追求的目标，发展战略和价值观</w:t>
      </w:r>
      <w:r>
        <w:rPr>
          <w:rFonts w:hint="eastAsia" w:ascii="仿宋_GB2312" w:hAnsi="仿宋" w:eastAsia="仿宋_GB2312"/>
          <w:sz w:val="28"/>
          <w:lang w:eastAsia="zh-CN"/>
        </w:rPr>
        <w:t>及其与</w:t>
      </w:r>
      <w:r>
        <w:rPr>
          <w:rFonts w:hint="eastAsia" w:ascii="仿宋_GB2312" w:hAnsi="仿宋" w:eastAsia="仿宋_GB2312"/>
          <w:sz w:val="28"/>
        </w:rPr>
        <w:t>职工利益紧密结合</w:t>
      </w:r>
      <w:r>
        <w:rPr>
          <w:rFonts w:hint="eastAsia" w:ascii="仿宋_GB2312" w:hAnsi="仿宋" w:eastAsia="仿宋_GB2312"/>
          <w:sz w:val="28"/>
          <w:lang w:eastAsia="zh-CN"/>
        </w:rPr>
        <w:t>情况</w:t>
      </w:r>
      <w:r>
        <w:rPr>
          <w:rFonts w:hint="eastAsia" w:ascii="仿宋_GB2312" w:hAnsi="仿宋" w:eastAsia="仿宋_GB2312"/>
          <w:sz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bCs/>
          <w:sz w:val="28"/>
        </w:rPr>
        <w:t>三、企业诚信：</w:t>
      </w:r>
      <w:r>
        <w:rPr>
          <w:rFonts w:hint="eastAsia" w:ascii="仿宋_GB2312" w:hAnsi="仿宋" w:eastAsia="仿宋_GB2312"/>
          <w:sz w:val="28"/>
        </w:rPr>
        <w:t>企业经营、生产生活等过程中坚守诚信，履行矿业权人信息公示义务等方面公示公开信息情况。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bCs/>
          <w:sz w:val="28"/>
        </w:rPr>
        <w:t>四、履行社会责任和企地和谐：1.</w:t>
      </w:r>
      <w:r>
        <w:rPr>
          <w:rFonts w:hint="eastAsia" w:ascii="仿宋_GB2312" w:hAnsi="仿宋" w:eastAsia="仿宋_GB2312"/>
          <w:sz w:val="28"/>
        </w:rPr>
        <w:t>企地和谐。构建企地共建、利益共享、共同和谐发展的理念，制定具体社区服务计划，有针对性地采取具体的措施，保证当地农牧民生产生活水平得到提高，促进社区和谐稳定。2.履行社会责任。企业每年进行的履行社会责任方面的义务，开展扶贫及公益活动，投入、效果情况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第三章  绿色矿山创建亮点与成效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sz w:val="28"/>
        </w:rPr>
      </w:pPr>
      <w:r>
        <w:rPr>
          <w:rFonts w:hint="eastAsia" w:ascii="仿宋_GB2312" w:hAnsi="仿宋" w:eastAsia="仿宋_GB2312"/>
          <w:b/>
          <w:sz w:val="28"/>
        </w:rPr>
        <w:t>第一节  建设亮点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结合地域、行业和企业生产实际，总结矿山绿色矿山建设中突出的亮点和做法。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sz w:val="28"/>
        </w:rPr>
      </w:pPr>
      <w:r>
        <w:rPr>
          <w:rFonts w:hint="eastAsia" w:ascii="仿宋_GB2312" w:hAnsi="仿宋" w:eastAsia="仿宋_GB2312"/>
          <w:b/>
          <w:sz w:val="28"/>
        </w:rPr>
        <w:t>第二节 经验总结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系统总结绿色矿山建设经验；探索有利于我省</w:t>
      </w:r>
      <w:r>
        <w:rPr>
          <w:rFonts w:hint="eastAsia" w:ascii="仿宋_GB2312" w:hAnsi="仿宋" w:eastAsia="仿宋_GB2312"/>
          <w:sz w:val="28"/>
          <w:lang w:eastAsia="zh-CN"/>
        </w:rPr>
        <w:t>绿色矿山建设</w:t>
      </w:r>
      <w:r>
        <w:rPr>
          <w:rFonts w:hint="eastAsia" w:ascii="仿宋_GB2312" w:hAnsi="仿宋" w:eastAsia="仿宋_GB2312"/>
          <w:sz w:val="28"/>
        </w:rPr>
        <w:t>的措施</w:t>
      </w:r>
      <w:r>
        <w:rPr>
          <w:rFonts w:hint="eastAsia" w:ascii="仿宋_GB2312" w:hAnsi="仿宋" w:eastAsia="仿宋_GB2312"/>
          <w:sz w:val="28"/>
          <w:lang w:eastAsia="zh-CN"/>
        </w:rPr>
        <w:t>建议</w:t>
      </w:r>
      <w:r>
        <w:rPr>
          <w:rFonts w:hint="eastAsia" w:ascii="仿宋_GB2312" w:hAnsi="仿宋" w:eastAsia="仿宋_GB2312"/>
          <w:sz w:val="28"/>
        </w:rPr>
        <w:t>和管理措施。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第四章  自评结论和下一步设想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sz w:val="28"/>
        </w:rPr>
      </w:pPr>
      <w:r>
        <w:rPr>
          <w:rFonts w:hint="eastAsia" w:ascii="仿宋_GB2312" w:hAnsi="仿宋" w:eastAsia="仿宋_GB2312"/>
          <w:b/>
          <w:sz w:val="28"/>
        </w:rPr>
        <w:t>第一节 自评结论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对矿山是否符合绿色矿山建设要求和行业标准，是否通过评估，给出明确的结论性意见。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_GB2312" w:hAnsi="仿宋" w:eastAsia="仿宋_GB2312"/>
          <w:b/>
          <w:sz w:val="28"/>
        </w:rPr>
      </w:pPr>
      <w:r>
        <w:rPr>
          <w:rFonts w:hint="eastAsia" w:ascii="仿宋_GB2312" w:hAnsi="仿宋" w:eastAsia="仿宋_GB2312"/>
          <w:b/>
          <w:sz w:val="28"/>
        </w:rPr>
        <w:t>第二节 下一步设想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简述绿色矿山建设中遇到的困难和存在的主要间题</w:t>
      </w:r>
      <w:r>
        <w:rPr>
          <w:rFonts w:hint="eastAsia" w:ascii="仿宋_GB2312" w:hAnsi="仿宋" w:eastAsia="仿宋_GB2312"/>
          <w:sz w:val="28"/>
          <w:lang w:eastAsia="zh-CN"/>
        </w:rPr>
        <w:t>；</w:t>
      </w:r>
      <w:bookmarkStart w:id="0" w:name="_GoBack"/>
      <w:bookmarkEnd w:id="0"/>
      <w:r>
        <w:rPr>
          <w:rFonts w:hint="eastAsia" w:ascii="仿宋_GB2312" w:hAnsi="仿宋" w:eastAsia="仿宋_GB2312"/>
          <w:sz w:val="28"/>
        </w:rPr>
        <w:t>针对不足提出下一步绿色矿山建设需要注意的问题、设想及建议。</w:t>
      </w:r>
    </w:p>
    <w:p>
      <w:pPr>
        <w:adjustRightInd w:val="0"/>
        <w:snapToGrid w:val="0"/>
        <w:spacing w:line="360" w:lineRule="auto"/>
        <w:ind w:firstLine="643" w:firstLineChars="200"/>
        <w:jc w:val="center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第五章  相关证明材料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1、相关证照复印件，包括企业法人营业执照、采矿许可证、安全生产许可证等相关材料复印件。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2、其他证明材料复印件，包括矿山地质环境恢复保证金缴存相关证明、税务缴纳，履行社会义务等。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3、以图片加说明的形式提供矿山企业创建绿色矿山的成效（建议加强创建前后对比情况图册资料）。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4、有条件的企业，可提供展现整体面貌的影像资料。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5、各类证明材料需要加盖矿山企业公章。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6、矿山企业和自评估单位关于资料真反映实性的承诺书（加盖公章）。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0986345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7C42"/>
    <w:rsid w:val="00083D20"/>
    <w:rsid w:val="000C6689"/>
    <w:rsid w:val="001D7A5A"/>
    <w:rsid w:val="002272DF"/>
    <w:rsid w:val="005323EF"/>
    <w:rsid w:val="005816A0"/>
    <w:rsid w:val="00611585"/>
    <w:rsid w:val="00685D2D"/>
    <w:rsid w:val="006B079A"/>
    <w:rsid w:val="00723803"/>
    <w:rsid w:val="00764A3F"/>
    <w:rsid w:val="0084055C"/>
    <w:rsid w:val="00864637"/>
    <w:rsid w:val="008979BA"/>
    <w:rsid w:val="0098029A"/>
    <w:rsid w:val="009F0497"/>
    <w:rsid w:val="00A15774"/>
    <w:rsid w:val="00A61D9E"/>
    <w:rsid w:val="00A71676"/>
    <w:rsid w:val="00A71803"/>
    <w:rsid w:val="00AA1594"/>
    <w:rsid w:val="00B03B0C"/>
    <w:rsid w:val="00BA670F"/>
    <w:rsid w:val="00C208C9"/>
    <w:rsid w:val="00C81CB8"/>
    <w:rsid w:val="00CC47EB"/>
    <w:rsid w:val="00D06443"/>
    <w:rsid w:val="00D274C4"/>
    <w:rsid w:val="00E75816"/>
    <w:rsid w:val="00E838D2"/>
    <w:rsid w:val="00EB2C64"/>
    <w:rsid w:val="00F35554"/>
    <w:rsid w:val="03791A08"/>
    <w:rsid w:val="037E29CF"/>
    <w:rsid w:val="051A44B0"/>
    <w:rsid w:val="06EE03EB"/>
    <w:rsid w:val="07572AE3"/>
    <w:rsid w:val="0780724E"/>
    <w:rsid w:val="07C87465"/>
    <w:rsid w:val="082911D2"/>
    <w:rsid w:val="0D7014DD"/>
    <w:rsid w:val="0FFF5034"/>
    <w:rsid w:val="13003A14"/>
    <w:rsid w:val="13583E03"/>
    <w:rsid w:val="13F611C6"/>
    <w:rsid w:val="18C720D4"/>
    <w:rsid w:val="19627EEE"/>
    <w:rsid w:val="1A527479"/>
    <w:rsid w:val="1BBF26A0"/>
    <w:rsid w:val="1F19337A"/>
    <w:rsid w:val="1FD03019"/>
    <w:rsid w:val="27C45DD5"/>
    <w:rsid w:val="29443684"/>
    <w:rsid w:val="296E2C11"/>
    <w:rsid w:val="2A693D96"/>
    <w:rsid w:val="2ABB538B"/>
    <w:rsid w:val="2AD04E80"/>
    <w:rsid w:val="2C4B20EF"/>
    <w:rsid w:val="2E177F97"/>
    <w:rsid w:val="2EC81BA1"/>
    <w:rsid w:val="305C5A86"/>
    <w:rsid w:val="3108404C"/>
    <w:rsid w:val="31FD5ABA"/>
    <w:rsid w:val="3266129E"/>
    <w:rsid w:val="33EA4FA7"/>
    <w:rsid w:val="34BB744B"/>
    <w:rsid w:val="3CD61ED9"/>
    <w:rsid w:val="40CE0C6D"/>
    <w:rsid w:val="414D4B9E"/>
    <w:rsid w:val="426016C1"/>
    <w:rsid w:val="42917B95"/>
    <w:rsid w:val="438F6B00"/>
    <w:rsid w:val="460D5184"/>
    <w:rsid w:val="46501280"/>
    <w:rsid w:val="46C615B1"/>
    <w:rsid w:val="47902744"/>
    <w:rsid w:val="4A1A0707"/>
    <w:rsid w:val="4B721E03"/>
    <w:rsid w:val="4C102287"/>
    <w:rsid w:val="4D197C42"/>
    <w:rsid w:val="4E1F2D4D"/>
    <w:rsid w:val="50984089"/>
    <w:rsid w:val="5271621F"/>
    <w:rsid w:val="54CD48EF"/>
    <w:rsid w:val="5B3B2655"/>
    <w:rsid w:val="5D062DA8"/>
    <w:rsid w:val="5D3641CE"/>
    <w:rsid w:val="5FEE6098"/>
    <w:rsid w:val="60D44C84"/>
    <w:rsid w:val="60F05F96"/>
    <w:rsid w:val="61BD3321"/>
    <w:rsid w:val="623F084D"/>
    <w:rsid w:val="62F8327B"/>
    <w:rsid w:val="62FA0C05"/>
    <w:rsid w:val="633A5B8A"/>
    <w:rsid w:val="637B5599"/>
    <w:rsid w:val="65425AC0"/>
    <w:rsid w:val="65C9004D"/>
    <w:rsid w:val="66EE7955"/>
    <w:rsid w:val="67637CB2"/>
    <w:rsid w:val="6866089D"/>
    <w:rsid w:val="68972FB9"/>
    <w:rsid w:val="69EB6BA6"/>
    <w:rsid w:val="6B1F7BD0"/>
    <w:rsid w:val="6D94567F"/>
    <w:rsid w:val="6DEB16C7"/>
    <w:rsid w:val="6EFE39E9"/>
    <w:rsid w:val="6F867063"/>
    <w:rsid w:val="729A68A0"/>
    <w:rsid w:val="7617536C"/>
    <w:rsid w:val="770D5070"/>
    <w:rsid w:val="783A5D56"/>
    <w:rsid w:val="7BF704EF"/>
    <w:rsid w:val="7D352544"/>
    <w:rsid w:val="7F82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8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C406F0-F121-4FFC-AAAE-9262875232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规划院</Company>
  <Pages>6</Pages>
  <Words>3427</Words>
  <Characters>102</Characters>
  <Lines>1</Lines>
  <Paragraphs>7</Paragraphs>
  <ScaleCrop>false</ScaleCrop>
  <LinksUpToDate>false</LinksUpToDate>
  <CharactersWithSpaces>3522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2020-03-20T02:55:00Z</dcterms:created>
  <dc:creator>NTKO</dc:creator>
  <cp:lastModifiedBy>NTKO</cp:lastModifiedBy>
  <cp:lastPrinted>2020-03-24T07:54:00Z</cp:lastPrinted>
  <dcterms:modified xsi:type="dcterms:W3CDTF">2020-03-24T09:42:36Z</dcterms:modified>
  <dc:title>绿色矿山建设自评报告提纲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