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3D3" w:rsidRPr="0041253F" w:rsidRDefault="000D13D3" w:rsidP="000D13D3">
      <w:pPr>
        <w:spacing w:line="480" w:lineRule="auto"/>
        <w:ind w:firstLineChars="196" w:firstLine="470"/>
        <w:rPr>
          <w:rFonts w:asciiTheme="minorEastAsia" w:eastAsiaTheme="minorEastAsia" w:hAnsiTheme="minorEastAsia"/>
          <w:sz w:val="24"/>
        </w:rPr>
      </w:pPr>
      <w:r w:rsidRPr="0041253F">
        <w:rPr>
          <w:rFonts w:asciiTheme="minorEastAsia" w:eastAsiaTheme="minorEastAsia" w:hAnsiTheme="minorEastAsia" w:hint="eastAsia"/>
          <w:sz w:val="24"/>
        </w:rPr>
        <w:t>根据洛阳市土地市场行情，遵照《城市地价动态监测技术规范》、《城市地价动态监测系统运行方案与要求》，采用市场资料分析、综合评介等方法以及建立GIS监测点（标准宗地），收集城市内不同区段、不同类型土地价格及相关数据，运用地价评估方法，对城市地价现状进行调查和观测，然后以系列地价监测指标对城市地价进行全面描述，通过不同时期地价监测指标对比，对洛阳市地价变化状况作出基本的分析和判断，最后得出相关信息并向社会发布。</w:t>
      </w:r>
    </w:p>
    <w:p w:rsidR="000D13D3" w:rsidRPr="0041253F" w:rsidRDefault="000D13D3" w:rsidP="000D13D3">
      <w:pPr>
        <w:spacing w:line="480" w:lineRule="auto"/>
        <w:jc w:val="center"/>
        <w:outlineLvl w:val="2"/>
        <w:rPr>
          <w:rFonts w:asciiTheme="minorEastAsia" w:eastAsiaTheme="minorEastAsia" w:hAnsiTheme="minorEastAsia"/>
          <w:b/>
          <w:sz w:val="24"/>
        </w:rPr>
      </w:pPr>
      <w:bookmarkStart w:id="0" w:name="_Toc497052721"/>
      <w:bookmarkStart w:id="1" w:name="_Toc531786741"/>
      <w:r w:rsidRPr="0041253F">
        <w:rPr>
          <w:rFonts w:asciiTheme="minorEastAsia" w:eastAsiaTheme="minorEastAsia" w:hAnsiTheme="minorEastAsia" w:hint="eastAsia"/>
          <w:b/>
          <w:sz w:val="24"/>
        </w:rPr>
        <w:t>1、第一阶段（收集基础资料、确定监测范围、划分地价区段）</w:t>
      </w:r>
      <w:bookmarkEnd w:id="0"/>
      <w:bookmarkEnd w:id="1"/>
    </w:p>
    <w:p w:rsidR="000D13D3" w:rsidRPr="0041253F" w:rsidRDefault="000D13D3" w:rsidP="000D13D3">
      <w:pPr>
        <w:spacing w:line="480" w:lineRule="auto"/>
        <w:ind w:firstLineChars="196" w:firstLine="470"/>
        <w:rPr>
          <w:rFonts w:asciiTheme="minorEastAsia" w:eastAsiaTheme="minorEastAsia" w:hAnsiTheme="minorEastAsia"/>
          <w:sz w:val="24"/>
        </w:rPr>
      </w:pPr>
      <w:r w:rsidRPr="0041253F">
        <w:rPr>
          <w:rFonts w:asciiTheme="minorEastAsia" w:eastAsiaTheme="minorEastAsia" w:hAnsiTheme="minorEastAsia" w:hint="eastAsia"/>
          <w:sz w:val="24"/>
        </w:rPr>
        <w:t>一般资料的采集方法如下：</w:t>
      </w:r>
    </w:p>
    <w:p w:rsidR="000D13D3" w:rsidRPr="0041253F" w:rsidRDefault="000D13D3" w:rsidP="000D13D3">
      <w:pPr>
        <w:spacing w:line="480" w:lineRule="auto"/>
        <w:ind w:firstLineChars="196" w:firstLine="470"/>
        <w:rPr>
          <w:rFonts w:asciiTheme="minorEastAsia" w:eastAsiaTheme="minorEastAsia" w:hAnsiTheme="minorEastAsia"/>
          <w:sz w:val="24"/>
        </w:rPr>
      </w:pPr>
      <w:r w:rsidRPr="0041253F">
        <w:rPr>
          <w:rFonts w:asciiTheme="minorEastAsia" w:eastAsiaTheme="minorEastAsia" w:hAnsiTheme="minorEastAsia" w:hint="eastAsia"/>
          <w:sz w:val="24"/>
        </w:rPr>
        <w:t>土地供需资料、城市基准地价资料主要通过资料查询和实地调查相结合的方式采集。采集的渠道主要是国土资源管理部门；</w:t>
      </w:r>
      <w:r w:rsidRPr="0041253F">
        <w:rPr>
          <w:rFonts w:asciiTheme="minorEastAsia" w:eastAsiaTheme="minorEastAsia" w:hAnsiTheme="minorEastAsia" w:hint="cs"/>
          <w:sz w:val="24"/>
        </w:rPr>
        <w:t> </w:t>
      </w:r>
    </w:p>
    <w:p w:rsidR="000D13D3" w:rsidRPr="0041253F" w:rsidRDefault="000D13D3" w:rsidP="000D13D3">
      <w:pPr>
        <w:spacing w:line="480" w:lineRule="auto"/>
        <w:ind w:firstLineChars="196" w:firstLine="470"/>
        <w:rPr>
          <w:rFonts w:asciiTheme="minorEastAsia" w:eastAsiaTheme="minorEastAsia" w:hAnsiTheme="minorEastAsia"/>
          <w:sz w:val="24"/>
        </w:rPr>
      </w:pPr>
      <w:r w:rsidRPr="0041253F">
        <w:rPr>
          <w:rFonts w:asciiTheme="minorEastAsia" w:eastAsiaTheme="minorEastAsia" w:hAnsiTheme="minorEastAsia" w:hint="eastAsia"/>
          <w:sz w:val="24"/>
        </w:rPr>
        <w:t>房屋供需资料主要也是通过资料查询和实地调查结合的方式采集。采集的渠道主要是房地产管理部门；</w:t>
      </w:r>
      <w:r w:rsidRPr="0041253F">
        <w:rPr>
          <w:rFonts w:asciiTheme="minorEastAsia" w:eastAsiaTheme="minorEastAsia" w:hAnsiTheme="minorEastAsia" w:hint="cs"/>
          <w:sz w:val="24"/>
        </w:rPr>
        <w:t> </w:t>
      </w:r>
    </w:p>
    <w:p w:rsidR="000D13D3" w:rsidRPr="0041253F" w:rsidRDefault="000D13D3" w:rsidP="000D13D3">
      <w:pPr>
        <w:spacing w:line="480" w:lineRule="auto"/>
        <w:ind w:firstLineChars="196" w:firstLine="470"/>
        <w:rPr>
          <w:rFonts w:asciiTheme="minorEastAsia" w:eastAsiaTheme="minorEastAsia" w:hAnsiTheme="minorEastAsia"/>
          <w:sz w:val="24"/>
        </w:rPr>
      </w:pPr>
      <w:r w:rsidRPr="0041253F">
        <w:rPr>
          <w:rFonts w:asciiTheme="minorEastAsia" w:eastAsiaTheme="minorEastAsia" w:hAnsiTheme="minorEastAsia" w:hint="eastAsia"/>
          <w:sz w:val="24"/>
        </w:rPr>
        <w:t>城市社会经济统计资料主要通过资料查询的方式采集。采集的渠道主要是统计部门和相关管理部门。</w:t>
      </w:r>
      <w:r w:rsidRPr="0041253F">
        <w:rPr>
          <w:rFonts w:asciiTheme="minorEastAsia" w:eastAsiaTheme="minorEastAsia" w:hAnsiTheme="minorEastAsia" w:hint="cs"/>
          <w:sz w:val="24"/>
        </w:rPr>
        <w:t> </w:t>
      </w:r>
    </w:p>
    <w:p w:rsidR="000D13D3" w:rsidRPr="0041253F" w:rsidRDefault="000D13D3" w:rsidP="000D13D3">
      <w:pPr>
        <w:spacing w:line="480" w:lineRule="auto"/>
        <w:ind w:firstLineChars="196" w:firstLine="470"/>
        <w:rPr>
          <w:rFonts w:asciiTheme="minorEastAsia" w:eastAsiaTheme="minorEastAsia" w:hAnsiTheme="minorEastAsia"/>
          <w:sz w:val="24"/>
        </w:rPr>
      </w:pPr>
      <w:r w:rsidRPr="0041253F">
        <w:rPr>
          <w:rFonts w:asciiTheme="minorEastAsia" w:eastAsiaTheme="minorEastAsia" w:hAnsiTheme="minorEastAsia" w:hint="eastAsia"/>
          <w:sz w:val="24"/>
        </w:rPr>
        <w:t>城市一般资料每年度采集一次。</w:t>
      </w:r>
    </w:p>
    <w:p w:rsidR="000D13D3" w:rsidRPr="0041253F" w:rsidRDefault="000D13D3" w:rsidP="000D13D3">
      <w:pPr>
        <w:spacing w:line="480" w:lineRule="auto"/>
        <w:ind w:firstLineChars="196" w:firstLine="470"/>
        <w:rPr>
          <w:rFonts w:asciiTheme="minorEastAsia" w:eastAsiaTheme="minorEastAsia" w:hAnsiTheme="minorEastAsia"/>
          <w:sz w:val="24"/>
        </w:rPr>
      </w:pPr>
      <w:r w:rsidRPr="0041253F">
        <w:rPr>
          <w:rFonts w:asciiTheme="minorEastAsia" w:eastAsiaTheme="minorEastAsia" w:hAnsiTheme="minorEastAsia" w:hint="eastAsia"/>
          <w:sz w:val="24"/>
        </w:rPr>
        <w:t xml:space="preserve">在设立并维护标准宗地的基础上，按要求采集、报送地价动态监测信息，同时进行监测信息的建档建库管理。具体要求如下： </w:t>
      </w:r>
      <w:r w:rsidRPr="0041253F">
        <w:rPr>
          <w:rFonts w:asciiTheme="minorEastAsia" w:eastAsiaTheme="minorEastAsia" w:hAnsiTheme="minorEastAsia" w:hint="eastAsia"/>
          <w:sz w:val="24"/>
        </w:rPr>
        <w:br/>
        <w:t>监测信息采集</w:t>
      </w:r>
      <w:r w:rsidRPr="0041253F">
        <w:rPr>
          <w:rFonts w:asciiTheme="minorEastAsia" w:eastAsiaTheme="minorEastAsia" w:hAnsiTheme="minorEastAsia" w:hint="eastAsia"/>
          <w:sz w:val="24"/>
        </w:rPr>
        <w:br/>
        <w:t xml:space="preserve">    承担标准宗地价格信息采集的土地估价师负责标准宗地的日常维护与季度、年度监测信息采集。每宗标准宗地分别由两名土地估价师独立完成信息采集和报送工作。</w:t>
      </w:r>
    </w:p>
    <w:p w:rsidR="000D13D3" w:rsidRPr="0041253F" w:rsidRDefault="000D13D3" w:rsidP="000D13D3">
      <w:pPr>
        <w:spacing w:line="480" w:lineRule="auto"/>
        <w:ind w:left="480" w:hangingChars="200" w:hanging="480"/>
        <w:rPr>
          <w:rFonts w:asciiTheme="minorEastAsia" w:eastAsiaTheme="minorEastAsia" w:hAnsiTheme="minorEastAsia"/>
          <w:sz w:val="24"/>
        </w:rPr>
      </w:pPr>
      <w:r w:rsidRPr="0041253F">
        <w:rPr>
          <w:rFonts w:asciiTheme="minorEastAsia" w:eastAsiaTheme="minorEastAsia" w:hAnsiTheme="minorEastAsia" w:hint="eastAsia"/>
          <w:sz w:val="24"/>
        </w:rPr>
        <w:t>标准宗地地价信息采集</w:t>
      </w:r>
      <w:r w:rsidRPr="0041253F">
        <w:rPr>
          <w:rFonts w:asciiTheme="minorEastAsia" w:eastAsiaTheme="minorEastAsia" w:hAnsiTheme="minorEastAsia" w:hint="eastAsia"/>
          <w:sz w:val="24"/>
        </w:rPr>
        <w:br/>
      </w:r>
      <w:r w:rsidRPr="0041253F">
        <w:rPr>
          <w:rFonts w:asciiTheme="minorEastAsia" w:eastAsiaTheme="minorEastAsia" w:hAnsiTheme="minorEastAsia" w:hint="eastAsia"/>
          <w:sz w:val="24"/>
        </w:rPr>
        <w:lastRenderedPageBreak/>
        <w:t>第二、四季度标准宗地地价动态监测信息全样本采集各一次，地价评估基准</w:t>
      </w:r>
    </w:p>
    <w:p w:rsidR="000D13D3" w:rsidRPr="0041253F" w:rsidRDefault="000D13D3" w:rsidP="000D13D3">
      <w:pPr>
        <w:spacing w:line="480" w:lineRule="auto"/>
        <w:ind w:left="480" w:hangingChars="200" w:hanging="480"/>
        <w:rPr>
          <w:rFonts w:asciiTheme="minorEastAsia" w:eastAsiaTheme="minorEastAsia" w:hAnsiTheme="minorEastAsia"/>
          <w:sz w:val="24"/>
        </w:rPr>
      </w:pPr>
      <w:r w:rsidRPr="0041253F">
        <w:rPr>
          <w:rFonts w:asciiTheme="minorEastAsia" w:eastAsiaTheme="minorEastAsia" w:hAnsiTheme="minorEastAsia" w:hint="eastAsia"/>
          <w:sz w:val="24"/>
        </w:rPr>
        <w:t>日分别设定在每年的</w:t>
      </w:r>
      <w:smartTag w:uri="urn:schemas-microsoft-com:office:smarttags" w:element="chsdate">
        <w:smartTagPr>
          <w:attr w:name="IsROCDate" w:val="False"/>
          <w:attr w:name="IsLunarDate" w:val="False"/>
          <w:attr w:name="Day" w:val="30"/>
          <w:attr w:name="Month" w:val="6"/>
          <w:attr w:name="Year" w:val="2012"/>
        </w:smartTagPr>
        <w:r w:rsidRPr="0041253F">
          <w:rPr>
            <w:rFonts w:asciiTheme="minorEastAsia" w:eastAsiaTheme="minorEastAsia" w:hAnsiTheme="minorEastAsia" w:hint="eastAsia"/>
            <w:sz w:val="24"/>
          </w:rPr>
          <w:t>6月30日</w:t>
        </w:r>
      </w:smartTag>
      <w:r w:rsidRPr="0041253F">
        <w:rPr>
          <w:rFonts w:asciiTheme="minorEastAsia" w:eastAsiaTheme="minorEastAsia" w:hAnsiTheme="minorEastAsia" w:hint="eastAsia"/>
          <w:sz w:val="24"/>
        </w:rPr>
        <w:t>、</w:t>
      </w:r>
      <w:smartTag w:uri="urn:schemas-microsoft-com:office:smarttags" w:element="chsdate">
        <w:smartTagPr>
          <w:attr w:name="IsROCDate" w:val="False"/>
          <w:attr w:name="IsLunarDate" w:val="False"/>
          <w:attr w:name="Day" w:val="31"/>
          <w:attr w:name="Month" w:val="12"/>
          <w:attr w:name="Year" w:val="2012"/>
        </w:smartTagPr>
        <w:r w:rsidRPr="0041253F">
          <w:rPr>
            <w:rFonts w:asciiTheme="minorEastAsia" w:eastAsiaTheme="minorEastAsia" w:hAnsiTheme="minorEastAsia" w:hint="eastAsia"/>
            <w:sz w:val="24"/>
          </w:rPr>
          <w:t>12月31日</w:t>
        </w:r>
      </w:smartTag>
      <w:r w:rsidRPr="0041253F">
        <w:rPr>
          <w:rFonts w:asciiTheme="minorEastAsia" w:eastAsiaTheme="minorEastAsia" w:hAnsiTheme="minorEastAsia" w:hint="eastAsia"/>
          <w:sz w:val="24"/>
        </w:rPr>
        <w:t>。土地估价师以宗地为单位填写“估</w:t>
      </w:r>
    </w:p>
    <w:p w:rsidR="000D13D3" w:rsidRPr="0041253F" w:rsidRDefault="000D13D3" w:rsidP="000D13D3">
      <w:pPr>
        <w:spacing w:line="480" w:lineRule="auto"/>
        <w:ind w:left="480" w:hangingChars="200" w:hanging="480"/>
        <w:rPr>
          <w:rFonts w:asciiTheme="minorEastAsia" w:eastAsiaTheme="minorEastAsia" w:hAnsiTheme="minorEastAsia"/>
          <w:sz w:val="24"/>
        </w:rPr>
      </w:pPr>
      <w:r w:rsidRPr="0041253F">
        <w:rPr>
          <w:rFonts w:asciiTheme="minorEastAsia" w:eastAsiaTheme="minorEastAsia" w:hAnsiTheme="minorEastAsia" w:hint="eastAsia"/>
          <w:sz w:val="24"/>
        </w:rPr>
        <w:t>价师标准宗地调查表（年度/季度）”、“标准宗地地价评估技术要点表”，编写“标</w:t>
      </w:r>
    </w:p>
    <w:p w:rsidR="000D13D3" w:rsidRPr="0041253F" w:rsidRDefault="000D13D3" w:rsidP="000D13D3">
      <w:pPr>
        <w:spacing w:line="480" w:lineRule="auto"/>
        <w:ind w:left="480" w:hangingChars="200" w:hanging="480"/>
        <w:rPr>
          <w:rFonts w:asciiTheme="minorEastAsia" w:eastAsiaTheme="minorEastAsia" w:hAnsiTheme="minorEastAsia"/>
          <w:sz w:val="24"/>
        </w:rPr>
      </w:pPr>
      <w:r w:rsidRPr="0041253F">
        <w:rPr>
          <w:rFonts w:asciiTheme="minorEastAsia" w:eastAsiaTheme="minorEastAsia" w:hAnsiTheme="minorEastAsia" w:hint="eastAsia"/>
          <w:sz w:val="24"/>
        </w:rPr>
        <w:t>准宗地地价评估报告”（编写提纲见文2-5）。</w:t>
      </w:r>
    </w:p>
    <w:p w:rsidR="000D13D3" w:rsidRPr="0041253F" w:rsidRDefault="000D13D3" w:rsidP="000D13D3">
      <w:pPr>
        <w:spacing w:line="480" w:lineRule="auto"/>
        <w:ind w:left="480" w:hanging="48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第一、三季度标准宗地地价信息采集</w:t>
      </w:r>
      <w:r w:rsidRPr="0041253F">
        <w:rPr>
          <w:rFonts w:asciiTheme="minorEastAsia" w:eastAsiaTheme="minorEastAsia" w:hAnsiTheme="minorEastAsia" w:hint="eastAsia"/>
          <w:sz w:val="24"/>
          <w:szCs w:val="24"/>
        </w:rPr>
        <w:br/>
        <w:t>第一、三季度标准宗地地价动态监测信息抽样采集各一次，地价评估基准日</w:t>
      </w:r>
    </w:p>
    <w:p w:rsidR="000D13D3" w:rsidRPr="0041253F" w:rsidRDefault="000D13D3" w:rsidP="000D13D3">
      <w:pPr>
        <w:spacing w:line="480" w:lineRule="auto"/>
        <w:ind w:left="480" w:hanging="48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分别设在每年的</w:t>
      </w:r>
      <w:smartTag w:uri="urn:schemas-microsoft-com:office:smarttags" w:element="chsdate">
        <w:smartTagPr>
          <w:attr w:name="IsROCDate" w:val="False"/>
          <w:attr w:name="IsLunarDate" w:val="False"/>
          <w:attr w:name="Day" w:val="31"/>
          <w:attr w:name="Month" w:val="3"/>
          <w:attr w:name="Year" w:val="2012"/>
        </w:smartTagPr>
        <w:r w:rsidRPr="0041253F">
          <w:rPr>
            <w:rFonts w:asciiTheme="minorEastAsia" w:eastAsiaTheme="minorEastAsia" w:hAnsiTheme="minorEastAsia" w:hint="eastAsia"/>
            <w:sz w:val="24"/>
            <w:szCs w:val="24"/>
          </w:rPr>
          <w:t>3月31日</w:t>
        </w:r>
      </w:smartTag>
      <w:r w:rsidRPr="0041253F">
        <w:rPr>
          <w:rFonts w:asciiTheme="minorEastAsia" w:eastAsiaTheme="minorEastAsia" w:hAnsiTheme="minorEastAsia" w:hint="eastAsia"/>
          <w:sz w:val="24"/>
          <w:szCs w:val="24"/>
        </w:rPr>
        <w:t>、</w:t>
      </w:r>
      <w:smartTag w:uri="urn:schemas-microsoft-com:office:smarttags" w:element="chsdate">
        <w:smartTagPr>
          <w:attr w:name="IsROCDate" w:val="False"/>
          <w:attr w:name="IsLunarDate" w:val="False"/>
          <w:attr w:name="Day" w:val="30"/>
          <w:attr w:name="Month" w:val="9"/>
          <w:attr w:name="Year" w:val="2012"/>
        </w:smartTagPr>
        <w:r w:rsidRPr="0041253F">
          <w:rPr>
            <w:rFonts w:asciiTheme="minorEastAsia" w:eastAsiaTheme="minorEastAsia" w:hAnsiTheme="minorEastAsia" w:hint="eastAsia"/>
            <w:sz w:val="24"/>
            <w:szCs w:val="24"/>
          </w:rPr>
          <w:t>9月30日</w:t>
        </w:r>
      </w:smartTag>
      <w:r w:rsidRPr="0041253F">
        <w:rPr>
          <w:rFonts w:asciiTheme="minorEastAsia" w:eastAsiaTheme="minorEastAsia" w:hAnsiTheme="minorEastAsia" w:hint="eastAsia"/>
          <w:sz w:val="24"/>
          <w:szCs w:val="24"/>
        </w:rPr>
        <w:t>。抽样采集的标准宗地及其对应的土地估</w:t>
      </w:r>
    </w:p>
    <w:p w:rsidR="000D13D3" w:rsidRPr="0041253F" w:rsidRDefault="000D13D3" w:rsidP="000D13D3">
      <w:pPr>
        <w:spacing w:line="480" w:lineRule="auto"/>
        <w:ind w:left="480" w:hanging="48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价师原则上固定，数量上不得低于全样本总数量的20%，并保证抽样结果能够反</w:t>
      </w:r>
    </w:p>
    <w:p w:rsidR="000D13D3" w:rsidRPr="0041253F" w:rsidRDefault="000D13D3" w:rsidP="000D13D3">
      <w:pPr>
        <w:spacing w:line="480" w:lineRule="auto"/>
        <w:ind w:left="480" w:hanging="48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映城市整体地价变化水平。土地估价师填写及报送数据的表格内容、格式要求同</w:t>
      </w:r>
    </w:p>
    <w:p w:rsidR="000D13D3" w:rsidRPr="0041253F" w:rsidRDefault="000D13D3" w:rsidP="000D13D3">
      <w:pPr>
        <w:spacing w:line="480" w:lineRule="auto"/>
        <w:ind w:left="480" w:hanging="48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第二、四季度。</w:t>
      </w:r>
    </w:p>
    <w:p w:rsidR="000D13D3" w:rsidRPr="0041253F" w:rsidRDefault="000D13D3" w:rsidP="000D13D3">
      <w:pPr>
        <w:spacing w:line="480" w:lineRule="auto"/>
        <w:ind w:left="480" w:hanging="48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3、日常维护</w:t>
      </w:r>
    </w:p>
    <w:p w:rsidR="000D13D3" w:rsidRPr="0041253F" w:rsidRDefault="000D13D3" w:rsidP="000D13D3">
      <w:pPr>
        <w:spacing w:line="480" w:lineRule="auto"/>
        <w:ind w:leftChars="151" w:left="453"/>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承担标准宗地地价信息采集的土地估价师要负责对标准宗地的使用状况、周</w:t>
      </w:r>
    </w:p>
    <w:p w:rsidR="000D13D3" w:rsidRPr="0041253F" w:rsidRDefault="000D13D3" w:rsidP="000D13D3">
      <w:pPr>
        <w:spacing w:line="480" w:lineRule="auto"/>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边环境、权属关系等进行日常维护检查，每年至少实地核实两次（承担一、三季度标准宗地地价信息抽样采集的至少四次）。如发生标准宗地灭失、用途改变、低效利用等情况（详见《规范》），应随时告知技术承担单位。技术承担单位与城市国土资源管理部门商定后，提出更新方案并填写相应表格、文档，完成更新备案。</w:t>
      </w:r>
      <w:r w:rsidRPr="0041253F">
        <w:rPr>
          <w:rFonts w:asciiTheme="minorEastAsia" w:eastAsiaTheme="minorEastAsia" w:hAnsiTheme="minorEastAsia" w:hint="eastAsia"/>
          <w:sz w:val="24"/>
          <w:szCs w:val="24"/>
        </w:rPr>
        <w:br/>
        <w:t>监测信息采集与整理</w:t>
      </w:r>
      <w:r w:rsidRPr="0041253F">
        <w:rPr>
          <w:rFonts w:asciiTheme="minorEastAsia" w:eastAsiaTheme="minorEastAsia" w:hAnsiTheme="minorEastAsia" w:hint="eastAsia"/>
          <w:sz w:val="24"/>
          <w:szCs w:val="24"/>
        </w:rPr>
        <w:br/>
        <w:t xml:space="preserve">    技术承担单位负责对土地估价师提交的标准宗地价格信息进行初步审核、整理、汇总形成汇总表格，测算地价动态监测指标数据；同时定期采集土地市场数据、标准宗地基础数据及城市基准地价数据等。</w:t>
      </w:r>
      <w:r w:rsidRPr="0041253F">
        <w:rPr>
          <w:rFonts w:asciiTheme="minorEastAsia" w:eastAsiaTheme="minorEastAsia" w:hAnsiTheme="minorEastAsia" w:hint="eastAsia"/>
          <w:sz w:val="24"/>
          <w:szCs w:val="24"/>
        </w:rPr>
        <w:br/>
        <w:t>季度监测信息采集与整理</w:t>
      </w:r>
      <w:r w:rsidRPr="0041253F">
        <w:rPr>
          <w:rFonts w:asciiTheme="minorEastAsia" w:eastAsiaTheme="minorEastAsia" w:hAnsiTheme="minorEastAsia" w:hint="eastAsia"/>
          <w:sz w:val="24"/>
          <w:szCs w:val="24"/>
        </w:rPr>
        <w:br/>
      </w:r>
      <w:r w:rsidRPr="0041253F">
        <w:rPr>
          <w:rFonts w:asciiTheme="minorEastAsia" w:eastAsiaTheme="minorEastAsia" w:hAnsiTheme="minorEastAsia" w:hint="eastAsia"/>
          <w:sz w:val="24"/>
          <w:szCs w:val="24"/>
        </w:rPr>
        <w:lastRenderedPageBreak/>
        <w:t xml:space="preserve">    具体工作内容包括：在对土地估价师提供的“估价师标准宗地调查表（年度/季度）”初步审核、汇总的基础上填写“技术承担单位标准宗地汇总表（年度/季度）”、填写“土地交易样本（季度）调查表”、“地价动态监测指标（季度）调查表”、“地价动态监测指标测算过程表”，编写“异常点标准宗地价格结果确定说明”，形成第一、二、三、四各季度监测成果。</w:t>
      </w:r>
    </w:p>
    <w:p w:rsidR="000D13D3" w:rsidRPr="0041253F" w:rsidRDefault="000D13D3" w:rsidP="000D13D3">
      <w:pPr>
        <w:spacing w:line="480" w:lineRule="auto"/>
        <w:ind w:left="960" w:hangingChars="400" w:hanging="96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年度监测信息采集与整理</w:t>
      </w:r>
    </w:p>
    <w:p w:rsidR="000D13D3" w:rsidRPr="0041253F" w:rsidRDefault="000D13D3" w:rsidP="000D13D3">
      <w:pPr>
        <w:spacing w:line="480" w:lineRule="auto"/>
        <w:ind w:leftChars="151" w:left="933" w:hangingChars="200" w:hanging="48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具体工作内容包括：在第四季度工作基础上，填写“技术承担单位标准宗地</w:t>
      </w:r>
    </w:p>
    <w:p w:rsidR="000D13D3" w:rsidRPr="0041253F" w:rsidRDefault="000D13D3" w:rsidP="000D13D3">
      <w:pPr>
        <w:spacing w:line="480" w:lineRule="auto"/>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汇总表（年度/季度）”、汇总“标准宗地地价评估技术要点表”、“标准宗地地价评估报告”，“地价动态监测指标（年度）调查表”、“地价动态监测指标测算过程表”、“土地（年度）供需情况调查表”、“城市基准地价更新情况调查表”，以分用途地价区段、土地级别图为底图绘制土地交易样本分布图，编撰“年度地价状况分析报告”。</w:t>
      </w:r>
    </w:p>
    <w:p w:rsidR="000D13D3" w:rsidRPr="0041253F" w:rsidRDefault="000D13D3" w:rsidP="000D13D3">
      <w:pPr>
        <w:spacing w:line="480" w:lineRule="auto"/>
        <w:ind w:left="480" w:hangingChars="200" w:hanging="48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存档</w:t>
      </w:r>
      <w:r w:rsidRPr="0041253F">
        <w:rPr>
          <w:rFonts w:asciiTheme="minorEastAsia" w:eastAsiaTheme="minorEastAsia" w:hAnsiTheme="minorEastAsia" w:hint="eastAsia"/>
          <w:sz w:val="24"/>
          <w:szCs w:val="24"/>
        </w:rPr>
        <w:br/>
        <w:t>所有采集信息、文字报告、图件和影像资料均应建档建库管理，并分别在城</w:t>
      </w:r>
    </w:p>
    <w:p w:rsidR="000D13D3" w:rsidRPr="0041253F" w:rsidRDefault="000D13D3" w:rsidP="000D13D3">
      <w:pPr>
        <w:spacing w:line="480" w:lineRule="auto"/>
        <w:ind w:left="480" w:hangingChars="200" w:hanging="48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市国土资源管理部门和技术承担单位以纸质和电子文档形式存档备查。</w:t>
      </w:r>
    </w:p>
    <w:p w:rsidR="000D13D3" w:rsidRPr="0041253F" w:rsidRDefault="000D13D3" w:rsidP="000D13D3">
      <w:pPr>
        <w:spacing w:line="480" w:lineRule="auto"/>
        <w:ind w:left="482" w:hangingChars="200" w:hanging="482"/>
        <w:jc w:val="center"/>
        <w:outlineLvl w:val="2"/>
        <w:rPr>
          <w:rFonts w:asciiTheme="minorEastAsia" w:eastAsiaTheme="minorEastAsia" w:hAnsiTheme="minorEastAsia"/>
          <w:b/>
          <w:sz w:val="24"/>
          <w:szCs w:val="24"/>
        </w:rPr>
      </w:pPr>
      <w:bookmarkStart w:id="2" w:name="_Toc497052722"/>
      <w:bookmarkStart w:id="3" w:name="_Toc531786742"/>
      <w:r w:rsidRPr="0041253F">
        <w:rPr>
          <w:rFonts w:asciiTheme="minorEastAsia" w:eastAsiaTheme="minorEastAsia" w:hAnsiTheme="minorEastAsia" w:hint="eastAsia"/>
          <w:b/>
          <w:sz w:val="24"/>
          <w:szCs w:val="24"/>
        </w:rPr>
        <w:t>2、第二阶段（城市地价状况综合分析和评价）</w:t>
      </w:r>
      <w:bookmarkEnd w:id="2"/>
      <w:bookmarkEnd w:id="3"/>
    </w:p>
    <w:p w:rsidR="000D13D3" w:rsidRPr="0041253F" w:rsidRDefault="000D13D3" w:rsidP="000D13D3">
      <w:pPr>
        <w:spacing w:line="480" w:lineRule="auto"/>
        <w:ind w:firstLineChars="196" w:firstLine="47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对洛阳市地价水平状况分析、地价变化趋势分析、地价与土地供需协调状况分析、地价与房屋市场协调状况分析、地价与社会经济协调状况分析、地价综合状况分析等，形成地价状况分析与评价报告。</w:t>
      </w:r>
    </w:p>
    <w:p w:rsidR="000D13D3" w:rsidRPr="0041253F" w:rsidRDefault="000D13D3" w:rsidP="000D13D3">
      <w:pPr>
        <w:spacing w:line="480" w:lineRule="auto"/>
        <w:ind w:firstLineChars="196" w:firstLine="47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地价水平状况分析</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196" w:firstLine="47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地价水平状况分析主要采用地价水平值和地价变化量等指标，重点对不同时期和不同区域、不同用途和不同级别的地价水平值进行比较、排序，并说明地价</w:t>
      </w:r>
      <w:r w:rsidRPr="0041253F">
        <w:rPr>
          <w:rFonts w:asciiTheme="minorEastAsia" w:eastAsiaTheme="minorEastAsia" w:hAnsiTheme="minorEastAsia" w:hint="eastAsia"/>
          <w:sz w:val="24"/>
          <w:szCs w:val="24"/>
        </w:rPr>
        <w:lastRenderedPageBreak/>
        <w:t>的最高值、最低值等情况。</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196" w:firstLine="47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地价变化趋势分析</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196" w:firstLine="47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地价变化趋势分析主要采用地价增长率、地价指数等指标，重点对不同时期和不同区域、不同用途和不同级别的增长率的高低比较和排序，并说明变动幅度最大值、变动幅度最小值等情况。</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196" w:firstLine="47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地价与房屋市场协调状况分析</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196" w:firstLine="47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地价与房屋市场协调状况分析主要采用不同时期地价与房屋供需量、地价房价比、地价增长率与房屋供需增长率高低比较等方式进行分析。</w:t>
      </w:r>
      <w:r w:rsidRPr="0041253F">
        <w:rPr>
          <w:rFonts w:asciiTheme="minorEastAsia" w:eastAsiaTheme="minorEastAsia" w:hAnsiTheme="minorEastAsia" w:hint="cs"/>
          <w:sz w:val="24"/>
          <w:szCs w:val="24"/>
        </w:rPr>
        <w:t> </w:t>
      </w:r>
      <w:r w:rsidRPr="0041253F">
        <w:rPr>
          <w:rFonts w:asciiTheme="minorEastAsia" w:eastAsiaTheme="minorEastAsia" w:hAnsiTheme="minorEastAsia"/>
          <w:sz w:val="24"/>
          <w:szCs w:val="24"/>
        </w:rPr>
        <w:t>11.5 </w:t>
      </w:r>
      <w:r w:rsidRPr="0041253F">
        <w:rPr>
          <w:rFonts w:asciiTheme="minorEastAsia" w:eastAsiaTheme="minorEastAsia" w:hAnsiTheme="minorEastAsia" w:hint="eastAsia"/>
          <w:sz w:val="24"/>
          <w:szCs w:val="24"/>
        </w:rPr>
        <w:t>地价与社会经济协调状况分析</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196" w:firstLine="47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地价与社会经济协调状况分析主要采用不同时期地价、地价增长率与社会经济指标的高抵比较等方式进行分析。</w:t>
      </w:r>
      <w:r w:rsidRPr="0041253F">
        <w:rPr>
          <w:rFonts w:asciiTheme="minorEastAsia" w:eastAsiaTheme="minorEastAsia" w:hAnsiTheme="minorEastAsia" w:hint="cs"/>
          <w:sz w:val="24"/>
          <w:szCs w:val="24"/>
        </w:rPr>
        <w:t> </w:t>
      </w:r>
      <w:r w:rsidRPr="0041253F">
        <w:rPr>
          <w:rFonts w:asciiTheme="minorEastAsia" w:eastAsiaTheme="minorEastAsia" w:hAnsiTheme="minorEastAsia"/>
          <w:sz w:val="24"/>
          <w:szCs w:val="24"/>
        </w:rPr>
        <w:t>11.6</w:t>
      </w:r>
      <w:r w:rsidRPr="0041253F">
        <w:rPr>
          <w:rFonts w:asciiTheme="minorEastAsia" w:eastAsiaTheme="minorEastAsia" w:hAnsiTheme="minorEastAsia" w:hint="eastAsia"/>
          <w:sz w:val="24"/>
          <w:szCs w:val="24"/>
        </w:rPr>
        <w:t>地价与城市土地利用协调状况分析</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196" w:firstLine="47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地价与城市土地利用协调状况分析主要采用不周时期地价与城市土地利用状况、地价增长率与城市土地利用变化的高低比较等方式进行分析。</w:t>
      </w:r>
    </w:p>
    <w:p w:rsidR="000D13D3" w:rsidRPr="0041253F" w:rsidRDefault="000D13D3" w:rsidP="000D13D3">
      <w:pPr>
        <w:spacing w:line="480" w:lineRule="auto"/>
        <w:ind w:firstLineChars="196" w:firstLine="47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地价与土地供需协调状况分析</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196" w:firstLine="470"/>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地价与土地供需协调状况分析主要采用不同时期地价与土地供需、地价增长率与土地供需增长率的高低比较等到方式进行分析。</w:t>
      </w:r>
    </w:p>
    <w:p w:rsidR="000D13D3" w:rsidRPr="0041253F" w:rsidRDefault="000D13D3" w:rsidP="000D13D3">
      <w:pPr>
        <w:spacing w:line="480" w:lineRule="auto"/>
        <w:jc w:val="center"/>
        <w:outlineLvl w:val="2"/>
        <w:rPr>
          <w:rFonts w:asciiTheme="minorEastAsia" w:eastAsiaTheme="minorEastAsia" w:hAnsiTheme="minorEastAsia"/>
          <w:b/>
          <w:sz w:val="24"/>
          <w:szCs w:val="24"/>
        </w:rPr>
      </w:pPr>
      <w:bookmarkStart w:id="4" w:name="_Toc497052723"/>
      <w:bookmarkStart w:id="5" w:name="_Toc531786743"/>
      <w:r w:rsidRPr="0041253F">
        <w:rPr>
          <w:rFonts w:asciiTheme="minorEastAsia" w:eastAsiaTheme="minorEastAsia" w:hAnsiTheme="minorEastAsia" w:hint="eastAsia"/>
          <w:b/>
          <w:sz w:val="24"/>
          <w:szCs w:val="24"/>
        </w:rPr>
        <w:t>3、第三阶段（地价监测数据成果上报）</w:t>
      </w:r>
      <w:bookmarkEnd w:id="4"/>
      <w:bookmarkEnd w:id="5"/>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地价动态监测报告</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监测报告体系</w:t>
      </w:r>
      <w:r w:rsidRPr="0041253F">
        <w:rPr>
          <w:rFonts w:asciiTheme="minorEastAsia" w:eastAsiaTheme="minorEastAsia" w:hAnsiTheme="minorEastAsia" w:hint="cs"/>
          <w:sz w:val="24"/>
          <w:szCs w:val="24"/>
        </w:rPr>
        <w:t> </w:t>
      </w:r>
      <w:r w:rsidRPr="0041253F">
        <w:rPr>
          <w:rFonts w:asciiTheme="minorEastAsia" w:eastAsiaTheme="minorEastAsia" w:hAnsiTheme="minorEastAsia" w:hint="eastAsia"/>
          <w:sz w:val="24"/>
          <w:szCs w:val="24"/>
        </w:rPr>
        <w:t>地价动态监测报告包括：</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480"/>
        <w:jc w:val="left"/>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(1) 年度报告，主要报告城市地价的年度状况；</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t>(2) </w:t>
      </w:r>
      <w:r w:rsidRPr="0041253F">
        <w:rPr>
          <w:rFonts w:asciiTheme="minorEastAsia" w:eastAsiaTheme="minorEastAsia" w:hAnsiTheme="minorEastAsia" w:hint="eastAsia"/>
          <w:sz w:val="24"/>
          <w:szCs w:val="24"/>
        </w:rPr>
        <w:t>季度报告，主要报告城市地价的各季度状况；</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lastRenderedPageBreak/>
        <w:t>(3) </w:t>
      </w:r>
      <w:r w:rsidRPr="0041253F">
        <w:rPr>
          <w:rFonts w:asciiTheme="minorEastAsia" w:eastAsiaTheme="minorEastAsia" w:hAnsiTheme="minorEastAsia" w:hint="eastAsia"/>
          <w:sz w:val="24"/>
          <w:szCs w:val="24"/>
        </w:rPr>
        <w:t>专题报告，分专题报告城市地价相关问题情况。</w:t>
      </w:r>
      <w:r w:rsidRPr="0041253F">
        <w:rPr>
          <w:rFonts w:asciiTheme="minorEastAsia" w:eastAsiaTheme="minorEastAsia" w:hAnsiTheme="minorEastAsia" w:hint="cs"/>
          <w:sz w:val="24"/>
          <w:szCs w:val="24"/>
        </w:rPr>
        <w:t> </w:t>
      </w:r>
    </w:p>
    <w:p w:rsidR="000D13D3" w:rsidRPr="0041253F" w:rsidRDefault="000D13D3" w:rsidP="000D13D3">
      <w:pPr>
        <w:ind w:firstLine="480"/>
        <w:rPr>
          <w:rFonts w:asciiTheme="minorEastAsia" w:eastAsiaTheme="minorEastAsia" w:hAnsiTheme="minorEastAsia"/>
          <w:sz w:val="24"/>
        </w:rPr>
      </w:pPr>
      <w:r w:rsidRPr="0041253F">
        <w:rPr>
          <w:rFonts w:asciiTheme="minorEastAsia" w:eastAsiaTheme="minorEastAsia" w:hAnsiTheme="minorEastAsia" w:hint="eastAsia"/>
          <w:sz w:val="24"/>
        </w:rPr>
        <w:t>监测报告内容</w:t>
      </w:r>
      <w:r w:rsidRPr="0041253F">
        <w:rPr>
          <w:rFonts w:asciiTheme="minorEastAsia" w:eastAsiaTheme="minorEastAsia" w:hAnsiTheme="minorEastAsia" w:hint="cs"/>
          <w:sz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监测报告的主要内容如下：</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t>(1) </w:t>
      </w:r>
      <w:r w:rsidRPr="0041253F">
        <w:rPr>
          <w:rFonts w:asciiTheme="minorEastAsia" w:eastAsiaTheme="minorEastAsia" w:hAnsiTheme="minorEastAsia" w:hint="eastAsia"/>
          <w:sz w:val="24"/>
          <w:szCs w:val="24"/>
        </w:rPr>
        <w:t>基本界定，包括对监测范围、监测城市、监测分区、监测时段、数据来源、指标体系、以及重要概念等的说明：</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t>(2) </w:t>
      </w:r>
      <w:r w:rsidRPr="0041253F">
        <w:rPr>
          <w:rFonts w:asciiTheme="minorEastAsia" w:eastAsiaTheme="minorEastAsia" w:hAnsiTheme="minorEastAsia" w:hint="eastAsia"/>
          <w:sz w:val="24"/>
          <w:szCs w:val="24"/>
        </w:rPr>
        <w:t>监测内容，包括地价水平与变化趋势状况、地价空间分布形态、地价与土地市场、房屋市场、宏观经济环境、城市土地利用变化协调情况等：</w:t>
      </w:r>
      <w:r w:rsidRPr="0041253F">
        <w:rPr>
          <w:rFonts w:asciiTheme="minorEastAsia" w:eastAsiaTheme="minorEastAsia" w:hAnsiTheme="minorEastAsia" w:hint="cs"/>
          <w:sz w:val="24"/>
          <w:szCs w:val="24"/>
        </w:rPr>
        <w:t> </w:t>
      </w:r>
      <w:r w:rsidRPr="0041253F">
        <w:rPr>
          <w:rFonts w:asciiTheme="minorEastAsia" w:eastAsiaTheme="minorEastAsia" w:hAnsiTheme="minorEastAsia"/>
          <w:sz w:val="24"/>
          <w:szCs w:val="24"/>
        </w:rPr>
        <w:t>(3)</w:t>
      </w:r>
      <w:r w:rsidRPr="0041253F">
        <w:rPr>
          <w:rFonts w:asciiTheme="minorEastAsia" w:eastAsiaTheme="minorEastAsia" w:hAnsiTheme="minorEastAsia" w:hint="eastAsia"/>
          <w:sz w:val="24"/>
          <w:szCs w:val="24"/>
        </w:rPr>
        <w:t>基本分析，主要是对地价状况综合分析、背景分析和预测；</w:t>
      </w:r>
      <w:r w:rsidRPr="0041253F">
        <w:rPr>
          <w:rFonts w:asciiTheme="minorEastAsia" w:eastAsiaTheme="minorEastAsia" w:hAnsiTheme="minorEastAsia" w:hint="cs"/>
          <w:sz w:val="24"/>
          <w:szCs w:val="24"/>
        </w:rPr>
        <w:t> </w:t>
      </w:r>
      <w:r w:rsidRPr="0041253F">
        <w:rPr>
          <w:rFonts w:asciiTheme="minorEastAsia" w:eastAsiaTheme="minorEastAsia" w:hAnsiTheme="minorEastAsia"/>
          <w:sz w:val="24"/>
          <w:szCs w:val="24"/>
        </w:rPr>
        <w:t>(4)</w:t>
      </w:r>
      <w:r w:rsidRPr="0041253F">
        <w:rPr>
          <w:rFonts w:asciiTheme="minorEastAsia" w:eastAsiaTheme="minorEastAsia" w:hAnsiTheme="minorEastAsia" w:hint="eastAsia"/>
          <w:sz w:val="24"/>
          <w:szCs w:val="24"/>
        </w:rPr>
        <w:t>技术说明，主要是对监测技术处理过程进行说明。</w:t>
      </w:r>
      <w:r w:rsidRPr="0041253F">
        <w:rPr>
          <w:rFonts w:asciiTheme="minorEastAsia" w:eastAsiaTheme="minorEastAsia" w:hAnsiTheme="minorEastAsia" w:hint="cs"/>
          <w:sz w:val="24"/>
          <w:szCs w:val="24"/>
        </w:rPr>
        <w:t> </w:t>
      </w:r>
      <w:r w:rsidRPr="0041253F">
        <w:rPr>
          <w:rFonts w:asciiTheme="minorEastAsia" w:eastAsiaTheme="minorEastAsia" w:hAnsiTheme="minorEastAsia" w:hint="eastAsia"/>
          <w:sz w:val="24"/>
          <w:szCs w:val="24"/>
        </w:rPr>
        <w:t>地价监测年度地价状况分析报告的具体格式见附录</w:t>
      </w:r>
      <w:r w:rsidRPr="0041253F">
        <w:rPr>
          <w:rFonts w:asciiTheme="minorEastAsia" w:eastAsiaTheme="minorEastAsia" w:hAnsiTheme="minorEastAsia"/>
          <w:sz w:val="24"/>
          <w:szCs w:val="24"/>
        </w:rPr>
        <w:t>C</w:t>
      </w:r>
      <w:r w:rsidRPr="0041253F">
        <w:rPr>
          <w:rFonts w:asciiTheme="minorEastAsia" w:eastAsiaTheme="minorEastAsia" w:hAnsiTheme="minorEastAsia" w:hint="eastAsia"/>
          <w:sz w:val="24"/>
          <w:szCs w:val="24"/>
        </w:rPr>
        <w:t>。</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地价监测点设立与维护成果</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地价监测点设立维护成果如下：</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地价监测点初始设立成果，包括城市地价监测点登记表（初始）、地价区段登记表（初始）、地价监测点分布图、地价区段分布图、地价监测点宗地图、地价监测点影像照片等；</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监测点年度变更调查成果，包括监测点、区段变化及相关资料。</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监测数据采集成果</w:t>
      </w:r>
      <w:r w:rsidRPr="0041253F">
        <w:rPr>
          <w:rFonts w:asciiTheme="minorEastAsia" w:eastAsiaTheme="minorEastAsia" w:hAnsiTheme="minorEastAsia" w:hint="cs"/>
          <w:sz w:val="24"/>
          <w:szCs w:val="24"/>
        </w:rPr>
        <w:t> </w:t>
      </w:r>
      <w:r w:rsidRPr="0041253F">
        <w:rPr>
          <w:rFonts w:asciiTheme="minorEastAsia" w:eastAsiaTheme="minorEastAsia" w:hAnsiTheme="minorEastAsia" w:hint="eastAsia"/>
          <w:sz w:val="24"/>
          <w:szCs w:val="24"/>
        </w:rPr>
        <w:t>监测数据采集成果如下：</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年度数据采集成果，包括地价监测点（年度）调查表、地价监测点（年度）变更统计表、地价动态监测指标（年度）调查表、房屋交易样本（年度）调查表、土地（年度）供需情况调查表、房屋（年度）供需情况调查表、土地面积调查表、相关社会经济指标（年度）调查表、城市基准地价更新情况调查表、地价监测点评估技术要点表、地价监测点分布图、土地交易样本分布图、房屋交易样本分布图、城市地价状况年度分析报告、监测点地价评估报告、地价监测点宗地图和影</w:t>
      </w:r>
      <w:r w:rsidRPr="0041253F">
        <w:rPr>
          <w:rFonts w:asciiTheme="minorEastAsia" w:eastAsiaTheme="minorEastAsia" w:hAnsiTheme="minorEastAsia" w:hint="eastAsia"/>
          <w:sz w:val="24"/>
          <w:szCs w:val="24"/>
        </w:rPr>
        <w:lastRenderedPageBreak/>
        <w:t>像照片等；</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季度数据采集成果，包括地价监测点（季度）调查表、地价动态监测指标（季度）调查表、土地招标拍卖挂牌出让情况（季度）调查表、土地交易样本（季度）调查表。</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监测报告成果</w:t>
      </w:r>
      <w:r w:rsidRPr="0041253F">
        <w:rPr>
          <w:rFonts w:asciiTheme="minorEastAsia" w:eastAsiaTheme="minorEastAsia" w:hAnsiTheme="minorEastAsia" w:hint="cs"/>
          <w:sz w:val="24"/>
          <w:szCs w:val="24"/>
        </w:rPr>
        <w:t> </w:t>
      </w:r>
      <w:r w:rsidRPr="0041253F">
        <w:rPr>
          <w:rFonts w:asciiTheme="minorEastAsia" w:eastAsiaTheme="minorEastAsia" w:hAnsiTheme="minorEastAsia" w:hint="eastAsia"/>
          <w:sz w:val="24"/>
          <w:szCs w:val="24"/>
        </w:rPr>
        <w:t>监测报告成果有：</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480"/>
        <w:jc w:val="left"/>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(1)城市地价监测年度报告；</w:t>
      </w:r>
      <w:r w:rsidRPr="0041253F">
        <w:rPr>
          <w:rFonts w:asciiTheme="minorEastAsia" w:eastAsiaTheme="minorEastAsia" w:hAnsiTheme="minorEastAsia" w:hint="cs"/>
          <w:sz w:val="24"/>
          <w:szCs w:val="24"/>
        </w:rPr>
        <w:t> </w:t>
      </w:r>
      <w:r w:rsidRPr="0041253F">
        <w:rPr>
          <w:rFonts w:asciiTheme="minorEastAsia" w:eastAsiaTheme="minorEastAsia" w:hAnsiTheme="minorEastAsia"/>
          <w:sz w:val="24"/>
          <w:szCs w:val="24"/>
        </w:rPr>
        <w:t>(2)</w:t>
      </w:r>
      <w:r w:rsidRPr="0041253F">
        <w:rPr>
          <w:rFonts w:asciiTheme="minorEastAsia" w:eastAsiaTheme="minorEastAsia" w:hAnsiTheme="minorEastAsia" w:hint="eastAsia"/>
          <w:sz w:val="24"/>
          <w:szCs w:val="24"/>
        </w:rPr>
        <w:t>城市地价监测季度报告。</w:t>
      </w:r>
      <w:r w:rsidRPr="0041253F">
        <w:rPr>
          <w:rFonts w:asciiTheme="minorEastAsia" w:eastAsiaTheme="minorEastAsia" w:hAnsiTheme="minorEastAsia" w:hint="cs"/>
          <w:sz w:val="24"/>
          <w:szCs w:val="24"/>
        </w:rPr>
        <w:t> </w:t>
      </w:r>
    </w:p>
    <w:p w:rsidR="000D13D3" w:rsidRPr="0041253F" w:rsidRDefault="000D13D3" w:rsidP="000D13D3">
      <w:pPr>
        <w:ind w:firstLine="480"/>
        <w:rPr>
          <w:rFonts w:asciiTheme="minorEastAsia" w:eastAsiaTheme="minorEastAsia" w:hAnsiTheme="minorEastAsia"/>
          <w:sz w:val="24"/>
        </w:rPr>
      </w:pPr>
      <w:r w:rsidRPr="0041253F">
        <w:rPr>
          <w:rFonts w:asciiTheme="minorEastAsia" w:eastAsiaTheme="minorEastAsia" w:hAnsiTheme="minorEastAsia" w:hint="eastAsia"/>
          <w:sz w:val="24"/>
        </w:rPr>
        <w:t>成果要求</w:t>
      </w:r>
      <w:r w:rsidRPr="0041253F">
        <w:rPr>
          <w:rFonts w:asciiTheme="minorEastAsia" w:eastAsiaTheme="minorEastAsia" w:hAnsiTheme="minorEastAsia" w:hint="cs"/>
          <w:sz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t>(1)</w:t>
      </w:r>
      <w:r w:rsidRPr="0041253F">
        <w:rPr>
          <w:rFonts w:asciiTheme="minorEastAsia" w:eastAsiaTheme="minorEastAsia" w:hAnsiTheme="minorEastAsia" w:hint="eastAsia"/>
          <w:sz w:val="24"/>
          <w:szCs w:val="24"/>
        </w:rPr>
        <w:t>监测点地价评估报告的地价动态监测分析报告的分析和描述应客观、合理、用语规范，并制成</w:t>
      </w:r>
      <w:r w:rsidRPr="0041253F">
        <w:rPr>
          <w:rFonts w:asciiTheme="minorEastAsia" w:eastAsiaTheme="minorEastAsia" w:hAnsiTheme="minorEastAsia"/>
          <w:sz w:val="24"/>
          <w:szCs w:val="24"/>
        </w:rPr>
        <w:t>word</w:t>
      </w:r>
      <w:r w:rsidRPr="0041253F">
        <w:rPr>
          <w:rFonts w:asciiTheme="minorEastAsia" w:eastAsiaTheme="minorEastAsia" w:hAnsiTheme="minorEastAsia" w:hint="eastAsia"/>
          <w:sz w:val="24"/>
          <w:szCs w:val="24"/>
        </w:rPr>
        <w:t>格式电子版；</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t>(2)</w:t>
      </w:r>
      <w:r w:rsidRPr="0041253F">
        <w:rPr>
          <w:rFonts w:asciiTheme="minorEastAsia" w:eastAsiaTheme="minorEastAsia" w:hAnsiTheme="minorEastAsia" w:hint="eastAsia"/>
          <w:sz w:val="24"/>
          <w:szCs w:val="24"/>
        </w:rPr>
        <w:t>图件成果的制作和成果格式应符合《城镇地籍调查规程》或有关制图规范的要求；图件应按要求进行数字化，统一为</w:t>
      </w:r>
      <w:r w:rsidRPr="0041253F">
        <w:rPr>
          <w:rFonts w:asciiTheme="minorEastAsia" w:eastAsiaTheme="minorEastAsia" w:hAnsiTheme="minorEastAsia"/>
          <w:sz w:val="24"/>
          <w:szCs w:val="24"/>
        </w:rPr>
        <w:t>GIS</w:t>
      </w:r>
      <w:r w:rsidRPr="0041253F">
        <w:rPr>
          <w:rFonts w:asciiTheme="minorEastAsia" w:eastAsiaTheme="minorEastAsia" w:hAnsiTheme="minorEastAsia" w:hint="eastAsia"/>
          <w:sz w:val="24"/>
          <w:szCs w:val="24"/>
        </w:rPr>
        <w:t>平台下矢量化的电子图；图件中不同的地理要素、城市道路、建筑、定级因素、界线、样本分布点、地物点及其标注等要分图层提供；图件中的地价监测点必须提供坐标，并注明是</w:t>
      </w:r>
      <w:r w:rsidRPr="0041253F">
        <w:rPr>
          <w:rFonts w:asciiTheme="minorEastAsia" w:eastAsiaTheme="minorEastAsia" w:hAnsiTheme="minorEastAsia"/>
          <w:sz w:val="24"/>
          <w:szCs w:val="24"/>
        </w:rPr>
        <w:t>54</w:t>
      </w:r>
      <w:r w:rsidRPr="0041253F">
        <w:rPr>
          <w:rFonts w:asciiTheme="minorEastAsia" w:eastAsiaTheme="minorEastAsia" w:hAnsiTheme="minorEastAsia" w:hint="eastAsia"/>
          <w:sz w:val="24"/>
          <w:szCs w:val="24"/>
        </w:rPr>
        <w:t>坐标还是</w:t>
      </w:r>
      <w:r w:rsidRPr="0041253F">
        <w:rPr>
          <w:rFonts w:asciiTheme="minorEastAsia" w:eastAsiaTheme="minorEastAsia" w:hAnsiTheme="minorEastAsia"/>
          <w:sz w:val="24"/>
          <w:szCs w:val="24"/>
        </w:rPr>
        <w:t>80</w:t>
      </w:r>
      <w:r w:rsidRPr="0041253F">
        <w:rPr>
          <w:rFonts w:asciiTheme="minorEastAsia" w:eastAsiaTheme="minorEastAsia" w:hAnsiTheme="minorEastAsia" w:hint="eastAsia"/>
          <w:sz w:val="24"/>
          <w:szCs w:val="24"/>
        </w:rPr>
        <w:t>坐标；</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t>(3)</w:t>
      </w:r>
      <w:r w:rsidRPr="0041253F">
        <w:rPr>
          <w:rFonts w:asciiTheme="minorEastAsia" w:eastAsiaTheme="minorEastAsia" w:hAnsiTheme="minorEastAsia" w:hint="eastAsia"/>
          <w:sz w:val="24"/>
          <w:szCs w:val="24"/>
        </w:rPr>
        <w:t>所有表格成果应按照本标准附录</w:t>
      </w:r>
      <w:r w:rsidRPr="0041253F">
        <w:rPr>
          <w:rFonts w:asciiTheme="minorEastAsia" w:eastAsiaTheme="minorEastAsia" w:hAnsiTheme="minorEastAsia"/>
          <w:sz w:val="24"/>
          <w:szCs w:val="24"/>
        </w:rPr>
        <w:t>D</w:t>
      </w:r>
      <w:r w:rsidRPr="0041253F">
        <w:rPr>
          <w:rFonts w:asciiTheme="minorEastAsia" w:eastAsiaTheme="minorEastAsia" w:hAnsiTheme="minorEastAsia" w:hint="eastAsia"/>
          <w:sz w:val="24"/>
          <w:szCs w:val="24"/>
        </w:rPr>
        <w:t>、附录</w:t>
      </w:r>
      <w:r w:rsidRPr="0041253F">
        <w:rPr>
          <w:rFonts w:asciiTheme="minorEastAsia" w:eastAsiaTheme="minorEastAsia" w:hAnsiTheme="minorEastAsia"/>
          <w:sz w:val="24"/>
          <w:szCs w:val="24"/>
        </w:rPr>
        <w:t>E</w:t>
      </w:r>
      <w:r w:rsidRPr="0041253F">
        <w:rPr>
          <w:rFonts w:asciiTheme="minorEastAsia" w:eastAsiaTheme="minorEastAsia" w:hAnsiTheme="minorEastAsia" w:hint="eastAsia"/>
          <w:sz w:val="24"/>
          <w:szCs w:val="24"/>
        </w:rPr>
        <w:t>的要求填制，并制成</w:t>
      </w:r>
      <w:r w:rsidRPr="0041253F">
        <w:rPr>
          <w:rFonts w:asciiTheme="minorEastAsia" w:eastAsiaTheme="minorEastAsia" w:hAnsiTheme="minorEastAsia"/>
          <w:sz w:val="24"/>
          <w:szCs w:val="24"/>
        </w:rPr>
        <w:t>excel</w:t>
      </w:r>
      <w:r w:rsidRPr="0041253F">
        <w:rPr>
          <w:rFonts w:asciiTheme="minorEastAsia" w:eastAsiaTheme="minorEastAsia" w:hAnsiTheme="minorEastAsia" w:hint="eastAsia"/>
          <w:sz w:val="24"/>
          <w:szCs w:val="24"/>
        </w:rPr>
        <w:t>格式电子版。</w:t>
      </w:r>
      <w:r w:rsidRPr="0041253F">
        <w:rPr>
          <w:rFonts w:asciiTheme="minorEastAsia" w:eastAsiaTheme="minorEastAsia" w:hAnsiTheme="minorEastAsia" w:hint="cs"/>
          <w:sz w:val="24"/>
          <w:szCs w:val="24"/>
        </w:rPr>
        <w:t> </w:t>
      </w:r>
    </w:p>
    <w:p w:rsidR="000D13D3" w:rsidRPr="0041253F" w:rsidRDefault="000D13D3" w:rsidP="000D13D3">
      <w:pPr>
        <w:spacing w:line="480" w:lineRule="auto"/>
        <w:jc w:val="center"/>
        <w:outlineLvl w:val="2"/>
        <w:rPr>
          <w:rFonts w:asciiTheme="minorEastAsia" w:eastAsiaTheme="minorEastAsia" w:hAnsiTheme="minorEastAsia"/>
          <w:b/>
          <w:sz w:val="24"/>
          <w:szCs w:val="24"/>
        </w:rPr>
      </w:pPr>
      <w:bookmarkStart w:id="6" w:name="_Toc497052724"/>
      <w:bookmarkStart w:id="7" w:name="_Toc531786744"/>
      <w:r w:rsidRPr="0041253F">
        <w:rPr>
          <w:rFonts w:asciiTheme="minorEastAsia" w:eastAsiaTheme="minorEastAsia" w:hAnsiTheme="minorEastAsia" w:hint="eastAsia"/>
          <w:b/>
          <w:sz w:val="24"/>
          <w:szCs w:val="24"/>
        </w:rPr>
        <w:t>4、第四阶段（成果审核）</w:t>
      </w:r>
      <w:bookmarkEnd w:id="6"/>
      <w:bookmarkEnd w:id="7"/>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hint="eastAsia"/>
          <w:sz w:val="24"/>
          <w:szCs w:val="24"/>
        </w:rPr>
        <w:t>地价动态监测成果应进行全面检查审核，审查的主要内容与要求如下：</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t>(1)</w:t>
      </w:r>
      <w:r w:rsidRPr="0041253F">
        <w:rPr>
          <w:rFonts w:asciiTheme="minorEastAsia" w:eastAsiaTheme="minorEastAsia" w:hAnsiTheme="minorEastAsia" w:hint="eastAsia"/>
          <w:sz w:val="24"/>
          <w:szCs w:val="24"/>
        </w:rPr>
        <w:t>监测范围是否符合要求</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t>(2)</w:t>
      </w:r>
      <w:r w:rsidRPr="0041253F">
        <w:rPr>
          <w:rFonts w:asciiTheme="minorEastAsia" w:eastAsiaTheme="minorEastAsia" w:hAnsiTheme="minorEastAsia" w:hint="eastAsia"/>
          <w:sz w:val="24"/>
          <w:szCs w:val="24"/>
        </w:rPr>
        <w:t>地价区段的划分是否合理；</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t>(3)</w:t>
      </w:r>
      <w:r w:rsidRPr="0041253F">
        <w:rPr>
          <w:rFonts w:asciiTheme="minorEastAsia" w:eastAsiaTheme="minorEastAsia" w:hAnsiTheme="minorEastAsia" w:hint="eastAsia"/>
          <w:sz w:val="24"/>
          <w:szCs w:val="24"/>
        </w:rPr>
        <w:t>地价监测点的数量、分布及维护是否符合本标准的要求；</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t>(4)</w:t>
      </w:r>
      <w:r w:rsidRPr="0041253F">
        <w:rPr>
          <w:rFonts w:asciiTheme="minorEastAsia" w:eastAsiaTheme="minorEastAsia" w:hAnsiTheme="minorEastAsia" w:hint="eastAsia"/>
          <w:sz w:val="24"/>
          <w:szCs w:val="24"/>
        </w:rPr>
        <w:t>地价监测点资料是否齐全、真实、地价测算是否科学，地价水平是否合理；</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lastRenderedPageBreak/>
        <w:t>(5)</w:t>
      </w:r>
      <w:r w:rsidRPr="0041253F">
        <w:rPr>
          <w:rFonts w:asciiTheme="minorEastAsia" w:eastAsiaTheme="minorEastAsia" w:hAnsiTheme="minorEastAsia" w:hint="eastAsia"/>
          <w:sz w:val="24"/>
          <w:szCs w:val="24"/>
        </w:rPr>
        <w:t>市场交易样本资料是否真实、有效；</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t>(6)</w:t>
      </w:r>
      <w:r w:rsidRPr="0041253F">
        <w:rPr>
          <w:rFonts w:asciiTheme="minorEastAsia" w:eastAsiaTheme="minorEastAsia" w:hAnsiTheme="minorEastAsia" w:hint="eastAsia"/>
          <w:sz w:val="24"/>
          <w:szCs w:val="24"/>
        </w:rPr>
        <w:t>地价监测点分布图是否清晰，监测点位置否准确，要素是否齐全；</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t>(7)</w:t>
      </w:r>
      <w:r w:rsidRPr="0041253F">
        <w:rPr>
          <w:rFonts w:asciiTheme="minorEastAsia" w:eastAsiaTheme="minorEastAsia" w:hAnsiTheme="minorEastAsia" w:hint="eastAsia"/>
          <w:sz w:val="24"/>
          <w:szCs w:val="24"/>
        </w:rPr>
        <w:t>监测点地价评估报告是否符合估价技术要求；</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t>(8)</w:t>
      </w:r>
      <w:r w:rsidRPr="0041253F">
        <w:rPr>
          <w:rFonts w:asciiTheme="minorEastAsia" w:eastAsiaTheme="minorEastAsia" w:hAnsiTheme="minorEastAsia" w:hint="eastAsia"/>
          <w:sz w:val="24"/>
          <w:szCs w:val="24"/>
        </w:rPr>
        <w:t>监测指标的分析测算是否准确；</w:t>
      </w:r>
      <w:r w:rsidRPr="0041253F">
        <w:rPr>
          <w:rFonts w:asciiTheme="minorEastAsia" w:eastAsiaTheme="minorEastAsia" w:hAnsiTheme="minorEastAsia" w:hint="cs"/>
          <w:sz w:val="24"/>
          <w:szCs w:val="24"/>
        </w:rPr>
        <w:t> </w:t>
      </w:r>
    </w:p>
    <w:p w:rsidR="000D13D3" w:rsidRPr="0041253F" w:rsidRDefault="000D13D3" w:rsidP="000D13D3">
      <w:pPr>
        <w:spacing w:line="480" w:lineRule="auto"/>
        <w:ind w:firstLineChars="200" w:firstLine="480"/>
        <w:jc w:val="left"/>
        <w:rPr>
          <w:rFonts w:asciiTheme="minorEastAsia" w:eastAsiaTheme="minorEastAsia" w:hAnsiTheme="minorEastAsia"/>
          <w:sz w:val="24"/>
          <w:szCs w:val="24"/>
        </w:rPr>
      </w:pPr>
      <w:r w:rsidRPr="0041253F">
        <w:rPr>
          <w:rFonts w:asciiTheme="minorEastAsia" w:eastAsiaTheme="minorEastAsia" w:hAnsiTheme="minorEastAsia"/>
          <w:sz w:val="24"/>
          <w:szCs w:val="24"/>
        </w:rPr>
        <w:t>(9)</w:t>
      </w:r>
      <w:r w:rsidRPr="0041253F">
        <w:rPr>
          <w:rFonts w:asciiTheme="minorEastAsia" w:eastAsiaTheme="minorEastAsia" w:hAnsiTheme="minorEastAsia" w:hint="eastAsia"/>
          <w:sz w:val="24"/>
          <w:szCs w:val="24"/>
        </w:rPr>
        <w:t>城市地价状况年度分析报告是否科学、合理、是否与实际一致，是否反映当地特点；</w:t>
      </w:r>
      <w:r w:rsidRPr="0041253F">
        <w:rPr>
          <w:rFonts w:asciiTheme="minorEastAsia" w:eastAsiaTheme="minorEastAsia" w:hAnsiTheme="minorEastAsia" w:hint="cs"/>
          <w:sz w:val="24"/>
          <w:szCs w:val="24"/>
        </w:rPr>
        <w:t> </w:t>
      </w:r>
    </w:p>
    <w:p w:rsidR="000D13D3" w:rsidRPr="0041253F" w:rsidRDefault="000D13D3" w:rsidP="000D13D3">
      <w:pPr>
        <w:pStyle w:val="a0"/>
        <w:ind w:firstLineChars="200" w:firstLine="480"/>
        <w:rPr>
          <w:rFonts w:asciiTheme="minorEastAsia" w:eastAsiaTheme="minorEastAsia" w:hAnsiTheme="minorEastAsia"/>
        </w:rPr>
      </w:pPr>
      <w:r w:rsidRPr="0041253F">
        <w:rPr>
          <w:rFonts w:asciiTheme="minorEastAsia" w:eastAsiaTheme="minorEastAsia" w:hAnsiTheme="minorEastAsia"/>
          <w:sz w:val="24"/>
          <w:szCs w:val="24"/>
        </w:rPr>
        <w:t>(10) </w:t>
      </w:r>
      <w:r w:rsidRPr="0041253F">
        <w:rPr>
          <w:rFonts w:asciiTheme="minorEastAsia" w:eastAsiaTheme="minorEastAsia" w:hAnsiTheme="minorEastAsia" w:hint="eastAsia"/>
          <w:sz w:val="24"/>
          <w:szCs w:val="24"/>
        </w:rPr>
        <w:t>相关表格、图件和文字报告之间，是否一致。</w:t>
      </w:r>
    </w:p>
    <w:p w:rsidR="00F82379" w:rsidRPr="000D13D3" w:rsidRDefault="00F82379"/>
    <w:sectPr w:rsidR="00F82379" w:rsidRPr="000D13D3" w:rsidSect="00F823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59B" w:rsidRDefault="00D7159B" w:rsidP="000D13D3">
      <w:r>
        <w:separator/>
      </w:r>
    </w:p>
  </w:endnote>
  <w:endnote w:type="continuationSeparator" w:id="0">
    <w:p w:rsidR="00D7159B" w:rsidRDefault="00D7159B" w:rsidP="000D13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59B" w:rsidRDefault="00D7159B" w:rsidP="000D13D3">
      <w:r>
        <w:separator/>
      </w:r>
    </w:p>
  </w:footnote>
  <w:footnote w:type="continuationSeparator" w:id="0">
    <w:p w:rsidR="00D7159B" w:rsidRDefault="00D7159B" w:rsidP="000D13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13D3"/>
    <w:rsid w:val="000066F7"/>
    <w:rsid w:val="000126AD"/>
    <w:rsid w:val="00025992"/>
    <w:rsid w:val="00030E7E"/>
    <w:rsid w:val="000323F9"/>
    <w:rsid w:val="00033963"/>
    <w:rsid w:val="00034E55"/>
    <w:rsid w:val="00036BAF"/>
    <w:rsid w:val="00043660"/>
    <w:rsid w:val="00052346"/>
    <w:rsid w:val="0005435C"/>
    <w:rsid w:val="00054F88"/>
    <w:rsid w:val="0005672C"/>
    <w:rsid w:val="000608ED"/>
    <w:rsid w:val="0006372B"/>
    <w:rsid w:val="0009541B"/>
    <w:rsid w:val="000A35C8"/>
    <w:rsid w:val="000A71C3"/>
    <w:rsid w:val="000A7C73"/>
    <w:rsid w:val="000B27C6"/>
    <w:rsid w:val="000B34E2"/>
    <w:rsid w:val="000B3B4F"/>
    <w:rsid w:val="000B58BD"/>
    <w:rsid w:val="000C4A55"/>
    <w:rsid w:val="000C4C80"/>
    <w:rsid w:val="000D13D3"/>
    <w:rsid w:val="000D15CC"/>
    <w:rsid w:val="000E0765"/>
    <w:rsid w:val="000F2D3E"/>
    <w:rsid w:val="000F3AE8"/>
    <w:rsid w:val="000F4159"/>
    <w:rsid w:val="000F6EAD"/>
    <w:rsid w:val="000F6EE1"/>
    <w:rsid w:val="001037C0"/>
    <w:rsid w:val="00106D1B"/>
    <w:rsid w:val="00116D36"/>
    <w:rsid w:val="00135F78"/>
    <w:rsid w:val="0014417B"/>
    <w:rsid w:val="00145BC4"/>
    <w:rsid w:val="001539A1"/>
    <w:rsid w:val="00153DC5"/>
    <w:rsid w:val="0015404A"/>
    <w:rsid w:val="00160DA8"/>
    <w:rsid w:val="0016424F"/>
    <w:rsid w:val="001662CD"/>
    <w:rsid w:val="00174833"/>
    <w:rsid w:val="00174CDF"/>
    <w:rsid w:val="00182857"/>
    <w:rsid w:val="00182B7D"/>
    <w:rsid w:val="00184792"/>
    <w:rsid w:val="00184CB9"/>
    <w:rsid w:val="00185308"/>
    <w:rsid w:val="0018741F"/>
    <w:rsid w:val="00192D02"/>
    <w:rsid w:val="001A3B4A"/>
    <w:rsid w:val="001B12B6"/>
    <w:rsid w:val="001B1D16"/>
    <w:rsid w:val="001B1ECB"/>
    <w:rsid w:val="001B3B94"/>
    <w:rsid w:val="001B658F"/>
    <w:rsid w:val="001B6C90"/>
    <w:rsid w:val="001B7726"/>
    <w:rsid w:val="001C316A"/>
    <w:rsid w:val="001C4BC5"/>
    <w:rsid w:val="001C7DA5"/>
    <w:rsid w:val="001D62A7"/>
    <w:rsid w:val="001D74B9"/>
    <w:rsid w:val="001E0282"/>
    <w:rsid w:val="001E2EDA"/>
    <w:rsid w:val="001E5D1C"/>
    <w:rsid w:val="001F79B0"/>
    <w:rsid w:val="00205A34"/>
    <w:rsid w:val="00210814"/>
    <w:rsid w:val="00212C8F"/>
    <w:rsid w:val="00213A6D"/>
    <w:rsid w:val="00216E10"/>
    <w:rsid w:val="00221ED4"/>
    <w:rsid w:val="00227F76"/>
    <w:rsid w:val="002336C3"/>
    <w:rsid w:val="00234293"/>
    <w:rsid w:val="002377BE"/>
    <w:rsid w:val="00263ED6"/>
    <w:rsid w:val="00284720"/>
    <w:rsid w:val="00287601"/>
    <w:rsid w:val="00291CB8"/>
    <w:rsid w:val="00297C39"/>
    <w:rsid w:val="002A1A4B"/>
    <w:rsid w:val="002B04A3"/>
    <w:rsid w:val="002B6868"/>
    <w:rsid w:val="002C63B3"/>
    <w:rsid w:val="002C713F"/>
    <w:rsid w:val="002D2A9E"/>
    <w:rsid w:val="002D35C8"/>
    <w:rsid w:val="002D5695"/>
    <w:rsid w:val="002D595C"/>
    <w:rsid w:val="002E57DA"/>
    <w:rsid w:val="002E6E6A"/>
    <w:rsid w:val="002E707D"/>
    <w:rsid w:val="002F5DD7"/>
    <w:rsid w:val="00300D40"/>
    <w:rsid w:val="0030292A"/>
    <w:rsid w:val="00303D9B"/>
    <w:rsid w:val="00304C0D"/>
    <w:rsid w:val="003069A7"/>
    <w:rsid w:val="00310932"/>
    <w:rsid w:val="0031426A"/>
    <w:rsid w:val="003147FE"/>
    <w:rsid w:val="00314B2B"/>
    <w:rsid w:val="00316AAD"/>
    <w:rsid w:val="003210CB"/>
    <w:rsid w:val="00334A8F"/>
    <w:rsid w:val="00334B67"/>
    <w:rsid w:val="003359E3"/>
    <w:rsid w:val="00341ABB"/>
    <w:rsid w:val="00341CC3"/>
    <w:rsid w:val="003471A7"/>
    <w:rsid w:val="0035211B"/>
    <w:rsid w:val="003522CE"/>
    <w:rsid w:val="00357B9B"/>
    <w:rsid w:val="00360A30"/>
    <w:rsid w:val="00362246"/>
    <w:rsid w:val="00381F4E"/>
    <w:rsid w:val="00383EB5"/>
    <w:rsid w:val="003840D0"/>
    <w:rsid w:val="00392C87"/>
    <w:rsid w:val="003A4657"/>
    <w:rsid w:val="003A7DD3"/>
    <w:rsid w:val="003B00A8"/>
    <w:rsid w:val="003B69A1"/>
    <w:rsid w:val="003B6F03"/>
    <w:rsid w:val="003B7DF7"/>
    <w:rsid w:val="003C2DBC"/>
    <w:rsid w:val="003C3E98"/>
    <w:rsid w:val="003C7690"/>
    <w:rsid w:val="003D4A9E"/>
    <w:rsid w:val="003D5D5C"/>
    <w:rsid w:val="003E0060"/>
    <w:rsid w:val="003E1183"/>
    <w:rsid w:val="003E54B9"/>
    <w:rsid w:val="003E578B"/>
    <w:rsid w:val="003E7BA5"/>
    <w:rsid w:val="003F1E6D"/>
    <w:rsid w:val="003F57A2"/>
    <w:rsid w:val="00403736"/>
    <w:rsid w:val="00405972"/>
    <w:rsid w:val="004300DE"/>
    <w:rsid w:val="004311EF"/>
    <w:rsid w:val="004418B3"/>
    <w:rsid w:val="00444B4F"/>
    <w:rsid w:val="00445177"/>
    <w:rsid w:val="00446CA8"/>
    <w:rsid w:val="0045048C"/>
    <w:rsid w:val="00450CBD"/>
    <w:rsid w:val="00453F31"/>
    <w:rsid w:val="004614EC"/>
    <w:rsid w:val="00465499"/>
    <w:rsid w:val="00472555"/>
    <w:rsid w:val="00472A76"/>
    <w:rsid w:val="004738D5"/>
    <w:rsid w:val="00473970"/>
    <w:rsid w:val="00474279"/>
    <w:rsid w:val="0048547A"/>
    <w:rsid w:val="00485C37"/>
    <w:rsid w:val="00486800"/>
    <w:rsid w:val="00486994"/>
    <w:rsid w:val="00495A1B"/>
    <w:rsid w:val="00495A2C"/>
    <w:rsid w:val="004A7AB9"/>
    <w:rsid w:val="004B4695"/>
    <w:rsid w:val="004B6DC7"/>
    <w:rsid w:val="004C3A83"/>
    <w:rsid w:val="004D0EBD"/>
    <w:rsid w:val="004E0115"/>
    <w:rsid w:val="004E216C"/>
    <w:rsid w:val="004E4D8E"/>
    <w:rsid w:val="004E6342"/>
    <w:rsid w:val="004F07AB"/>
    <w:rsid w:val="004F3240"/>
    <w:rsid w:val="00501FBC"/>
    <w:rsid w:val="00511848"/>
    <w:rsid w:val="0051628B"/>
    <w:rsid w:val="0052411D"/>
    <w:rsid w:val="005276FA"/>
    <w:rsid w:val="005279E3"/>
    <w:rsid w:val="00527DA4"/>
    <w:rsid w:val="00544635"/>
    <w:rsid w:val="00546DA9"/>
    <w:rsid w:val="0054708B"/>
    <w:rsid w:val="00563C9B"/>
    <w:rsid w:val="00566298"/>
    <w:rsid w:val="005710B7"/>
    <w:rsid w:val="00572E74"/>
    <w:rsid w:val="005736BE"/>
    <w:rsid w:val="0057496C"/>
    <w:rsid w:val="00576A0D"/>
    <w:rsid w:val="00580CCB"/>
    <w:rsid w:val="005846C9"/>
    <w:rsid w:val="005A0D14"/>
    <w:rsid w:val="005B5B18"/>
    <w:rsid w:val="005B7292"/>
    <w:rsid w:val="005B7912"/>
    <w:rsid w:val="005C3348"/>
    <w:rsid w:val="005C3A38"/>
    <w:rsid w:val="005D220D"/>
    <w:rsid w:val="005D4812"/>
    <w:rsid w:val="005D5B8B"/>
    <w:rsid w:val="005D738B"/>
    <w:rsid w:val="005E0FCE"/>
    <w:rsid w:val="005E4601"/>
    <w:rsid w:val="005E5F1F"/>
    <w:rsid w:val="005E73CC"/>
    <w:rsid w:val="005E7A25"/>
    <w:rsid w:val="006046A3"/>
    <w:rsid w:val="006127FE"/>
    <w:rsid w:val="006271CD"/>
    <w:rsid w:val="0063728B"/>
    <w:rsid w:val="006512F3"/>
    <w:rsid w:val="006612AB"/>
    <w:rsid w:val="00665141"/>
    <w:rsid w:val="00666C5B"/>
    <w:rsid w:val="00672512"/>
    <w:rsid w:val="0067729E"/>
    <w:rsid w:val="00680C52"/>
    <w:rsid w:val="00681EEC"/>
    <w:rsid w:val="00683BDB"/>
    <w:rsid w:val="00683F7B"/>
    <w:rsid w:val="00695E6B"/>
    <w:rsid w:val="006A0431"/>
    <w:rsid w:val="006A7D37"/>
    <w:rsid w:val="006B06D3"/>
    <w:rsid w:val="006B17DA"/>
    <w:rsid w:val="006B2D6A"/>
    <w:rsid w:val="006B3803"/>
    <w:rsid w:val="006B5E58"/>
    <w:rsid w:val="006B5F04"/>
    <w:rsid w:val="006C23F0"/>
    <w:rsid w:val="006D3494"/>
    <w:rsid w:val="006E07C9"/>
    <w:rsid w:val="006E2448"/>
    <w:rsid w:val="006E575B"/>
    <w:rsid w:val="006F311F"/>
    <w:rsid w:val="007005E1"/>
    <w:rsid w:val="0070280C"/>
    <w:rsid w:val="00713463"/>
    <w:rsid w:val="007139A4"/>
    <w:rsid w:val="00714962"/>
    <w:rsid w:val="00721503"/>
    <w:rsid w:val="00722E59"/>
    <w:rsid w:val="00725125"/>
    <w:rsid w:val="0072575B"/>
    <w:rsid w:val="007337A6"/>
    <w:rsid w:val="0074520D"/>
    <w:rsid w:val="00747740"/>
    <w:rsid w:val="007501C5"/>
    <w:rsid w:val="0076215A"/>
    <w:rsid w:val="00763ED1"/>
    <w:rsid w:val="00764166"/>
    <w:rsid w:val="00764A79"/>
    <w:rsid w:val="00764BA3"/>
    <w:rsid w:val="00765382"/>
    <w:rsid w:val="007676DE"/>
    <w:rsid w:val="00780290"/>
    <w:rsid w:val="0078154C"/>
    <w:rsid w:val="00784734"/>
    <w:rsid w:val="00786D08"/>
    <w:rsid w:val="00790255"/>
    <w:rsid w:val="007B3800"/>
    <w:rsid w:val="007C44CF"/>
    <w:rsid w:val="007C5E85"/>
    <w:rsid w:val="007D0672"/>
    <w:rsid w:val="007D1A14"/>
    <w:rsid w:val="007D30E4"/>
    <w:rsid w:val="007D3434"/>
    <w:rsid w:val="007D4113"/>
    <w:rsid w:val="007D54BE"/>
    <w:rsid w:val="007E3768"/>
    <w:rsid w:val="007F0D24"/>
    <w:rsid w:val="007F45F1"/>
    <w:rsid w:val="00803662"/>
    <w:rsid w:val="00810B72"/>
    <w:rsid w:val="00814260"/>
    <w:rsid w:val="008176CE"/>
    <w:rsid w:val="00822BCE"/>
    <w:rsid w:val="00826DA5"/>
    <w:rsid w:val="00830039"/>
    <w:rsid w:val="008338F9"/>
    <w:rsid w:val="00833975"/>
    <w:rsid w:val="008404AE"/>
    <w:rsid w:val="00842A06"/>
    <w:rsid w:val="00844695"/>
    <w:rsid w:val="00854FD8"/>
    <w:rsid w:val="008573D7"/>
    <w:rsid w:val="008632BB"/>
    <w:rsid w:val="00863D1B"/>
    <w:rsid w:val="00864BAA"/>
    <w:rsid w:val="0086558C"/>
    <w:rsid w:val="00866508"/>
    <w:rsid w:val="008721F2"/>
    <w:rsid w:val="0087407C"/>
    <w:rsid w:val="00876C53"/>
    <w:rsid w:val="008775D9"/>
    <w:rsid w:val="008776CA"/>
    <w:rsid w:val="00883CBE"/>
    <w:rsid w:val="0088525B"/>
    <w:rsid w:val="00891919"/>
    <w:rsid w:val="0089192A"/>
    <w:rsid w:val="008951AA"/>
    <w:rsid w:val="008B288F"/>
    <w:rsid w:val="008B28BC"/>
    <w:rsid w:val="008B5D1E"/>
    <w:rsid w:val="008C0C38"/>
    <w:rsid w:val="008C0E72"/>
    <w:rsid w:val="008C0EA7"/>
    <w:rsid w:val="008C558C"/>
    <w:rsid w:val="008C56FD"/>
    <w:rsid w:val="008D3DD3"/>
    <w:rsid w:val="008D63C7"/>
    <w:rsid w:val="008E0B93"/>
    <w:rsid w:val="008E16BD"/>
    <w:rsid w:val="008E3F48"/>
    <w:rsid w:val="008F24E8"/>
    <w:rsid w:val="008F4305"/>
    <w:rsid w:val="008F73A9"/>
    <w:rsid w:val="008F7BA3"/>
    <w:rsid w:val="00900311"/>
    <w:rsid w:val="00911569"/>
    <w:rsid w:val="00911B3D"/>
    <w:rsid w:val="00912348"/>
    <w:rsid w:val="009208EE"/>
    <w:rsid w:val="00923050"/>
    <w:rsid w:val="00923283"/>
    <w:rsid w:val="00930702"/>
    <w:rsid w:val="00935123"/>
    <w:rsid w:val="00937433"/>
    <w:rsid w:val="0094048F"/>
    <w:rsid w:val="009504AE"/>
    <w:rsid w:val="00953098"/>
    <w:rsid w:val="00956784"/>
    <w:rsid w:val="00973109"/>
    <w:rsid w:val="0097400A"/>
    <w:rsid w:val="00975CA4"/>
    <w:rsid w:val="00976A5F"/>
    <w:rsid w:val="0097742D"/>
    <w:rsid w:val="009815D9"/>
    <w:rsid w:val="00983C39"/>
    <w:rsid w:val="009A1CFF"/>
    <w:rsid w:val="009A4DA5"/>
    <w:rsid w:val="009A6925"/>
    <w:rsid w:val="009B0309"/>
    <w:rsid w:val="009B40AB"/>
    <w:rsid w:val="009B6569"/>
    <w:rsid w:val="009C2DD9"/>
    <w:rsid w:val="009C6D0A"/>
    <w:rsid w:val="009D4103"/>
    <w:rsid w:val="009E0596"/>
    <w:rsid w:val="009E3D02"/>
    <w:rsid w:val="009E5A1C"/>
    <w:rsid w:val="009E740B"/>
    <w:rsid w:val="009F484B"/>
    <w:rsid w:val="009F77D2"/>
    <w:rsid w:val="00A018E0"/>
    <w:rsid w:val="00A03B12"/>
    <w:rsid w:val="00A03EBC"/>
    <w:rsid w:val="00A1070F"/>
    <w:rsid w:val="00A122C3"/>
    <w:rsid w:val="00A126E0"/>
    <w:rsid w:val="00A16BA2"/>
    <w:rsid w:val="00A26087"/>
    <w:rsid w:val="00A27F7F"/>
    <w:rsid w:val="00A40EBA"/>
    <w:rsid w:val="00A41E5B"/>
    <w:rsid w:val="00A4518F"/>
    <w:rsid w:val="00A45985"/>
    <w:rsid w:val="00A46DC4"/>
    <w:rsid w:val="00A4719D"/>
    <w:rsid w:val="00A473C6"/>
    <w:rsid w:val="00A564E0"/>
    <w:rsid w:val="00A61F49"/>
    <w:rsid w:val="00A66478"/>
    <w:rsid w:val="00A7123F"/>
    <w:rsid w:val="00A71E80"/>
    <w:rsid w:val="00A74DC7"/>
    <w:rsid w:val="00A759EC"/>
    <w:rsid w:val="00A75FB3"/>
    <w:rsid w:val="00A85DAD"/>
    <w:rsid w:val="00A9048E"/>
    <w:rsid w:val="00A92759"/>
    <w:rsid w:val="00AA4490"/>
    <w:rsid w:val="00AA530E"/>
    <w:rsid w:val="00AA77F5"/>
    <w:rsid w:val="00AB0B42"/>
    <w:rsid w:val="00AB2E8C"/>
    <w:rsid w:val="00AC0F9C"/>
    <w:rsid w:val="00AC53F2"/>
    <w:rsid w:val="00AD29B7"/>
    <w:rsid w:val="00AD6544"/>
    <w:rsid w:val="00AD7F09"/>
    <w:rsid w:val="00AE496C"/>
    <w:rsid w:val="00AE4C11"/>
    <w:rsid w:val="00AF4341"/>
    <w:rsid w:val="00AF751E"/>
    <w:rsid w:val="00B07AE0"/>
    <w:rsid w:val="00B13025"/>
    <w:rsid w:val="00B16F2F"/>
    <w:rsid w:val="00B2099D"/>
    <w:rsid w:val="00B2386A"/>
    <w:rsid w:val="00B23B20"/>
    <w:rsid w:val="00B2653B"/>
    <w:rsid w:val="00B3593C"/>
    <w:rsid w:val="00B40569"/>
    <w:rsid w:val="00B4374D"/>
    <w:rsid w:val="00B4431D"/>
    <w:rsid w:val="00B51EB3"/>
    <w:rsid w:val="00B5670C"/>
    <w:rsid w:val="00B57C6F"/>
    <w:rsid w:val="00B754C5"/>
    <w:rsid w:val="00B85A07"/>
    <w:rsid w:val="00B94B98"/>
    <w:rsid w:val="00BA06B3"/>
    <w:rsid w:val="00BA1D8A"/>
    <w:rsid w:val="00BA22BA"/>
    <w:rsid w:val="00BA404B"/>
    <w:rsid w:val="00BB3A05"/>
    <w:rsid w:val="00BB5B08"/>
    <w:rsid w:val="00BC4DB5"/>
    <w:rsid w:val="00BD22F1"/>
    <w:rsid w:val="00BD6C9D"/>
    <w:rsid w:val="00BE511C"/>
    <w:rsid w:val="00C020DD"/>
    <w:rsid w:val="00C1050E"/>
    <w:rsid w:val="00C113C8"/>
    <w:rsid w:val="00C1397B"/>
    <w:rsid w:val="00C146F9"/>
    <w:rsid w:val="00C164A2"/>
    <w:rsid w:val="00C173D1"/>
    <w:rsid w:val="00C1772C"/>
    <w:rsid w:val="00C27AC1"/>
    <w:rsid w:val="00C351A3"/>
    <w:rsid w:val="00C63D91"/>
    <w:rsid w:val="00C65AF0"/>
    <w:rsid w:val="00C66532"/>
    <w:rsid w:val="00C678EB"/>
    <w:rsid w:val="00C729BD"/>
    <w:rsid w:val="00C80793"/>
    <w:rsid w:val="00C80E95"/>
    <w:rsid w:val="00C8647D"/>
    <w:rsid w:val="00C8670F"/>
    <w:rsid w:val="00C905B6"/>
    <w:rsid w:val="00C92506"/>
    <w:rsid w:val="00CA317C"/>
    <w:rsid w:val="00CA42D1"/>
    <w:rsid w:val="00CA5A74"/>
    <w:rsid w:val="00CB1633"/>
    <w:rsid w:val="00CB4AC2"/>
    <w:rsid w:val="00CB5A74"/>
    <w:rsid w:val="00CC5064"/>
    <w:rsid w:val="00CD0B20"/>
    <w:rsid w:val="00CE662D"/>
    <w:rsid w:val="00CF3A33"/>
    <w:rsid w:val="00CF4A32"/>
    <w:rsid w:val="00CF67C0"/>
    <w:rsid w:val="00D02E40"/>
    <w:rsid w:val="00D04256"/>
    <w:rsid w:val="00D13886"/>
    <w:rsid w:val="00D143E9"/>
    <w:rsid w:val="00D22541"/>
    <w:rsid w:val="00D22B31"/>
    <w:rsid w:val="00D31807"/>
    <w:rsid w:val="00D32727"/>
    <w:rsid w:val="00D353FA"/>
    <w:rsid w:val="00D377BB"/>
    <w:rsid w:val="00D42A83"/>
    <w:rsid w:val="00D44E94"/>
    <w:rsid w:val="00D5541D"/>
    <w:rsid w:val="00D626C6"/>
    <w:rsid w:val="00D627DF"/>
    <w:rsid w:val="00D6771C"/>
    <w:rsid w:val="00D7159B"/>
    <w:rsid w:val="00D71AA9"/>
    <w:rsid w:val="00D71AF2"/>
    <w:rsid w:val="00D75A7B"/>
    <w:rsid w:val="00D77EBB"/>
    <w:rsid w:val="00D82CE6"/>
    <w:rsid w:val="00D845AC"/>
    <w:rsid w:val="00D8647A"/>
    <w:rsid w:val="00D92755"/>
    <w:rsid w:val="00D92EF1"/>
    <w:rsid w:val="00D94C36"/>
    <w:rsid w:val="00D976FB"/>
    <w:rsid w:val="00DA7EA3"/>
    <w:rsid w:val="00DB0462"/>
    <w:rsid w:val="00DB0F46"/>
    <w:rsid w:val="00DB2A42"/>
    <w:rsid w:val="00DB5505"/>
    <w:rsid w:val="00DC167F"/>
    <w:rsid w:val="00DC265C"/>
    <w:rsid w:val="00DC448E"/>
    <w:rsid w:val="00DD30E5"/>
    <w:rsid w:val="00E01E42"/>
    <w:rsid w:val="00E03662"/>
    <w:rsid w:val="00E0381B"/>
    <w:rsid w:val="00E03BA3"/>
    <w:rsid w:val="00E07511"/>
    <w:rsid w:val="00E15B1F"/>
    <w:rsid w:val="00E17B75"/>
    <w:rsid w:val="00E229EC"/>
    <w:rsid w:val="00E34999"/>
    <w:rsid w:val="00E351CC"/>
    <w:rsid w:val="00E37B34"/>
    <w:rsid w:val="00E413E2"/>
    <w:rsid w:val="00E45B48"/>
    <w:rsid w:val="00E45E34"/>
    <w:rsid w:val="00E55DD0"/>
    <w:rsid w:val="00E76DD7"/>
    <w:rsid w:val="00E77FC6"/>
    <w:rsid w:val="00E80014"/>
    <w:rsid w:val="00E839AC"/>
    <w:rsid w:val="00E8795F"/>
    <w:rsid w:val="00E91CC1"/>
    <w:rsid w:val="00E927B4"/>
    <w:rsid w:val="00E92E62"/>
    <w:rsid w:val="00E973FE"/>
    <w:rsid w:val="00EA149D"/>
    <w:rsid w:val="00EA1622"/>
    <w:rsid w:val="00EA4609"/>
    <w:rsid w:val="00EA4D8D"/>
    <w:rsid w:val="00EC2D15"/>
    <w:rsid w:val="00EC7B5C"/>
    <w:rsid w:val="00ED039B"/>
    <w:rsid w:val="00ED294A"/>
    <w:rsid w:val="00ED3A59"/>
    <w:rsid w:val="00ED73D9"/>
    <w:rsid w:val="00EE586D"/>
    <w:rsid w:val="00EE6B89"/>
    <w:rsid w:val="00EF6A39"/>
    <w:rsid w:val="00F066BD"/>
    <w:rsid w:val="00F1227E"/>
    <w:rsid w:val="00F15A95"/>
    <w:rsid w:val="00F16A8E"/>
    <w:rsid w:val="00F24F28"/>
    <w:rsid w:val="00F32C9A"/>
    <w:rsid w:val="00F330E4"/>
    <w:rsid w:val="00F36D03"/>
    <w:rsid w:val="00F376F5"/>
    <w:rsid w:val="00F4132F"/>
    <w:rsid w:val="00F512A3"/>
    <w:rsid w:val="00F53470"/>
    <w:rsid w:val="00F56BF3"/>
    <w:rsid w:val="00F56C67"/>
    <w:rsid w:val="00F57C28"/>
    <w:rsid w:val="00F602B6"/>
    <w:rsid w:val="00F62D16"/>
    <w:rsid w:val="00F65064"/>
    <w:rsid w:val="00F72115"/>
    <w:rsid w:val="00F73387"/>
    <w:rsid w:val="00F801D8"/>
    <w:rsid w:val="00F82379"/>
    <w:rsid w:val="00F82BF4"/>
    <w:rsid w:val="00F87932"/>
    <w:rsid w:val="00F9133D"/>
    <w:rsid w:val="00F924D7"/>
    <w:rsid w:val="00FA2955"/>
    <w:rsid w:val="00FA2E72"/>
    <w:rsid w:val="00FA5BB8"/>
    <w:rsid w:val="00FA63D7"/>
    <w:rsid w:val="00FB20B5"/>
    <w:rsid w:val="00FB2695"/>
    <w:rsid w:val="00FB34B3"/>
    <w:rsid w:val="00FC1C13"/>
    <w:rsid w:val="00FC2C24"/>
    <w:rsid w:val="00FE0D78"/>
    <w:rsid w:val="00FE24F9"/>
    <w:rsid w:val="00FE4F08"/>
    <w:rsid w:val="00FE5337"/>
    <w:rsid w:val="00FF50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0D13D3"/>
    <w:pPr>
      <w:widowControl w:val="0"/>
      <w:jc w:val="both"/>
    </w:pPr>
    <w:rPr>
      <w:rFonts w:ascii="Times New Roman" w:eastAsia="仿宋_GB2312" w:hAnsi="Times New Roman" w:cs="Times New Roman"/>
      <w:sz w:val="3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0D13D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0D13D3"/>
    <w:rPr>
      <w:sz w:val="18"/>
      <w:szCs w:val="18"/>
    </w:rPr>
  </w:style>
  <w:style w:type="paragraph" w:styleId="a5">
    <w:name w:val="footer"/>
    <w:basedOn w:val="a"/>
    <w:link w:val="Char0"/>
    <w:uiPriority w:val="99"/>
    <w:semiHidden/>
    <w:unhideWhenUsed/>
    <w:rsid w:val="000D13D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rsid w:val="000D13D3"/>
    <w:rPr>
      <w:sz w:val="18"/>
      <w:szCs w:val="18"/>
    </w:rPr>
  </w:style>
  <w:style w:type="paragraph" w:styleId="a0">
    <w:name w:val="Body Text"/>
    <w:basedOn w:val="a"/>
    <w:link w:val="Char1"/>
    <w:uiPriority w:val="99"/>
    <w:unhideWhenUsed/>
    <w:rsid w:val="000D13D3"/>
    <w:pPr>
      <w:spacing w:after="120"/>
    </w:pPr>
  </w:style>
  <w:style w:type="character" w:customStyle="1" w:styleId="Char1">
    <w:name w:val="正文文本 Char"/>
    <w:basedOn w:val="a1"/>
    <w:link w:val="a0"/>
    <w:uiPriority w:val="99"/>
    <w:rsid w:val="000D13D3"/>
    <w:rPr>
      <w:rFonts w:ascii="Times New Roman" w:eastAsia="仿宋_GB2312" w:hAnsi="Times New Roman" w:cs="Times New Roman"/>
      <w:sz w:val="30"/>
      <w:szCs w:val="20"/>
    </w:rPr>
  </w:style>
  <w:style w:type="paragraph" w:styleId="a6">
    <w:name w:val="Document Map"/>
    <w:basedOn w:val="a"/>
    <w:link w:val="Char2"/>
    <w:uiPriority w:val="99"/>
    <w:semiHidden/>
    <w:unhideWhenUsed/>
    <w:rsid w:val="000D13D3"/>
    <w:rPr>
      <w:rFonts w:ascii="宋体" w:eastAsia="宋体"/>
      <w:sz w:val="18"/>
      <w:szCs w:val="18"/>
    </w:rPr>
  </w:style>
  <w:style w:type="character" w:customStyle="1" w:styleId="Char2">
    <w:name w:val="文档结构图 Char"/>
    <w:basedOn w:val="a1"/>
    <w:link w:val="a6"/>
    <w:uiPriority w:val="99"/>
    <w:semiHidden/>
    <w:rsid w:val="000D13D3"/>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541</Words>
  <Characters>3087</Characters>
  <Application>Microsoft Office Word</Application>
  <DocSecurity>0</DocSecurity>
  <Lines>25</Lines>
  <Paragraphs>7</Paragraphs>
  <ScaleCrop>false</ScaleCrop>
  <Company/>
  <LinksUpToDate>false</LinksUpToDate>
  <CharactersWithSpaces>3621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2020-04-16T09:02:00Z</dcterms:created>
  <dcterms:modified xsi:type="dcterms:W3CDTF">2020-04-16T09:02:00Z</dcterms:modified>
</cp:coreProperties>
</file>