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ind w:right="839"/>
        <w:jc w:val="right"/>
        <w:rPr>
          <w:rFonts w:hint="eastAsia" w:ascii="Arial Black" w:hAnsi="Arial Black" w:cs="宋体"/>
          <w:kern w:val="0"/>
          <w:sz w:val="108"/>
          <w:szCs w:val="108"/>
        </w:rPr>
      </w:pPr>
    </w:p>
    <w:p>
      <w:pPr>
        <w:widowControl/>
        <w:snapToGrid w:val="0"/>
        <w:spacing w:after="156" w:afterLines="50"/>
        <w:jc w:val="center"/>
        <w:outlineLvl w:val="0"/>
        <w:rPr>
          <w:rFonts w:hint="eastAsia" w:ascii="方正小标宋_GBK" w:eastAsia="方正小标宋_GBK"/>
          <w:w w:val="80"/>
          <w:kern w:val="0"/>
          <w:sz w:val="66"/>
          <w:szCs w:val="52"/>
        </w:rPr>
      </w:pPr>
      <w:bookmarkStart w:id="0" w:name="_Toc453081684"/>
      <w:bookmarkStart w:id="1" w:name="_Toc451416690"/>
      <w:bookmarkStart w:id="2" w:name="_Toc452993779"/>
      <w:bookmarkStart w:id="3" w:name="_Toc488762287"/>
      <w:r>
        <w:rPr>
          <w:rFonts w:hint="eastAsia" w:ascii="方正小标宋_GBK" w:eastAsia="方正小标宋_GBK"/>
          <w:w w:val="80"/>
          <w:kern w:val="0"/>
          <w:sz w:val="66"/>
          <w:szCs w:val="52"/>
        </w:rPr>
        <w:t>湖南省炭质页岩勘查评价技术要求</w:t>
      </w:r>
      <w:bookmarkEnd w:id="0"/>
      <w:bookmarkEnd w:id="1"/>
      <w:bookmarkEnd w:id="2"/>
      <w:bookmarkEnd w:id="3"/>
    </w:p>
    <w:p>
      <w:pPr>
        <w:widowControl/>
        <w:snapToGrid w:val="0"/>
        <w:rPr>
          <w:kern w:val="0"/>
          <w:szCs w:val="21"/>
        </w:rPr>
      </w:pPr>
      <w:r>
        <w:rPr>
          <w:b/>
          <w:kern w:val="0"/>
          <w:szCs w:val="21"/>
        </w:rPr>
        <w:fldChar w:fldCharType="begin"/>
      </w:r>
      <w:r>
        <w:rPr>
          <w:rFonts w:hint="eastAsia"/>
          <w:b/>
          <w:kern w:val="0"/>
          <w:szCs w:val="21"/>
        </w:rPr>
        <w:instrText xml:space="preserve">INCLUDEPICTURE "../../../../../地质/规范和标准/规范3/铝土矿、冶镁菱镁矿地质勘查规范.files/image001.gif" \* MERGEFORMAT</w:instrText>
      </w:r>
      <w:r>
        <w:rPr>
          <w:b/>
          <w:kern w:val="0"/>
          <w:szCs w:val="21"/>
        </w:rPr>
        <w:instrText xml:space="preserve"> </w:instrText>
      </w:r>
      <w:r>
        <w:rPr>
          <w:b/>
          <w:kern w:val="0"/>
          <w:szCs w:val="21"/>
        </w:rPr>
        <w:fldChar w:fldCharType="separate"/>
      </w:r>
      <w:r>
        <w:rPr>
          <w:b/>
          <w:kern w:val="0"/>
          <w:szCs w:val="21"/>
        </w:rPr>
        <w:drawing>
          <wp:inline distT="0" distB="0" distL="114300" distR="114300">
            <wp:extent cx="5271135" cy="25400"/>
            <wp:effectExtent l="0" t="0" r="0" b="0"/>
            <wp:docPr id="2"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age001"/>
                    <pic:cNvPicPr>
                      <a:picLocks noChangeAspect="1"/>
                    </pic:cNvPicPr>
                  </pic:nvPicPr>
                  <pic:blipFill>
                    <a:blip r:embed="rId11"/>
                    <a:stretch>
                      <a:fillRect/>
                    </a:stretch>
                  </pic:blipFill>
                  <pic:spPr>
                    <a:xfrm>
                      <a:off x="0" y="0"/>
                      <a:ext cx="5271135" cy="25400"/>
                    </a:xfrm>
                    <a:prstGeom prst="rect">
                      <a:avLst/>
                    </a:prstGeom>
                    <a:noFill/>
                    <a:ln w="9525">
                      <a:noFill/>
                    </a:ln>
                  </pic:spPr>
                </pic:pic>
              </a:graphicData>
            </a:graphic>
          </wp:inline>
        </w:drawing>
      </w:r>
      <w:r>
        <w:rPr>
          <w:b/>
          <w:kern w:val="0"/>
          <w:szCs w:val="21"/>
        </w:rPr>
        <w:fldChar w:fldCharType="end"/>
      </w: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 w:val="28"/>
          <w:szCs w:val="28"/>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kern w:val="0"/>
          <w:szCs w:val="21"/>
        </w:rPr>
      </w:pPr>
    </w:p>
    <w:p>
      <w:pPr>
        <w:widowControl/>
        <w:snapToGrid w:val="0"/>
        <w:jc w:val="center"/>
        <w:rPr>
          <w:rFonts w:hint="eastAsia" w:ascii="黑体" w:hAnsi="黑体" w:eastAsia="黑体"/>
          <w:kern w:val="0"/>
          <w:szCs w:val="21"/>
        </w:rPr>
      </w:pPr>
    </w:p>
    <w:p>
      <w:pPr>
        <w:widowControl/>
        <w:snapToGrid w:val="0"/>
        <w:jc w:val="center"/>
        <w:rPr>
          <w:rFonts w:ascii="黑体" w:hAnsi="黑体" w:eastAsia="黑体"/>
          <w:kern w:val="0"/>
          <w:szCs w:val="21"/>
        </w:rPr>
      </w:pPr>
    </w:p>
    <w:p>
      <w:pPr>
        <w:widowControl/>
        <w:snapToGrid w:val="0"/>
        <w:rPr>
          <w:rFonts w:hint="eastAsia" w:ascii="宋体" w:hAnsi="宋体"/>
          <w:kern w:val="0"/>
          <w:sz w:val="32"/>
          <w:szCs w:val="32"/>
        </w:rPr>
      </w:pPr>
      <w:r>
        <w:rPr>
          <w:rFonts w:eastAsia="楷体_GB2312"/>
          <w:kern w:val="0"/>
          <w:sz w:val="32"/>
          <w:szCs w:val="32"/>
        </w:rPr>
        <w:t>2017年7月25日发布          2017年10月1日实施</w:t>
      </w:r>
      <w:r>
        <w:rPr>
          <w:b/>
          <w:kern w:val="0"/>
          <w:szCs w:val="21"/>
        </w:rPr>
        <w:fldChar w:fldCharType="begin"/>
      </w:r>
      <w:r>
        <w:rPr>
          <w:rFonts w:hint="eastAsia"/>
          <w:b/>
          <w:kern w:val="0"/>
          <w:szCs w:val="21"/>
        </w:rPr>
        <w:instrText xml:space="preserve">INCLUDEPICTURE "../../../../../地质/规范和标准/规范3/铝土矿、冶镁菱镁矿地质勘查规范.files/image001.gif" \* MERGEFORMAT</w:instrText>
      </w:r>
      <w:r>
        <w:rPr>
          <w:b/>
          <w:kern w:val="0"/>
          <w:szCs w:val="21"/>
        </w:rPr>
        <w:instrText xml:space="preserve"> </w:instrText>
      </w:r>
      <w:r>
        <w:rPr>
          <w:b/>
          <w:kern w:val="0"/>
          <w:szCs w:val="21"/>
        </w:rPr>
        <w:fldChar w:fldCharType="separate"/>
      </w:r>
      <w:r>
        <w:rPr>
          <w:b/>
          <w:kern w:val="0"/>
          <w:szCs w:val="21"/>
        </w:rPr>
        <w:drawing>
          <wp:inline distT="0" distB="0" distL="114300" distR="114300">
            <wp:extent cx="5271135" cy="25400"/>
            <wp:effectExtent l="0" t="0" r="0" b="0"/>
            <wp:docPr id="1" name="图片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age001"/>
                    <pic:cNvPicPr>
                      <a:picLocks noChangeAspect="1"/>
                    </pic:cNvPicPr>
                  </pic:nvPicPr>
                  <pic:blipFill>
                    <a:blip r:embed="rId11"/>
                    <a:stretch>
                      <a:fillRect/>
                    </a:stretch>
                  </pic:blipFill>
                  <pic:spPr>
                    <a:xfrm>
                      <a:off x="0" y="0"/>
                      <a:ext cx="5271135" cy="25400"/>
                    </a:xfrm>
                    <a:prstGeom prst="rect">
                      <a:avLst/>
                    </a:prstGeom>
                    <a:noFill/>
                    <a:ln w="9525">
                      <a:noFill/>
                    </a:ln>
                  </pic:spPr>
                </pic:pic>
              </a:graphicData>
            </a:graphic>
          </wp:inline>
        </w:drawing>
      </w:r>
      <w:r>
        <w:rPr>
          <w:b/>
          <w:kern w:val="0"/>
          <w:szCs w:val="21"/>
        </w:rPr>
        <w:fldChar w:fldCharType="end"/>
      </w:r>
    </w:p>
    <w:p>
      <w:pPr>
        <w:widowControl/>
        <w:snapToGrid w:val="0"/>
        <w:spacing w:line="360" w:lineRule="auto"/>
        <w:jc w:val="center"/>
        <w:rPr>
          <w:rFonts w:ascii="楷体_GB2312" w:hAnsi="宋体" w:eastAsia="楷体_GB2312"/>
          <w:kern w:val="0"/>
          <w:sz w:val="32"/>
          <w:szCs w:val="32"/>
        </w:rPr>
      </w:pPr>
      <w:r>
        <w:rPr>
          <w:rFonts w:hint="eastAsia" w:ascii="楷体_GB2312" w:hAnsi="宋体" w:eastAsia="楷体_GB2312"/>
          <w:kern w:val="0"/>
          <w:sz w:val="32"/>
          <w:szCs w:val="32"/>
        </w:rPr>
        <w:t>湖南省国土资源厅发布</w:t>
      </w:r>
    </w:p>
    <w:p>
      <w:pPr>
        <w:widowControl/>
        <w:snapToGrid w:val="0"/>
        <w:spacing w:line="360" w:lineRule="auto"/>
        <w:jc w:val="center"/>
        <w:rPr>
          <w:rFonts w:hint="eastAsia" w:ascii="楷体_GB2312" w:hAnsi="宋体" w:eastAsia="楷体_GB2312"/>
          <w:kern w:val="0"/>
          <w:sz w:val="32"/>
          <w:szCs w:val="32"/>
        </w:rPr>
        <w:sectPr>
          <w:footerReference r:id="rId6" w:type="first"/>
          <w:headerReference r:id="rId3" w:type="defaul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pPr>
      <w:r>
        <w:rPr>
          <w:rFonts w:ascii="楷体_GB2312" w:hAnsi="宋体" w:eastAsia="楷体_GB2312"/>
          <w:kern w:val="0"/>
          <w:sz w:val="32"/>
          <w:szCs w:val="32"/>
        </w:rPr>
        <w:br w:type="page"/>
      </w:r>
    </w:p>
    <w:p>
      <w:pPr>
        <w:widowControl/>
        <w:snapToGrid w:val="0"/>
        <w:spacing w:line="360" w:lineRule="auto"/>
        <w:jc w:val="center"/>
        <w:rPr>
          <w:rFonts w:hint="eastAsia" w:ascii="黑体" w:hAnsi="黑体" w:eastAsia="黑体"/>
          <w:kern w:val="0"/>
          <w:sz w:val="24"/>
        </w:rPr>
      </w:pPr>
    </w:p>
    <w:p>
      <w:pPr>
        <w:widowControl/>
        <w:snapToGrid w:val="0"/>
        <w:jc w:val="center"/>
        <w:rPr>
          <w:rFonts w:hint="eastAsia" w:ascii="方正小标宋_GBK" w:hAnsi="黑体" w:eastAsia="方正小标宋_GBK"/>
          <w:kern w:val="0"/>
          <w:sz w:val="44"/>
          <w:szCs w:val="44"/>
        </w:rPr>
      </w:pPr>
      <w:r>
        <w:rPr>
          <w:rFonts w:hint="eastAsia" w:ascii="方正小标宋_GBK" w:hAnsi="黑体" w:eastAsia="方正小标宋_GBK"/>
          <w:kern w:val="0"/>
          <w:sz w:val="44"/>
          <w:szCs w:val="44"/>
        </w:rPr>
        <w:t>目   录</w:t>
      </w:r>
    </w:p>
    <w:p>
      <w:pPr>
        <w:widowControl/>
        <w:snapToGrid w:val="0"/>
        <w:jc w:val="center"/>
        <w:rPr>
          <w:rFonts w:hint="eastAsia" w:ascii="方正小标宋_GBK" w:hAnsi="黑体" w:eastAsia="方正小标宋_GBK"/>
          <w:kern w:val="0"/>
          <w:sz w:val="32"/>
          <w:szCs w:val="32"/>
        </w:rPr>
      </w:pPr>
    </w:p>
    <w:p>
      <w:pPr>
        <w:pStyle w:val="6"/>
        <w:tabs>
          <w:tab w:val="right" w:leader="dot" w:pos="8296"/>
        </w:tabs>
        <w:spacing w:line="600" w:lineRule="exact"/>
        <w:rPr>
          <w:rFonts w:ascii="宋体" w:hAnsi="宋体"/>
          <w:sz w:val="32"/>
          <w:szCs w:val="32"/>
        </w:rPr>
      </w:pPr>
      <w:r>
        <w:rPr>
          <w:rFonts w:ascii="宋体" w:hAnsi="宋体"/>
          <w:kern w:val="0"/>
          <w:sz w:val="32"/>
          <w:szCs w:val="32"/>
        </w:rPr>
        <w:fldChar w:fldCharType="begin"/>
      </w:r>
      <w:r>
        <w:rPr>
          <w:rFonts w:ascii="宋体" w:hAnsi="宋体"/>
          <w:kern w:val="0"/>
          <w:sz w:val="32"/>
          <w:szCs w:val="32"/>
        </w:rPr>
        <w:instrText xml:space="preserve"> TOC \o "1-3" \h \z \u </w:instrText>
      </w:r>
      <w:r>
        <w:rPr>
          <w:rFonts w:ascii="宋体" w:hAnsi="宋体"/>
          <w:kern w:val="0"/>
          <w:sz w:val="32"/>
          <w:szCs w:val="32"/>
        </w:rPr>
        <w:fldChar w:fldCharType="separate"/>
      </w: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"_Toc488762288"</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sz w:val="32"/>
          <w:szCs w:val="32"/>
        </w:rPr>
        <w:t>前</w:t>
      </w:r>
      <w:r>
        <w:rPr>
          <w:rStyle w:val="11"/>
          <w:rFonts w:ascii="宋体" w:hAnsi="宋体"/>
          <w:color w:val="auto"/>
          <w:sz w:val="32"/>
          <w:szCs w:val="32"/>
        </w:rPr>
        <w:t xml:space="preserve">    </w:t>
      </w:r>
      <w:r>
        <w:rPr>
          <w:rStyle w:val="11"/>
          <w:rFonts w:hint="eastAsia" w:ascii="宋体" w:hAnsi="宋体"/>
          <w:color w:val="auto"/>
          <w:sz w:val="32"/>
          <w:szCs w:val="32"/>
        </w:rPr>
        <w:t>言</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_Toc488762288 \h </w:instrText>
      </w:r>
      <w:r>
        <w:rPr>
          <w:rFonts w:ascii="宋体" w:hAnsi="宋体"/>
          <w:sz w:val="32"/>
          <w:szCs w:val="32"/>
        </w:rPr>
        <w:fldChar w:fldCharType="separate"/>
      </w:r>
      <w:r>
        <w:rPr>
          <w:rFonts w:ascii="宋体" w:hAnsi="宋体"/>
          <w:sz w:val="32"/>
          <w:szCs w:val="32"/>
        </w:rPr>
        <w:t>1</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"_Toc488762289"</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sz w:val="32"/>
          <w:szCs w:val="32"/>
        </w:rPr>
        <w:t>湖南省炭质页岩勘查评价技术要求</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_Toc488762289 \h </w:instrText>
      </w:r>
      <w:r>
        <w:rPr>
          <w:rFonts w:ascii="宋体" w:hAnsi="宋体"/>
          <w:sz w:val="32"/>
          <w:szCs w:val="32"/>
        </w:rPr>
        <w:fldChar w:fldCharType="separate"/>
      </w:r>
      <w:r>
        <w:rPr>
          <w:rFonts w:ascii="宋体" w:hAnsi="宋体"/>
          <w:sz w:val="32"/>
          <w:szCs w:val="32"/>
        </w:rPr>
        <w:t>1</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"_Toc488762290"</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sz w:val="32"/>
          <w:szCs w:val="32"/>
        </w:rPr>
        <w:t xml:space="preserve">1  </w:t>
      </w:r>
      <w:r>
        <w:rPr>
          <w:rStyle w:val="11"/>
          <w:rFonts w:hint="eastAsia" w:ascii="宋体" w:hAnsi="宋体"/>
          <w:b/>
          <w:color w:val="auto"/>
          <w:sz w:val="32"/>
          <w:szCs w:val="32"/>
        </w:rPr>
        <w:t>范围</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_Toc488762290 \h </w:instrText>
      </w:r>
      <w:r>
        <w:rPr>
          <w:rFonts w:ascii="宋体" w:hAnsi="宋体"/>
          <w:sz w:val="32"/>
          <w:szCs w:val="32"/>
        </w:rPr>
        <w:fldChar w:fldCharType="separate"/>
      </w:r>
      <w:r>
        <w:rPr>
          <w:rFonts w:ascii="宋体" w:hAnsi="宋体"/>
          <w:sz w:val="32"/>
          <w:szCs w:val="32"/>
        </w:rPr>
        <w:t>1</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"_Toc488762291"</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sz w:val="32"/>
          <w:szCs w:val="32"/>
        </w:rPr>
        <w:t xml:space="preserve">2  </w:t>
      </w:r>
      <w:r>
        <w:rPr>
          <w:rStyle w:val="11"/>
          <w:rFonts w:hint="eastAsia" w:ascii="宋体" w:hAnsi="宋体"/>
          <w:b/>
          <w:color w:val="auto"/>
          <w:sz w:val="32"/>
          <w:szCs w:val="32"/>
        </w:rPr>
        <w:t>术语与定义</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_Toc488762291 \h </w:instrText>
      </w:r>
      <w:r>
        <w:rPr>
          <w:rFonts w:ascii="宋体" w:hAnsi="宋体"/>
          <w:sz w:val="32"/>
          <w:szCs w:val="32"/>
        </w:rPr>
        <w:fldChar w:fldCharType="separate"/>
      </w:r>
      <w:r>
        <w:rPr>
          <w:rFonts w:ascii="宋体" w:hAnsi="宋体"/>
          <w:sz w:val="32"/>
          <w:szCs w:val="32"/>
        </w:rPr>
        <w:t>1</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"_Toc488762292"</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sz w:val="32"/>
          <w:szCs w:val="32"/>
        </w:rPr>
        <w:t xml:space="preserve">3  </w:t>
      </w:r>
      <w:r>
        <w:rPr>
          <w:rStyle w:val="11"/>
          <w:rFonts w:hint="eastAsia" w:ascii="宋体" w:hAnsi="宋体"/>
          <w:b/>
          <w:color w:val="auto"/>
          <w:sz w:val="32"/>
          <w:szCs w:val="32"/>
        </w:rPr>
        <w:t>规范性引用文件</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_Toc488762292 \h </w:instrText>
      </w:r>
      <w:r>
        <w:rPr>
          <w:rFonts w:ascii="宋体" w:hAnsi="宋体"/>
          <w:sz w:val="32"/>
          <w:szCs w:val="32"/>
        </w:rPr>
        <w:fldChar w:fldCharType="separate"/>
      </w:r>
      <w:r>
        <w:rPr>
          <w:rFonts w:ascii="宋体" w:hAnsi="宋体"/>
          <w:sz w:val="32"/>
          <w:szCs w:val="32"/>
        </w:rPr>
        <w:t>1</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"_Toc488762293"</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sz w:val="32"/>
          <w:szCs w:val="32"/>
        </w:rPr>
        <w:t xml:space="preserve">4  </w:t>
      </w:r>
      <w:r>
        <w:rPr>
          <w:rStyle w:val="11"/>
          <w:rFonts w:hint="eastAsia" w:ascii="宋体" w:hAnsi="宋体"/>
          <w:b/>
          <w:color w:val="auto"/>
          <w:sz w:val="32"/>
          <w:szCs w:val="32"/>
        </w:rPr>
        <w:t>基本原则</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_Toc488762293 \h </w:instrText>
      </w:r>
      <w:r>
        <w:rPr>
          <w:rFonts w:ascii="宋体" w:hAnsi="宋体"/>
          <w:sz w:val="32"/>
          <w:szCs w:val="32"/>
        </w:rPr>
        <w:fldChar w:fldCharType="separate"/>
      </w:r>
      <w:r>
        <w:rPr>
          <w:rFonts w:ascii="宋体" w:hAnsi="宋体"/>
          <w:sz w:val="32"/>
          <w:szCs w:val="32"/>
        </w:rPr>
        <w:t>2</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"_Toc488762294"</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sz w:val="32"/>
          <w:szCs w:val="32"/>
        </w:rPr>
        <w:t xml:space="preserve">5  </w:t>
      </w:r>
      <w:r>
        <w:rPr>
          <w:rStyle w:val="11"/>
          <w:rFonts w:hint="eastAsia" w:ascii="宋体" w:hAnsi="宋体"/>
          <w:b/>
          <w:color w:val="auto"/>
          <w:sz w:val="32"/>
          <w:szCs w:val="32"/>
        </w:rPr>
        <w:t>目的任务</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_Toc488762294 \h </w:instrText>
      </w:r>
      <w:r>
        <w:rPr>
          <w:rFonts w:ascii="宋体" w:hAnsi="宋体"/>
          <w:sz w:val="32"/>
          <w:szCs w:val="32"/>
        </w:rPr>
        <w:fldChar w:fldCharType="separate"/>
      </w:r>
      <w:r>
        <w:rPr>
          <w:rFonts w:ascii="宋体" w:hAnsi="宋体"/>
          <w:sz w:val="32"/>
          <w:szCs w:val="32"/>
        </w:rPr>
        <w:t>3</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"_Toc488762295"</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sz w:val="32"/>
          <w:szCs w:val="32"/>
        </w:rPr>
        <w:t xml:space="preserve">5.1  </w:t>
      </w:r>
      <w:r>
        <w:rPr>
          <w:rStyle w:val="11"/>
          <w:rFonts w:hint="eastAsia" w:ascii="宋体" w:hAnsi="宋体" w:eastAsia="宋体"/>
          <w:color w:val="auto"/>
          <w:sz w:val="32"/>
          <w:szCs w:val="32"/>
        </w:rPr>
        <w:t>目的</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_Toc488762295 \h </w:instrText>
      </w:r>
      <w:r>
        <w:rPr>
          <w:rFonts w:ascii="宋体" w:hAnsi="宋体" w:eastAsia="宋体"/>
          <w:sz w:val="32"/>
          <w:szCs w:val="32"/>
        </w:rPr>
        <w:fldChar w:fldCharType="separate"/>
      </w:r>
      <w:r>
        <w:rPr>
          <w:rFonts w:ascii="宋体" w:hAnsi="宋体" w:eastAsia="宋体"/>
          <w:sz w:val="32"/>
          <w:szCs w:val="32"/>
        </w:rPr>
        <w:t>3</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"_Toc488762296"</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sz w:val="32"/>
          <w:szCs w:val="32"/>
        </w:rPr>
        <w:t xml:space="preserve">5.2  </w:t>
      </w:r>
      <w:r>
        <w:rPr>
          <w:rStyle w:val="11"/>
          <w:rFonts w:hint="eastAsia" w:ascii="宋体" w:hAnsi="宋体" w:eastAsia="宋体"/>
          <w:color w:val="auto"/>
          <w:sz w:val="32"/>
          <w:szCs w:val="32"/>
        </w:rPr>
        <w:t>任务</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_Toc488762296 \h </w:instrText>
      </w:r>
      <w:r>
        <w:rPr>
          <w:rFonts w:ascii="宋体" w:hAnsi="宋体" w:eastAsia="宋体"/>
          <w:sz w:val="32"/>
          <w:szCs w:val="32"/>
        </w:rPr>
        <w:fldChar w:fldCharType="separate"/>
      </w:r>
      <w:r>
        <w:rPr>
          <w:rFonts w:ascii="宋体" w:hAnsi="宋体" w:eastAsia="宋体"/>
          <w:sz w:val="32"/>
          <w:szCs w:val="32"/>
        </w:rPr>
        <w:t>3</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"_Toc488762297"</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sz w:val="32"/>
          <w:szCs w:val="32"/>
        </w:rPr>
        <w:t xml:space="preserve">5.2.1  </w:t>
      </w:r>
      <w:r>
        <w:rPr>
          <w:rStyle w:val="11"/>
          <w:rFonts w:hint="eastAsia" w:ascii="宋体" w:hAnsi="宋体" w:eastAsia="宋体"/>
          <w:color w:val="auto"/>
          <w:sz w:val="32"/>
          <w:szCs w:val="32"/>
        </w:rPr>
        <w:t>预查阶段</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_Toc488762297 \h </w:instrText>
      </w:r>
      <w:r>
        <w:rPr>
          <w:rFonts w:ascii="宋体" w:hAnsi="宋体" w:eastAsia="宋体"/>
          <w:sz w:val="32"/>
          <w:szCs w:val="32"/>
        </w:rPr>
        <w:fldChar w:fldCharType="separate"/>
      </w:r>
      <w:r>
        <w:rPr>
          <w:rFonts w:ascii="宋体" w:hAnsi="宋体" w:eastAsia="宋体"/>
          <w:sz w:val="32"/>
          <w:szCs w:val="32"/>
        </w:rPr>
        <w:t>3</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"_Toc488762298"</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sz w:val="32"/>
          <w:szCs w:val="32"/>
        </w:rPr>
        <w:t xml:space="preserve">5.2.2  </w:t>
      </w:r>
      <w:r>
        <w:rPr>
          <w:rStyle w:val="11"/>
          <w:rFonts w:hint="eastAsia" w:ascii="宋体" w:hAnsi="宋体" w:eastAsia="宋体"/>
          <w:color w:val="auto"/>
          <w:sz w:val="32"/>
          <w:szCs w:val="32"/>
        </w:rPr>
        <w:t>普查阶段</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_Toc488762298 \h </w:instrText>
      </w:r>
      <w:r>
        <w:rPr>
          <w:rFonts w:ascii="宋体" w:hAnsi="宋体" w:eastAsia="宋体"/>
          <w:sz w:val="32"/>
          <w:szCs w:val="32"/>
        </w:rPr>
        <w:fldChar w:fldCharType="separate"/>
      </w:r>
      <w:r>
        <w:rPr>
          <w:rFonts w:ascii="宋体" w:hAnsi="宋体" w:eastAsia="宋体"/>
          <w:sz w:val="32"/>
          <w:szCs w:val="32"/>
        </w:rPr>
        <w:t>3</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"_Toc488762299"</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sz w:val="32"/>
          <w:szCs w:val="32"/>
        </w:rPr>
        <w:t xml:space="preserve">5.2.3  </w:t>
      </w:r>
      <w:r>
        <w:rPr>
          <w:rStyle w:val="11"/>
          <w:rFonts w:hint="eastAsia" w:ascii="宋体" w:hAnsi="宋体" w:eastAsia="宋体"/>
          <w:color w:val="auto"/>
          <w:sz w:val="32"/>
          <w:szCs w:val="32"/>
        </w:rPr>
        <w:t>详查阶段</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_Toc488762299 \h </w:instrText>
      </w:r>
      <w:r>
        <w:rPr>
          <w:rFonts w:ascii="宋体" w:hAnsi="宋体" w:eastAsia="宋体"/>
          <w:sz w:val="32"/>
          <w:szCs w:val="32"/>
        </w:rPr>
        <w:fldChar w:fldCharType="separate"/>
      </w:r>
      <w:r>
        <w:rPr>
          <w:rFonts w:ascii="宋体" w:hAnsi="宋体" w:eastAsia="宋体"/>
          <w:sz w:val="32"/>
          <w:szCs w:val="32"/>
        </w:rPr>
        <w:t>3</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"_Toc488762300"</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sz w:val="32"/>
          <w:szCs w:val="32"/>
        </w:rPr>
        <w:t xml:space="preserve">6  </w:t>
      </w:r>
      <w:r>
        <w:rPr>
          <w:rStyle w:val="11"/>
          <w:rFonts w:hint="eastAsia" w:ascii="宋体" w:hAnsi="宋体"/>
          <w:b/>
          <w:color w:val="auto"/>
          <w:sz w:val="32"/>
          <w:szCs w:val="32"/>
        </w:rPr>
        <w:t>勘查控制及研究程度</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_Toc488762300 \h </w:instrText>
      </w:r>
      <w:r>
        <w:rPr>
          <w:rFonts w:ascii="宋体" w:hAnsi="宋体"/>
          <w:sz w:val="32"/>
          <w:szCs w:val="32"/>
        </w:rPr>
        <w:fldChar w:fldCharType="separate"/>
      </w:r>
      <w:r>
        <w:rPr>
          <w:rFonts w:ascii="宋体" w:hAnsi="宋体"/>
          <w:sz w:val="32"/>
          <w:szCs w:val="32"/>
        </w:rPr>
        <w:t>4</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"_Toc488762301"</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6.1  </w:t>
      </w:r>
      <w:r>
        <w:rPr>
          <w:rStyle w:val="11"/>
          <w:rFonts w:hint="eastAsia" w:ascii="宋体" w:hAnsi="宋体" w:eastAsia="宋体"/>
          <w:color w:val="auto"/>
          <w:kern w:val="0"/>
          <w:sz w:val="32"/>
          <w:szCs w:val="32"/>
        </w:rPr>
        <w:t>勘查类型划分</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_Toc488762301 \h </w:instrText>
      </w:r>
      <w:r>
        <w:rPr>
          <w:rFonts w:ascii="宋体" w:hAnsi="宋体" w:eastAsia="宋体"/>
          <w:sz w:val="32"/>
          <w:szCs w:val="32"/>
        </w:rPr>
        <w:fldChar w:fldCharType="separate"/>
      </w:r>
      <w:r>
        <w:rPr>
          <w:rFonts w:ascii="宋体" w:hAnsi="宋体" w:eastAsia="宋体"/>
          <w:sz w:val="32"/>
          <w:szCs w:val="32"/>
        </w:rPr>
        <w:t>4</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"_Toc488762302"</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6.1.1  </w:t>
      </w:r>
      <w:r>
        <w:rPr>
          <w:rStyle w:val="11"/>
          <w:rFonts w:hint="eastAsia" w:ascii="宋体" w:hAnsi="宋体"/>
          <w:b/>
          <w:color w:val="auto"/>
          <w:kern w:val="0"/>
          <w:sz w:val="32"/>
          <w:szCs w:val="32"/>
        </w:rPr>
        <w:t>勘查类型划分依据</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_Toc488762302 \h </w:instrText>
      </w:r>
      <w:r>
        <w:rPr>
          <w:rFonts w:ascii="宋体" w:hAnsi="宋体"/>
          <w:sz w:val="32"/>
          <w:szCs w:val="32"/>
        </w:rPr>
        <w:fldChar w:fldCharType="separate"/>
      </w:r>
      <w:r>
        <w:rPr>
          <w:rFonts w:ascii="宋体" w:hAnsi="宋体"/>
          <w:sz w:val="32"/>
          <w:szCs w:val="32"/>
        </w:rPr>
        <w:t>4</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"_Toc488762303"</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6.1.2  </w:t>
      </w:r>
      <w:r>
        <w:rPr>
          <w:rStyle w:val="11"/>
          <w:rFonts w:hint="eastAsia" w:ascii="宋体" w:hAnsi="宋体"/>
          <w:b/>
          <w:color w:val="auto"/>
          <w:kern w:val="0"/>
          <w:sz w:val="32"/>
          <w:szCs w:val="32"/>
        </w:rPr>
        <w:t>勘查类型的划分</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_Toc488762303 \h </w:instrText>
      </w:r>
      <w:r>
        <w:rPr>
          <w:rFonts w:ascii="宋体" w:hAnsi="宋体"/>
          <w:sz w:val="32"/>
          <w:szCs w:val="32"/>
        </w:rPr>
        <w:fldChar w:fldCharType="separate"/>
      </w:r>
      <w:r>
        <w:rPr>
          <w:rFonts w:ascii="宋体" w:hAnsi="宋体"/>
          <w:sz w:val="32"/>
          <w:szCs w:val="32"/>
        </w:rPr>
        <w:t>4</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"_Toc488762304"</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6.2  </w:t>
      </w:r>
      <w:r>
        <w:rPr>
          <w:rStyle w:val="11"/>
          <w:rFonts w:hint="eastAsia" w:ascii="宋体" w:hAnsi="宋体" w:eastAsia="宋体"/>
          <w:color w:val="auto"/>
          <w:kern w:val="0"/>
          <w:sz w:val="32"/>
          <w:szCs w:val="32"/>
        </w:rPr>
        <w:t>勘查工程间距</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_Toc488762304 \h </w:instrText>
      </w:r>
      <w:r>
        <w:rPr>
          <w:rFonts w:ascii="宋体" w:hAnsi="宋体" w:eastAsia="宋体"/>
          <w:sz w:val="32"/>
          <w:szCs w:val="32"/>
        </w:rPr>
        <w:fldChar w:fldCharType="separate"/>
      </w:r>
      <w:r>
        <w:rPr>
          <w:rFonts w:ascii="宋体" w:hAnsi="宋体" w:eastAsia="宋体"/>
          <w:sz w:val="32"/>
          <w:szCs w:val="32"/>
        </w:rPr>
        <w:t>4</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"_Toc488762305"</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6.3  </w:t>
      </w:r>
      <w:r>
        <w:rPr>
          <w:rStyle w:val="11"/>
          <w:rFonts w:hint="eastAsia" w:ascii="宋体" w:hAnsi="宋体" w:eastAsia="宋体"/>
          <w:color w:val="auto"/>
          <w:kern w:val="0"/>
          <w:sz w:val="32"/>
          <w:szCs w:val="32"/>
        </w:rPr>
        <w:t>勘查控制及研究程度要求</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_Toc488762305 \h </w:instrText>
      </w:r>
      <w:r>
        <w:rPr>
          <w:rFonts w:ascii="宋体" w:hAnsi="宋体" w:eastAsia="宋体"/>
          <w:sz w:val="32"/>
          <w:szCs w:val="32"/>
        </w:rPr>
        <w:fldChar w:fldCharType="separate"/>
      </w:r>
      <w:r>
        <w:rPr>
          <w:rFonts w:ascii="宋体" w:hAnsi="宋体" w:eastAsia="宋体"/>
          <w:sz w:val="32"/>
          <w:szCs w:val="32"/>
        </w:rPr>
        <w:t>4</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"_Toc488762306"</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6.3.1  </w:t>
      </w:r>
      <w:r>
        <w:rPr>
          <w:rStyle w:val="11"/>
          <w:rFonts w:hint="eastAsia" w:ascii="宋体" w:hAnsi="宋体"/>
          <w:b/>
          <w:color w:val="auto"/>
          <w:kern w:val="0"/>
          <w:sz w:val="32"/>
          <w:szCs w:val="32"/>
        </w:rPr>
        <w:t>总体要求</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_Toc488762306 \h </w:instrText>
      </w:r>
      <w:r>
        <w:rPr>
          <w:rFonts w:ascii="宋体" w:hAnsi="宋体"/>
          <w:sz w:val="32"/>
          <w:szCs w:val="32"/>
        </w:rPr>
        <w:fldChar w:fldCharType="separate"/>
      </w:r>
      <w:r>
        <w:rPr>
          <w:rFonts w:ascii="宋体" w:hAnsi="宋体"/>
          <w:sz w:val="32"/>
          <w:szCs w:val="32"/>
        </w:rPr>
        <w:t>4</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"_Toc488762307"</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6.3.2  </w:t>
      </w:r>
      <w:r>
        <w:rPr>
          <w:rStyle w:val="11"/>
          <w:rFonts w:hint="eastAsia" w:ascii="宋体" w:hAnsi="宋体"/>
          <w:b/>
          <w:color w:val="auto"/>
          <w:kern w:val="0"/>
          <w:sz w:val="32"/>
          <w:szCs w:val="32"/>
        </w:rPr>
        <w:t>各勘查阶段要求</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_Toc488762307 \h </w:instrText>
      </w:r>
      <w:r>
        <w:rPr>
          <w:rFonts w:ascii="宋体" w:hAnsi="宋体"/>
          <w:sz w:val="32"/>
          <w:szCs w:val="32"/>
        </w:rPr>
        <w:fldChar w:fldCharType="separate"/>
      </w:r>
      <w:r>
        <w:rPr>
          <w:rFonts w:ascii="宋体" w:hAnsi="宋体"/>
          <w:sz w:val="32"/>
          <w:szCs w:val="32"/>
        </w:rPr>
        <w:t>5</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"_Toc488762308"</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  </w:t>
      </w:r>
      <w:r>
        <w:rPr>
          <w:rStyle w:val="11"/>
          <w:rFonts w:hint="eastAsia" w:ascii="宋体" w:hAnsi="宋体"/>
          <w:b/>
          <w:color w:val="auto"/>
          <w:kern w:val="0"/>
          <w:sz w:val="32"/>
          <w:szCs w:val="32"/>
        </w:rPr>
        <w:t>勘查工作及质量要求</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_Toc488762308 \h </w:instrText>
      </w:r>
      <w:r>
        <w:rPr>
          <w:rFonts w:ascii="宋体" w:hAnsi="宋体"/>
          <w:sz w:val="32"/>
          <w:szCs w:val="32"/>
        </w:rPr>
        <w:fldChar w:fldCharType="separate"/>
      </w:r>
      <w:r>
        <w:rPr>
          <w:rFonts w:ascii="宋体" w:hAnsi="宋体"/>
          <w:sz w:val="32"/>
          <w:szCs w:val="32"/>
        </w:rPr>
        <w:t>5</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"_Toc488762309"</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7.1  </w:t>
      </w:r>
      <w:r>
        <w:rPr>
          <w:rStyle w:val="11"/>
          <w:rFonts w:hint="eastAsia" w:ascii="宋体" w:hAnsi="宋体" w:eastAsia="宋体"/>
          <w:color w:val="auto"/>
          <w:kern w:val="0"/>
          <w:sz w:val="32"/>
          <w:szCs w:val="32"/>
        </w:rPr>
        <w:t>地形和工程测量</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_Toc488762309 \h </w:instrText>
      </w:r>
      <w:r>
        <w:rPr>
          <w:rFonts w:ascii="宋体" w:hAnsi="宋体" w:eastAsia="宋体"/>
          <w:sz w:val="32"/>
          <w:szCs w:val="32"/>
        </w:rPr>
        <w:fldChar w:fldCharType="separate"/>
      </w:r>
      <w:r>
        <w:rPr>
          <w:rFonts w:ascii="宋体" w:hAnsi="宋体" w:eastAsia="宋体"/>
          <w:sz w:val="32"/>
          <w:szCs w:val="32"/>
        </w:rPr>
        <w:t>5</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"_Toc488762310"</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7.2  </w:t>
      </w:r>
      <w:r>
        <w:rPr>
          <w:rStyle w:val="11"/>
          <w:rFonts w:hint="eastAsia" w:ascii="宋体" w:hAnsi="宋体" w:eastAsia="宋体"/>
          <w:color w:val="auto"/>
          <w:kern w:val="0"/>
          <w:sz w:val="32"/>
          <w:szCs w:val="32"/>
        </w:rPr>
        <w:t>地质填图</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_Toc488762310 \h </w:instrText>
      </w:r>
      <w:r>
        <w:rPr>
          <w:rFonts w:ascii="宋体" w:hAnsi="宋体" w:eastAsia="宋体"/>
          <w:sz w:val="32"/>
          <w:szCs w:val="32"/>
        </w:rPr>
        <w:fldChar w:fldCharType="separate"/>
      </w:r>
      <w:r>
        <w:rPr>
          <w:rFonts w:ascii="宋体" w:hAnsi="宋体" w:eastAsia="宋体"/>
          <w:sz w:val="32"/>
          <w:szCs w:val="32"/>
        </w:rPr>
        <w:t>6</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"_Toc488762311"</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7.3  </w:t>
      </w:r>
      <w:r>
        <w:rPr>
          <w:rStyle w:val="11"/>
          <w:rFonts w:hint="eastAsia" w:ascii="宋体" w:hAnsi="宋体" w:eastAsia="宋体"/>
          <w:color w:val="auto"/>
          <w:kern w:val="0"/>
          <w:sz w:val="32"/>
          <w:szCs w:val="32"/>
        </w:rPr>
        <w:t>放射性检查</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_Toc488762311 \h </w:instrText>
      </w:r>
      <w:r>
        <w:rPr>
          <w:rFonts w:ascii="宋体" w:hAnsi="宋体" w:eastAsia="宋体"/>
          <w:sz w:val="32"/>
          <w:szCs w:val="32"/>
        </w:rPr>
        <w:fldChar w:fldCharType="separate"/>
      </w:r>
      <w:r>
        <w:rPr>
          <w:rFonts w:ascii="宋体" w:hAnsi="宋体" w:eastAsia="宋体"/>
          <w:sz w:val="32"/>
          <w:szCs w:val="32"/>
        </w:rPr>
        <w:t>6</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"_Toc488762312"</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7.4  </w:t>
      </w:r>
      <w:r>
        <w:rPr>
          <w:rStyle w:val="11"/>
          <w:rFonts w:hint="eastAsia" w:ascii="宋体" w:hAnsi="宋体" w:eastAsia="宋体"/>
          <w:color w:val="auto"/>
          <w:kern w:val="0"/>
          <w:sz w:val="32"/>
          <w:szCs w:val="32"/>
        </w:rPr>
        <w:t>探矿工程</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_Toc488762312 \h </w:instrText>
      </w:r>
      <w:r>
        <w:rPr>
          <w:rFonts w:ascii="宋体" w:hAnsi="宋体" w:eastAsia="宋体"/>
          <w:sz w:val="32"/>
          <w:szCs w:val="32"/>
        </w:rPr>
        <w:fldChar w:fldCharType="separate"/>
      </w:r>
      <w:r>
        <w:rPr>
          <w:rFonts w:ascii="宋体" w:hAnsi="宋体" w:eastAsia="宋体"/>
          <w:sz w:val="32"/>
          <w:szCs w:val="32"/>
        </w:rPr>
        <w:t>6</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"_Toc488762313"</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7.4.1  </w:t>
      </w:r>
      <w:r>
        <w:rPr>
          <w:rStyle w:val="11"/>
          <w:rFonts w:hint="eastAsia" w:ascii="宋体" w:hAnsi="宋体"/>
          <w:b/>
          <w:color w:val="auto"/>
          <w:kern w:val="0"/>
          <w:sz w:val="32"/>
          <w:szCs w:val="32"/>
        </w:rPr>
        <w:t>工程部署</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_Toc488762313 \h </w:instrText>
      </w:r>
      <w:r>
        <w:rPr>
          <w:rFonts w:ascii="宋体" w:hAnsi="宋体"/>
          <w:sz w:val="32"/>
          <w:szCs w:val="32"/>
        </w:rPr>
        <w:fldChar w:fldCharType="separate"/>
      </w:r>
      <w:r>
        <w:rPr>
          <w:rFonts w:ascii="宋体" w:hAnsi="宋体"/>
          <w:sz w:val="32"/>
          <w:szCs w:val="32"/>
        </w:rPr>
        <w:t>6</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"_Toc488762314"</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7.4.2  </w:t>
      </w:r>
      <w:r>
        <w:rPr>
          <w:rStyle w:val="11"/>
          <w:rFonts w:hint="eastAsia" w:ascii="宋体" w:hAnsi="宋体"/>
          <w:b/>
          <w:color w:val="auto"/>
          <w:kern w:val="0"/>
          <w:sz w:val="32"/>
          <w:szCs w:val="32"/>
        </w:rPr>
        <w:t>槽、井探工程</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_Toc488762314 \h </w:instrText>
      </w:r>
      <w:r>
        <w:rPr>
          <w:rFonts w:ascii="宋体" w:hAnsi="宋体"/>
          <w:sz w:val="32"/>
          <w:szCs w:val="32"/>
        </w:rPr>
        <w:fldChar w:fldCharType="separate"/>
      </w:r>
      <w:r>
        <w:rPr>
          <w:rFonts w:ascii="宋体" w:hAnsi="宋体"/>
          <w:sz w:val="32"/>
          <w:szCs w:val="32"/>
        </w:rPr>
        <w:t>6</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"_Toc488762315"</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7.4.3  </w:t>
      </w:r>
      <w:r>
        <w:rPr>
          <w:rStyle w:val="11"/>
          <w:rFonts w:hint="eastAsia" w:ascii="宋体" w:hAnsi="宋体"/>
          <w:b/>
          <w:color w:val="auto"/>
          <w:kern w:val="0"/>
          <w:sz w:val="32"/>
          <w:szCs w:val="32"/>
        </w:rPr>
        <w:t>钻探工程</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_Toc488762315 \h </w:instrText>
      </w:r>
      <w:r>
        <w:rPr>
          <w:rFonts w:ascii="宋体" w:hAnsi="宋体"/>
          <w:sz w:val="32"/>
          <w:szCs w:val="32"/>
        </w:rPr>
        <w:fldChar w:fldCharType="separate"/>
      </w:r>
      <w:r>
        <w:rPr>
          <w:rFonts w:ascii="宋体" w:hAnsi="宋体"/>
          <w:sz w:val="32"/>
          <w:szCs w:val="32"/>
        </w:rPr>
        <w:t>6</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"_Toc488762316"</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7.5  </w:t>
      </w:r>
      <w:r>
        <w:rPr>
          <w:rStyle w:val="11"/>
          <w:rFonts w:hint="eastAsia" w:ascii="宋体" w:hAnsi="宋体" w:eastAsia="宋体"/>
          <w:color w:val="auto"/>
          <w:kern w:val="0"/>
          <w:sz w:val="32"/>
          <w:szCs w:val="32"/>
        </w:rPr>
        <w:t>水文地质、工程地质、环境地质工作</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_Toc488762316 \h </w:instrText>
      </w:r>
      <w:r>
        <w:rPr>
          <w:rFonts w:ascii="宋体" w:hAnsi="宋体" w:eastAsia="宋体"/>
          <w:sz w:val="32"/>
          <w:szCs w:val="32"/>
        </w:rPr>
        <w:fldChar w:fldCharType="separate"/>
      </w:r>
      <w:r>
        <w:rPr>
          <w:rFonts w:ascii="宋体" w:hAnsi="宋体" w:eastAsia="宋体"/>
          <w:sz w:val="32"/>
          <w:szCs w:val="32"/>
        </w:rPr>
        <w:t>7</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"_Toc488762317"</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7.6  </w:t>
      </w:r>
      <w:r>
        <w:rPr>
          <w:rStyle w:val="11"/>
          <w:rFonts w:hint="eastAsia" w:ascii="宋体" w:hAnsi="宋体" w:eastAsia="宋体"/>
          <w:color w:val="auto"/>
          <w:kern w:val="0"/>
          <w:sz w:val="32"/>
          <w:szCs w:val="32"/>
        </w:rPr>
        <w:t>样品的采集、制备及分析测试</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_Toc488762317 \h </w:instrText>
      </w:r>
      <w:r>
        <w:rPr>
          <w:rFonts w:ascii="宋体" w:hAnsi="宋体" w:eastAsia="宋体"/>
          <w:sz w:val="32"/>
          <w:szCs w:val="32"/>
        </w:rPr>
        <w:fldChar w:fldCharType="separate"/>
      </w:r>
      <w:r>
        <w:rPr>
          <w:rFonts w:ascii="宋体" w:hAnsi="宋体" w:eastAsia="宋体"/>
          <w:sz w:val="32"/>
          <w:szCs w:val="32"/>
        </w:rPr>
        <w:t>7</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"_Toc488762318"</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7.6.1  </w:t>
      </w:r>
      <w:r>
        <w:rPr>
          <w:rStyle w:val="11"/>
          <w:rFonts w:hint="eastAsia" w:ascii="宋体" w:hAnsi="宋体"/>
          <w:b/>
          <w:color w:val="auto"/>
          <w:kern w:val="0"/>
          <w:sz w:val="32"/>
          <w:szCs w:val="32"/>
        </w:rPr>
        <w:t>样品的采集</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_Toc488762318 \h </w:instrText>
      </w:r>
      <w:r>
        <w:rPr>
          <w:rFonts w:ascii="宋体" w:hAnsi="宋体"/>
          <w:sz w:val="32"/>
          <w:szCs w:val="32"/>
        </w:rPr>
        <w:fldChar w:fldCharType="separate"/>
      </w:r>
      <w:r>
        <w:rPr>
          <w:rFonts w:ascii="宋体" w:hAnsi="宋体"/>
          <w:sz w:val="32"/>
          <w:szCs w:val="32"/>
        </w:rPr>
        <w:t>7</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"_Toc488762319"</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7.6.2  </w:t>
      </w:r>
      <w:r>
        <w:rPr>
          <w:rStyle w:val="11"/>
          <w:rFonts w:hint="eastAsia" w:ascii="宋体" w:hAnsi="宋体"/>
          <w:b/>
          <w:color w:val="auto"/>
          <w:kern w:val="0"/>
          <w:sz w:val="32"/>
          <w:szCs w:val="32"/>
        </w:rPr>
        <w:t>样品的制备</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_Toc488762319 \h </w:instrText>
      </w:r>
      <w:r>
        <w:rPr>
          <w:rFonts w:ascii="宋体" w:hAnsi="宋体"/>
          <w:sz w:val="32"/>
          <w:szCs w:val="32"/>
        </w:rPr>
        <w:fldChar w:fldCharType="separate"/>
      </w:r>
      <w:r>
        <w:rPr>
          <w:rFonts w:ascii="宋体" w:hAnsi="宋体"/>
          <w:sz w:val="32"/>
          <w:szCs w:val="32"/>
        </w:rPr>
        <w:t>7</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"_Toc488762320"</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7.6.3  </w:t>
      </w:r>
      <w:r>
        <w:rPr>
          <w:rStyle w:val="11"/>
          <w:rFonts w:hint="eastAsia" w:ascii="宋体" w:hAnsi="宋体"/>
          <w:b/>
          <w:color w:val="auto"/>
          <w:kern w:val="0"/>
          <w:sz w:val="32"/>
          <w:szCs w:val="32"/>
        </w:rPr>
        <w:t>样品分析测试</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_Toc488762320 \h </w:instrText>
      </w:r>
      <w:r>
        <w:rPr>
          <w:rFonts w:ascii="宋体" w:hAnsi="宋体"/>
          <w:sz w:val="32"/>
          <w:szCs w:val="32"/>
        </w:rPr>
        <w:fldChar w:fldCharType="separate"/>
      </w:r>
      <w:r>
        <w:rPr>
          <w:rFonts w:ascii="宋体" w:hAnsi="宋体"/>
          <w:sz w:val="32"/>
          <w:szCs w:val="32"/>
        </w:rPr>
        <w:t>8</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"_Toc488762321"</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7.7  </w:t>
      </w:r>
      <w:r>
        <w:rPr>
          <w:rStyle w:val="11"/>
          <w:rFonts w:hint="eastAsia" w:ascii="宋体" w:hAnsi="宋体" w:eastAsia="宋体"/>
          <w:bCs/>
          <w:color w:val="auto"/>
          <w:sz w:val="32"/>
          <w:szCs w:val="32"/>
        </w:rPr>
        <w:t>岩矿石物理性能及</w:t>
      </w:r>
      <w:r>
        <w:rPr>
          <w:rStyle w:val="11"/>
          <w:rFonts w:hint="eastAsia" w:ascii="宋体" w:hAnsi="宋体" w:eastAsia="宋体"/>
          <w:color w:val="auto"/>
          <w:sz w:val="32"/>
          <w:szCs w:val="32"/>
        </w:rPr>
        <w:t>矿石加工性能试验样品采集与试验</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_Toc488762321 \h </w:instrText>
      </w:r>
      <w:r>
        <w:rPr>
          <w:rFonts w:ascii="宋体" w:hAnsi="宋体" w:eastAsia="宋体"/>
          <w:sz w:val="32"/>
          <w:szCs w:val="32"/>
        </w:rPr>
        <w:fldChar w:fldCharType="separate"/>
      </w:r>
      <w:r>
        <w:rPr>
          <w:rFonts w:ascii="宋体" w:hAnsi="宋体" w:eastAsia="宋体"/>
          <w:sz w:val="32"/>
          <w:szCs w:val="32"/>
        </w:rPr>
        <w:t>8</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"_Toc488762322"</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7.7.1  </w:t>
      </w:r>
      <w:r>
        <w:rPr>
          <w:rStyle w:val="11"/>
          <w:rFonts w:hint="eastAsia" w:ascii="宋体" w:hAnsi="宋体"/>
          <w:b/>
          <w:color w:val="auto"/>
          <w:kern w:val="0"/>
          <w:sz w:val="32"/>
          <w:szCs w:val="32"/>
        </w:rPr>
        <w:t>体积质量（体重）测定</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_Toc488762322 \h </w:instrText>
      </w:r>
      <w:r>
        <w:rPr>
          <w:rFonts w:ascii="宋体" w:hAnsi="宋体"/>
          <w:sz w:val="32"/>
          <w:szCs w:val="32"/>
        </w:rPr>
        <w:fldChar w:fldCharType="separate"/>
      </w:r>
      <w:r>
        <w:rPr>
          <w:rFonts w:ascii="宋体" w:hAnsi="宋体"/>
          <w:sz w:val="32"/>
          <w:szCs w:val="32"/>
        </w:rPr>
        <w:t>8</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"_Toc488762323"</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7.7.2  </w:t>
      </w:r>
      <w:r>
        <w:rPr>
          <w:rStyle w:val="11"/>
          <w:rFonts w:hint="eastAsia" w:ascii="宋体" w:hAnsi="宋体"/>
          <w:b/>
          <w:color w:val="auto"/>
          <w:kern w:val="0"/>
          <w:sz w:val="32"/>
          <w:szCs w:val="32"/>
        </w:rPr>
        <w:t>岩矿石力学性能测定</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_Toc488762323 \h </w:instrText>
      </w:r>
      <w:r>
        <w:rPr>
          <w:rFonts w:ascii="宋体" w:hAnsi="宋体"/>
          <w:sz w:val="32"/>
          <w:szCs w:val="32"/>
        </w:rPr>
        <w:fldChar w:fldCharType="separate"/>
      </w:r>
      <w:r>
        <w:rPr>
          <w:rFonts w:ascii="宋体" w:hAnsi="宋体"/>
          <w:sz w:val="32"/>
          <w:szCs w:val="32"/>
        </w:rPr>
        <w:t>9</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"_Toc488762324"</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7.8  </w:t>
      </w:r>
      <w:r>
        <w:rPr>
          <w:rStyle w:val="11"/>
          <w:rFonts w:hint="eastAsia" w:ascii="宋体" w:hAnsi="宋体" w:eastAsia="宋体"/>
          <w:color w:val="auto"/>
          <w:kern w:val="0"/>
          <w:sz w:val="32"/>
          <w:szCs w:val="32"/>
        </w:rPr>
        <w:t>原始地质编录、资料综合整理和报告编写</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_Toc488762324 \h </w:instrText>
      </w:r>
      <w:r>
        <w:rPr>
          <w:rFonts w:ascii="宋体" w:hAnsi="宋体" w:eastAsia="宋体"/>
          <w:sz w:val="32"/>
          <w:szCs w:val="32"/>
        </w:rPr>
        <w:fldChar w:fldCharType="separate"/>
      </w:r>
      <w:r>
        <w:rPr>
          <w:rFonts w:ascii="宋体" w:hAnsi="宋体" w:eastAsia="宋体"/>
          <w:sz w:val="32"/>
          <w:szCs w:val="32"/>
        </w:rPr>
        <w:t>9</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"_Toc488762325"</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7.8.1  </w:t>
      </w:r>
      <w:r>
        <w:rPr>
          <w:rStyle w:val="11"/>
          <w:rFonts w:hint="eastAsia" w:ascii="宋体" w:hAnsi="宋体"/>
          <w:b/>
          <w:color w:val="auto"/>
          <w:kern w:val="0"/>
          <w:sz w:val="32"/>
          <w:szCs w:val="32"/>
        </w:rPr>
        <w:t>地质编录及资料综合整理</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_Toc488762325 \h </w:instrText>
      </w:r>
      <w:r>
        <w:rPr>
          <w:rFonts w:ascii="宋体" w:hAnsi="宋体"/>
          <w:sz w:val="32"/>
          <w:szCs w:val="32"/>
        </w:rPr>
        <w:fldChar w:fldCharType="separate"/>
      </w:r>
      <w:r>
        <w:rPr>
          <w:rFonts w:ascii="宋体" w:hAnsi="宋体"/>
          <w:sz w:val="32"/>
          <w:szCs w:val="32"/>
        </w:rPr>
        <w:t>9</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"_Toc488762326"</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7.8.2  </w:t>
      </w:r>
      <w:r>
        <w:rPr>
          <w:rStyle w:val="11"/>
          <w:rFonts w:hint="eastAsia" w:ascii="宋体" w:hAnsi="宋体"/>
          <w:b/>
          <w:color w:val="auto"/>
          <w:kern w:val="0"/>
          <w:sz w:val="32"/>
          <w:szCs w:val="32"/>
        </w:rPr>
        <w:t>报告编写</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_Toc488762326 \h </w:instrText>
      </w:r>
      <w:r>
        <w:rPr>
          <w:rFonts w:ascii="宋体" w:hAnsi="宋体"/>
          <w:sz w:val="32"/>
          <w:szCs w:val="32"/>
        </w:rPr>
        <w:fldChar w:fldCharType="separate"/>
      </w:r>
      <w:r>
        <w:rPr>
          <w:rFonts w:ascii="宋体" w:hAnsi="宋体"/>
          <w:sz w:val="32"/>
          <w:szCs w:val="32"/>
        </w:rPr>
        <w:t>9</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"_Toc488762327"</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8  </w:t>
      </w:r>
      <w:r>
        <w:rPr>
          <w:rStyle w:val="11"/>
          <w:rFonts w:hint="eastAsia" w:ascii="宋体" w:hAnsi="宋体"/>
          <w:b/>
          <w:color w:val="auto"/>
          <w:kern w:val="0"/>
          <w:sz w:val="32"/>
          <w:szCs w:val="32"/>
        </w:rPr>
        <w:t>可行性评价工作</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_Toc488762327 \h </w:instrText>
      </w:r>
      <w:r>
        <w:rPr>
          <w:rFonts w:ascii="宋体" w:hAnsi="宋体"/>
          <w:sz w:val="32"/>
          <w:szCs w:val="32"/>
        </w:rPr>
        <w:fldChar w:fldCharType="separate"/>
      </w:r>
      <w:r>
        <w:rPr>
          <w:rFonts w:ascii="宋体" w:hAnsi="宋体"/>
          <w:sz w:val="32"/>
          <w:szCs w:val="32"/>
        </w:rPr>
        <w:t>9</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"_Toc488762328"</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  </w:t>
      </w:r>
      <w:r>
        <w:rPr>
          <w:rStyle w:val="11"/>
          <w:rFonts w:hint="eastAsia" w:ascii="宋体" w:hAnsi="宋体"/>
          <w:b/>
          <w:color w:val="auto"/>
          <w:kern w:val="0"/>
          <w:sz w:val="32"/>
          <w:szCs w:val="32"/>
        </w:rPr>
        <w:t>资源储量分类及其条件</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_Toc488762328 \h </w:instrText>
      </w:r>
      <w:r>
        <w:rPr>
          <w:rFonts w:ascii="宋体" w:hAnsi="宋体"/>
          <w:sz w:val="32"/>
          <w:szCs w:val="32"/>
        </w:rPr>
        <w:fldChar w:fldCharType="separate"/>
      </w:r>
      <w:r>
        <w:rPr>
          <w:rFonts w:ascii="宋体" w:hAnsi="宋体"/>
          <w:sz w:val="32"/>
          <w:szCs w:val="32"/>
        </w:rPr>
        <w:t>9</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"_Toc488762329"</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9.1  </w:t>
      </w:r>
      <w:r>
        <w:rPr>
          <w:rStyle w:val="11"/>
          <w:rFonts w:hint="eastAsia" w:ascii="宋体" w:hAnsi="宋体" w:eastAsia="宋体"/>
          <w:color w:val="auto"/>
          <w:kern w:val="0"/>
          <w:sz w:val="32"/>
          <w:szCs w:val="32"/>
        </w:rPr>
        <w:t>资源储量分类依据</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_Toc488762329 \h </w:instrText>
      </w:r>
      <w:r>
        <w:rPr>
          <w:rFonts w:ascii="宋体" w:hAnsi="宋体" w:eastAsia="宋体"/>
          <w:sz w:val="32"/>
          <w:szCs w:val="32"/>
        </w:rPr>
        <w:fldChar w:fldCharType="separate"/>
      </w:r>
      <w:r>
        <w:rPr>
          <w:rFonts w:ascii="宋体" w:hAnsi="宋体" w:eastAsia="宋体"/>
          <w:sz w:val="32"/>
          <w:szCs w:val="32"/>
        </w:rPr>
        <w:t>9</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"_Toc488762330"</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9.1.1  </w:t>
      </w:r>
      <w:r>
        <w:rPr>
          <w:rStyle w:val="11"/>
          <w:rFonts w:hint="eastAsia" w:ascii="宋体" w:hAnsi="宋体"/>
          <w:b/>
          <w:color w:val="auto"/>
          <w:kern w:val="0"/>
          <w:sz w:val="32"/>
          <w:szCs w:val="32"/>
        </w:rPr>
        <w:t>地质可靠程度</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_Toc488762330 \h </w:instrText>
      </w:r>
      <w:r>
        <w:rPr>
          <w:rFonts w:ascii="宋体" w:hAnsi="宋体"/>
          <w:sz w:val="32"/>
          <w:szCs w:val="32"/>
        </w:rPr>
        <w:fldChar w:fldCharType="separate"/>
      </w:r>
      <w:r>
        <w:rPr>
          <w:rFonts w:ascii="宋体" w:hAnsi="宋体"/>
          <w:sz w:val="32"/>
          <w:szCs w:val="32"/>
        </w:rPr>
        <w:t>9</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"_Toc488762331"</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9.1.2  </w:t>
      </w:r>
      <w:r>
        <w:rPr>
          <w:rStyle w:val="11"/>
          <w:rFonts w:hint="eastAsia" w:ascii="宋体" w:hAnsi="宋体"/>
          <w:b/>
          <w:color w:val="auto"/>
          <w:kern w:val="0"/>
          <w:sz w:val="32"/>
          <w:szCs w:val="32"/>
        </w:rPr>
        <w:t>经济意义</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_Toc488762331 \h </w:instrText>
      </w:r>
      <w:r>
        <w:rPr>
          <w:rFonts w:ascii="宋体" w:hAnsi="宋体"/>
          <w:sz w:val="32"/>
          <w:szCs w:val="32"/>
        </w:rPr>
        <w:fldChar w:fldCharType="separate"/>
      </w:r>
      <w:r>
        <w:rPr>
          <w:rFonts w:ascii="宋体" w:hAnsi="宋体"/>
          <w:sz w:val="32"/>
          <w:szCs w:val="32"/>
        </w:rPr>
        <w:t>10</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"_Toc488762332"</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9.1.3  </w:t>
      </w:r>
      <w:r>
        <w:rPr>
          <w:rStyle w:val="11"/>
          <w:rFonts w:hint="eastAsia" w:ascii="宋体" w:hAnsi="宋体"/>
          <w:b/>
          <w:color w:val="auto"/>
          <w:kern w:val="0"/>
          <w:sz w:val="32"/>
          <w:szCs w:val="32"/>
        </w:rPr>
        <w:t>可行性评价程度</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_Toc488762332 \h </w:instrText>
      </w:r>
      <w:r>
        <w:rPr>
          <w:rFonts w:ascii="宋体" w:hAnsi="宋体"/>
          <w:sz w:val="32"/>
          <w:szCs w:val="32"/>
        </w:rPr>
        <w:fldChar w:fldCharType="separate"/>
      </w:r>
      <w:r>
        <w:rPr>
          <w:rFonts w:ascii="宋体" w:hAnsi="宋体"/>
          <w:sz w:val="32"/>
          <w:szCs w:val="32"/>
        </w:rPr>
        <w:t>10</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"_Toc488762333"</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9.2  </w:t>
      </w:r>
      <w:r>
        <w:rPr>
          <w:rStyle w:val="11"/>
          <w:rFonts w:hint="eastAsia" w:ascii="宋体" w:hAnsi="宋体" w:eastAsia="宋体"/>
          <w:color w:val="auto"/>
          <w:kern w:val="0"/>
          <w:sz w:val="32"/>
          <w:szCs w:val="32"/>
        </w:rPr>
        <w:t>资源储量分类及其条件</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_Toc488762333 \h </w:instrText>
      </w:r>
      <w:r>
        <w:rPr>
          <w:rFonts w:ascii="宋体" w:hAnsi="宋体" w:eastAsia="宋体"/>
          <w:sz w:val="32"/>
          <w:szCs w:val="32"/>
        </w:rPr>
        <w:fldChar w:fldCharType="separate"/>
      </w:r>
      <w:r>
        <w:rPr>
          <w:rFonts w:ascii="宋体" w:hAnsi="宋体" w:eastAsia="宋体"/>
          <w:sz w:val="32"/>
          <w:szCs w:val="32"/>
        </w:rPr>
        <w:t>10</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"_Toc488762334"</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9.2.1  </w:t>
      </w:r>
      <w:r>
        <w:rPr>
          <w:rStyle w:val="11"/>
          <w:rFonts w:hint="eastAsia" w:ascii="宋体" w:hAnsi="宋体"/>
          <w:b/>
          <w:color w:val="auto"/>
          <w:kern w:val="0"/>
          <w:sz w:val="32"/>
          <w:szCs w:val="32"/>
        </w:rPr>
        <w:t>预可采储量（</w:t>
      </w:r>
      <w:r>
        <w:rPr>
          <w:rStyle w:val="11"/>
          <w:rFonts w:ascii="宋体" w:hAnsi="宋体"/>
          <w:b/>
          <w:color w:val="auto"/>
          <w:kern w:val="0"/>
          <w:sz w:val="32"/>
          <w:szCs w:val="32"/>
        </w:rPr>
        <w:t>122</w:t>
      </w:r>
      <w:r>
        <w:rPr>
          <w:rStyle w:val="11"/>
          <w:rFonts w:hint="eastAsia" w:ascii="宋体" w:hAnsi="宋体"/>
          <w:b/>
          <w:color w:val="auto"/>
          <w:kern w:val="0"/>
          <w:sz w:val="32"/>
          <w:szCs w:val="32"/>
        </w:rPr>
        <w:t>）</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_Toc488762334 \h </w:instrText>
      </w:r>
      <w:r>
        <w:rPr>
          <w:rFonts w:ascii="宋体" w:hAnsi="宋体"/>
          <w:sz w:val="32"/>
          <w:szCs w:val="32"/>
        </w:rPr>
        <w:fldChar w:fldCharType="separate"/>
      </w:r>
      <w:r>
        <w:rPr>
          <w:rFonts w:ascii="宋体" w:hAnsi="宋体"/>
          <w:sz w:val="32"/>
          <w:szCs w:val="32"/>
        </w:rPr>
        <w:t>11</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"_Toc488762335"</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9.2.2  </w:t>
      </w:r>
      <w:r>
        <w:rPr>
          <w:rStyle w:val="11"/>
          <w:rFonts w:hint="eastAsia" w:ascii="宋体" w:hAnsi="宋体"/>
          <w:b/>
          <w:color w:val="auto"/>
          <w:kern w:val="0"/>
          <w:sz w:val="32"/>
          <w:szCs w:val="32"/>
        </w:rPr>
        <w:t>控制的经济基础储量（</w:t>
      </w:r>
      <w:r>
        <w:rPr>
          <w:rStyle w:val="11"/>
          <w:rFonts w:ascii="宋体" w:hAnsi="宋体"/>
          <w:b/>
          <w:color w:val="auto"/>
          <w:kern w:val="0"/>
          <w:sz w:val="32"/>
          <w:szCs w:val="32"/>
        </w:rPr>
        <w:t>122b</w:t>
      </w:r>
      <w:r>
        <w:rPr>
          <w:rStyle w:val="11"/>
          <w:rFonts w:hint="eastAsia" w:ascii="宋体" w:hAnsi="宋体"/>
          <w:b/>
          <w:color w:val="auto"/>
          <w:kern w:val="0"/>
          <w:sz w:val="32"/>
          <w:szCs w:val="32"/>
        </w:rPr>
        <w:t>）</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_Toc488762335 \h </w:instrText>
      </w:r>
      <w:r>
        <w:rPr>
          <w:rFonts w:ascii="宋体" w:hAnsi="宋体"/>
          <w:sz w:val="32"/>
          <w:szCs w:val="32"/>
        </w:rPr>
        <w:fldChar w:fldCharType="separate"/>
      </w:r>
      <w:r>
        <w:rPr>
          <w:rFonts w:ascii="宋体" w:hAnsi="宋体"/>
          <w:sz w:val="32"/>
          <w:szCs w:val="32"/>
        </w:rPr>
        <w:t>11</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"_Toc488762336"</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9.2.3  </w:t>
      </w:r>
      <w:r>
        <w:rPr>
          <w:rStyle w:val="11"/>
          <w:rFonts w:hint="eastAsia" w:ascii="宋体" w:hAnsi="宋体"/>
          <w:b/>
          <w:color w:val="auto"/>
          <w:kern w:val="0"/>
          <w:sz w:val="32"/>
          <w:szCs w:val="32"/>
        </w:rPr>
        <w:t>控制的内蕴经济资源量（</w:t>
      </w:r>
      <w:r>
        <w:rPr>
          <w:rStyle w:val="11"/>
          <w:rFonts w:ascii="宋体" w:hAnsi="宋体"/>
          <w:b/>
          <w:color w:val="auto"/>
          <w:kern w:val="0"/>
          <w:sz w:val="32"/>
          <w:szCs w:val="32"/>
        </w:rPr>
        <w:t>332</w:t>
      </w:r>
      <w:r>
        <w:rPr>
          <w:rStyle w:val="11"/>
          <w:rFonts w:hint="eastAsia" w:ascii="宋体" w:hAnsi="宋体"/>
          <w:b/>
          <w:color w:val="auto"/>
          <w:kern w:val="0"/>
          <w:sz w:val="32"/>
          <w:szCs w:val="32"/>
        </w:rPr>
        <w:t>）</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_Toc488762336 \h </w:instrText>
      </w:r>
      <w:r>
        <w:rPr>
          <w:rFonts w:ascii="宋体" w:hAnsi="宋体"/>
          <w:sz w:val="32"/>
          <w:szCs w:val="32"/>
        </w:rPr>
        <w:fldChar w:fldCharType="separate"/>
      </w:r>
      <w:r>
        <w:rPr>
          <w:rFonts w:ascii="宋体" w:hAnsi="宋体"/>
          <w:sz w:val="32"/>
          <w:szCs w:val="32"/>
        </w:rPr>
        <w:t>11</w:t>
      </w:r>
      <w:r>
        <w:rPr>
          <w:rFonts w:ascii="宋体" w:hAnsi="宋体"/>
          <w:sz w:val="32"/>
          <w:szCs w:val="32"/>
        </w:rPr>
        <w:fldChar w:fldCharType="end"/>
      </w:r>
      <w:r>
        <w:rPr>
          <w:rStyle w:val="11"/>
          <w:rFonts w:ascii="宋体" w:hAnsi="宋体"/>
          <w:color w:val="auto"/>
          <w:sz w:val="32"/>
          <w:szCs w:val="32"/>
        </w:rPr>
        <w:fldChar w:fldCharType="end"/>
      </w:r>
    </w:p>
    <w:p>
      <w:pPr>
        <w:pStyle w:val="3"/>
        <w:tabs>
          <w:tab w:val="right" w:leader="dot" w:pos="8296"/>
        </w:tabs>
        <w:spacing w:line="600" w:lineRule="exact"/>
        <w:rPr>
          <w:rFonts w:ascii="宋体" w:hAnsi="宋体"/>
          <w:iCs w:val="0"/>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"_Toc488762337"</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9.2.4  </w:t>
      </w:r>
      <w:r>
        <w:rPr>
          <w:rStyle w:val="11"/>
          <w:rFonts w:hint="eastAsia" w:ascii="宋体" w:hAnsi="宋体"/>
          <w:b/>
          <w:color w:val="auto"/>
          <w:kern w:val="0"/>
          <w:sz w:val="32"/>
          <w:szCs w:val="32"/>
        </w:rPr>
        <w:t>推断的内蕴经济资源量（</w:t>
      </w:r>
      <w:r>
        <w:rPr>
          <w:rStyle w:val="11"/>
          <w:rFonts w:ascii="宋体" w:hAnsi="宋体"/>
          <w:b/>
          <w:color w:val="auto"/>
          <w:kern w:val="0"/>
          <w:sz w:val="32"/>
          <w:szCs w:val="32"/>
        </w:rPr>
        <w:t>333</w:t>
      </w:r>
      <w:r>
        <w:rPr>
          <w:rStyle w:val="11"/>
          <w:rFonts w:hint="eastAsia" w:ascii="宋体" w:hAnsi="宋体"/>
          <w:b/>
          <w:color w:val="auto"/>
          <w:kern w:val="0"/>
          <w:sz w:val="32"/>
          <w:szCs w:val="32"/>
        </w:rPr>
        <w:t>）</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_Toc488762337 \h </w:instrText>
      </w:r>
      <w:r>
        <w:rPr>
          <w:rFonts w:ascii="宋体" w:hAnsi="宋体"/>
          <w:sz w:val="32"/>
          <w:szCs w:val="32"/>
        </w:rPr>
        <w:fldChar w:fldCharType="separate"/>
      </w:r>
      <w:r>
        <w:rPr>
          <w:rFonts w:ascii="宋体" w:hAnsi="宋体"/>
          <w:sz w:val="32"/>
          <w:szCs w:val="32"/>
        </w:rPr>
        <w:t>11</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"_Toc488762338"</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ascii="宋体" w:hAnsi="宋体"/>
          <w:b/>
          <w:color w:val="auto"/>
          <w:kern w:val="0"/>
          <w:sz w:val="32"/>
          <w:szCs w:val="32"/>
        </w:rPr>
        <w:t xml:space="preserve">10  </w:t>
      </w:r>
      <w:r>
        <w:rPr>
          <w:rStyle w:val="11"/>
          <w:rFonts w:hint="eastAsia" w:ascii="宋体" w:hAnsi="宋体"/>
          <w:b/>
          <w:color w:val="auto"/>
          <w:kern w:val="0"/>
          <w:sz w:val="32"/>
          <w:szCs w:val="32"/>
        </w:rPr>
        <w:t>资源储量估算</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_Toc488762338 \h </w:instrText>
      </w:r>
      <w:r>
        <w:rPr>
          <w:rFonts w:ascii="宋体" w:hAnsi="宋体"/>
          <w:sz w:val="32"/>
          <w:szCs w:val="32"/>
        </w:rPr>
        <w:fldChar w:fldCharType="separate"/>
      </w:r>
      <w:r>
        <w:rPr>
          <w:rFonts w:ascii="宋体" w:hAnsi="宋体"/>
          <w:sz w:val="32"/>
          <w:szCs w:val="32"/>
        </w:rPr>
        <w:t>11</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"_Toc488762339"</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10.1  </w:t>
      </w:r>
      <w:r>
        <w:rPr>
          <w:rStyle w:val="11"/>
          <w:rFonts w:hint="eastAsia" w:ascii="宋体" w:hAnsi="宋体" w:eastAsia="宋体"/>
          <w:color w:val="auto"/>
          <w:kern w:val="0"/>
          <w:sz w:val="32"/>
          <w:szCs w:val="32"/>
        </w:rPr>
        <w:t>资源储量估算的工业指标</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_Toc488762339 \h </w:instrText>
      </w:r>
      <w:r>
        <w:rPr>
          <w:rFonts w:ascii="宋体" w:hAnsi="宋体" w:eastAsia="宋体"/>
          <w:sz w:val="32"/>
          <w:szCs w:val="32"/>
        </w:rPr>
        <w:fldChar w:fldCharType="separate"/>
      </w:r>
      <w:r>
        <w:rPr>
          <w:rFonts w:ascii="宋体" w:hAnsi="宋体" w:eastAsia="宋体"/>
          <w:sz w:val="32"/>
          <w:szCs w:val="32"/>
        </w:rPr>
        <w:t>11</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"_Toc488762340"</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10.2  </w:t>
      </w:r>
      <w:r>
        <w:rPr>
          <w:rStyle w:val="11"/>
          <w:rFonts w:hint="eastAsia" w:ascii="宋体" w:hAnsi="宋体" w:eastAsia="宋体"/>
          <w:color w:val="auto"/>
          <w:kern w:val="0"/>
          <w:sz w:val="32"/>
          <w:szCs w:val="32"/>
        </w:rPr>
        <w:t>资源储量估算的一般原则</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_Toc488762340 \h </w:instrText>
      </w:r>
      <w:r>
        <w:rPr>
          <w:rFonts w:ascii="宋体" w:hAnsi="宋体" w:eastAsia="宋体"/>
          <w:sz w:val="32"/>
          <w:szCs w:val="32"/>
        </w:rPr>
        <w:fldChar w:fldCharType="separate"/>
      </w:r>
      <w:r>
        <w:rPr>
          <w:rFonts w:ascii="宋体" w:hAnsi="宋体" w:eastAsia="宋体"/>
          <w:sz w:val="32"/>
          <w:szCs w:val="32"/>
        </w:rPr>
        <w:t>12</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"_Toc488762341"</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10.3  </w:t>
      </w:r>
      <w:r>
        <w:rPr>
          <w:rStyle w:val="11"/>
          <w:rFonts w:hint="eastAsia" w:ascii="宋体" w:hAnsi="宋体" w:eastAsia="宋体"/>
          <w:color w:val="auto"/>
          <w:kern w:val="0"/>
          <w:sz w:val="32"/>
          <w:szCs w:val="32"/>
        </w:rPr>
        <w:t>资源储量估算参数的要求</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_Toc488762341 \h </w:instrText>
      </w:r>
      <w:r>
        <w:rPr>
          <w:rFonts w:ascii="宋体" w:hAnsi="宋体" w:eastAsia="宋体"/>
          <w:sz w:val="32"/>
          <w:szCs w:val="32"/>
        </w:rPr>
        <w:fldChar w:fldCharType="separate"/>
      </w:r>
      <w:r>
        <w:rPr>
          <w:rFonts w:ascii="宋体" w:hAnsi="宋体" w:eastAsia="宋体"/>
          <w:sz w:val="32"/>
          <w:szCs w:val="32"/>
        </w:rPr>
        <w:t>12</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"_Toc488762342"</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10.4  </w:t>
      </w:r>
      <w:r>
        <w:rPr>
          <w:rStyle w:val="11"/>
          <w:rFonts w:hint="eastAsia" w:ascii="宋体" w:hAnsi="宋体" w:eastAsia="宋体"/>
          <w:color w:val="auto"/>
          <w:kern w:val="0"/>
          <w:sz w:val="32"/>
          <w:szCs w:val="32"/>
        </w:rPr>
        <w:t>资源储量估算表</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_Toc488762342 \h </w:instrText>
      </w:r>
      <w:r>
        <w:rPr>
          <w:rFonts w:ascii="宋体" w:hAnsi="宋体" w:eastAsia="宋体"/>
          <w:sz w:val="32"/>
          <w:szCs w:val="32"/>
        </w:rPr>
        <w:fldChar w:fldCharType="separate"/>
      </w:r>
      <w:r>
        <w:rPr>
          <w:rFonts w:ascii="宋体" w:hAnsi="宋体" w:eastAsia="宋体"/>
          <w:sz w:val="32"/>
          <w:szCs w:val="32"/>
        </w:rPr>
        <w:t>12</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"_Toc488762343"</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（规范性附录</w:t>
      </w:r>
      <w:r>
        <w:rPr>
          <w:rStyle w:val="11"/>
          <w:rFonts w:ascii="宋体" w:hAnsi="宋体"/>
          <w:color w:val="auto"/>
          <w:kern w:val="0"/>
          <w:sz w:val="32"/>
          <w:szCs w:val="32"/>
        </w:rPr>
        <w:t>)</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_Toc488762343 \h </w:instrText>
      </w:r>
      <w:r>
        <w:rPr>
          <w:rFonts w:ascii="宋体" w:hAnsi="宋体"/>
          <w:sz w:val="32"/>
          <w:szCs w:val="32"/>
        </w:rPr>
        <w:fldChar w:fldCharType="separate"/>
      </w:r>
      <w:r>
        <w:rPr>
          <w:rFonts w:ascii="宋体" w:hAnsi="宋体"/>
          <w:sz w:val="32"/>
          <w:szCs w:val="32"/>
        </w:rPr>
        <w:t>13</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"_Toc488762344"</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固体矿产资源／储量分类</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_Toc488762344 \h </w:instrText>
      </w:r>
      <w:r>
        <w:rPr>
          <w:rFonts w:ascii="宋体" w:hAnsi="宋体"/>
          <w:sz w:val="32"/>
          <w:szCs w:val="32"/>
        </w:rPr>
        <w:fldChar w:fldCharType="separate"/>
      </w:r>
      <w:r>
        <w:rPr>
          <w:rFonts w:ascii="宋体" w:hAnsi="宋体"/>
          <w:sz w:val="32"/>
          <w:szCs w:val="32"/>
        </w:rPr>
        <w:t>13</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"_Toc488762345"</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附</w:t>
      </w:r>
      <w:r>
        <w:rPr>
          <w:rStyle w:val="11"/>
          <w:rFonts w:ascii="宋体" w:hAnsi="宋体"/>
          <w:color w:val="auto"/>
          <w:kern w:val="0"/>
          <w:sz w:val="32"/>
          <w:szCs w:val="32"/>
        </w:rPr>
        <w:t xml:space="preserve">  </w:t>
      </w:r>
      <w:r>
        <w:rPr>
          <w:rStyle w:val="11"/>
          <w:rFonts w:hint="eastAsia" w:ascii="宋体" w:hAnsi="宋体"/>
          <w:color w:val="auto"/>
          <w:kern w:val="0"/>
          <w:sz w:val="32"/>
          <w:szCs w:val="32"/>
        </w:rPr>
        <w:t>录</w:t>
      </w:r>
      <w:r>
        <w:rPr>
          <w:rStyle w:val="11"/>
          <w:rFonts w:ascii="宋体" w:hAnsi="宋体"/>
          <w:color w:val="auto"/>
          <w:kern w:val="0"/>
          <w:sz w:val="32"/>
          <w:szCs w:val="32"/>
        </w:rPr>
        <w:t xml:space="preserve">  B</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_Toc488762345 \h </w:instrText>
      </w:r>
      <w:r>
        <w:rPr>
          <w:rFonts w:ascii="宋体" w:hAnsi="宋体"/>
          <w:sz w:val="32"/>
          <w:szCs w:val="32"/>
        </w:rPr>
        <w:fldChar w:fldCharType="separate"/>
      </w:r>
      <w:r>
        <w:rPr>
          <w:rFonts w:ascii="宋体" w:hAnsi="宋体"/>
          <w:sz w:val="32"/>
          <w:szCs w:val="32"/>
        </w:rPr>
        <w:t>14</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"_Toc488762346"</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（资料性附录）</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_Toc488762346 \h </w:instrText>
      </w:r>
      <w:r>
        <w:rPr>
          <w:rFonts w:ascii="宋体" w:hAnsi="宋体"/>
          <w:sz w:val="32"/>
          <w:szCs w:val="32"/>
        </w:rPr>
        <w:fldChar w:fldCharType="separate"/>
      </w:r>
      <w:r>
        <w:rPr>
          <w:rFonts w:ascii="宋体" w:hAnsi="宋体"/>
          <w:sz w:val="32"/>
          <w:szCs w:val="32"/>
        </w:rPr>
        <w:t>14</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"_Toc488762347"</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勘查类型及勘查工程间距</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_Toc488762347 \h </w:instrText>
      </w:r>
      <w:r>
        <w:rPr>
          <w:rFonts w:ascii="宋体" w:hAnsi="宋体"/>
          <w:sz w:val="32"/>
          <w:szCs w:val="32"/>
        </w:rPr>
        <w:fldChar w:fldCharType="separate"/>
      </w:r>
      <w:r>
        <w:rPr>
          <w:rFonts w:ascii="宋体" w:hAnsi="宋体"/>
          <w:sz w:val="32"/>
          <w:szCs w:val="32"/>
        </w:rPr>
        <w:t>14</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"_Toc488762348"</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sz w:val="32"/>
          <w:szCs w:val="32"/>
        </w:rPr>
        <w:t>表</w:t>
      </w:r>
      <w:r>
        <w:rPr>
          <w:rStyle w:val="11"/>
          <w:rFonts w:ascii="宋体" w:hAnsi="宋体"/>
          <w:color w:val="auto"/>
          <w:sz w:val="32"/>
          <w:szCs w:val="32"/>
        </w:rPr>
        <w:t xml:space="preserve">B.1   </w:t>
      </w:r>
      <w:r>
        <w:rPr>
          <w:rStyle w:val="11"/>
          <w:rFonts w:hint="eastAsia" w:ascii="宋体" w:hAnsi="宋体"/>
          <w:color w:val="auto"/>
          <w:sz w:val="32"/>
          <w:szCs w:val="32"/>
        </w:rPr>
        <w:t>勘查类型</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_Toc488762348 \h </w:instrText>
      </w:r>
      <w:r>
        <w:rPr>
          <w:rFonts w:ascii="宋体" w:hAnsi="宋体"/>
          <w:sz w:val="32"/>
          <w:szCs w:val="32"/>
        </w:rPr>
        <w:fldChar w:fldCharType="separate"/>
      </w:r>
      <w:r>
        <w:rPr>
          <w:rFonts w:ascii="宋体" w:hAnsi="宋体"/>
          <w:sz w:val="32"/>
          <w:szCs w:val="32"/>
        </w:rPr>
        <w:t>14</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"_Toc488762349"</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sz w:val="32"/>
          <w:szCs w:val="32"/>
        </w:rPr>
        <w:t>表</w:t>
      </w:r>
      <w:r>
        <w:rPr>
          <w:rStyle w:val="11"/>
          <w:rFonts w:ascii="宋体" w:hAnsi="宋体"/>
          <w:bCs/>
          <w:color w:val="auto"/>
          <w:sz w:val="32"/>
          <w:szCs w:val="32"/>
        </w:rPr>
        <w:t>B</w:t>
      </w:r>
      <w:r>
        <w:rPr>
          <w:rStyle w:val="11"/>
          <w:rFonts w:ascii="宋体" w:hAnsi="宋体"/>
          <w:color w:val="auto"/>
          <w:sz w:val="32"/>
          <w:szCs w:val="32"/>
        </w:rPr>
        <w:t xml:space="preserve">.2   </w:t>
      </w:r>
      <w:r>
        <w:rPr>
          <w:rStyle w:val="11"/>
          <w:rFonts w:hint="eastAsia" w:ascii="宋体" w:hAnsi="宋体"/>
          <w:color w:val="auto"/>
          <w:kern w:val="0"/>
          <w:sz w:val="32"/>
          <w:szCs w:val="32"/>
        </w:rPr>
        <w:t>勘查工程参考间距</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_Toc488762349 \h </w:instrText>
      </w:r>
      <w:r>
        <w:rPr>
          <w:rFonts w:ascii="宋体" w:hAnsi="宋体"/>
          <w:sz w:val="32"/>
          <w:szCs w:val="32"/>
        </w:rPr>
        <w:fldChar w:fldCharType="separate"/>
      </w:r>
      <w:r>
        <w:rPr>
          <w:rFonts w:ascii="宋体" w:hAnsi="宋体"/>
          <w:sz w:val="32"/>
          <w:szCs w:val="32"/>
        </w:rPr>
        <w:t>14</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"_Toc488762350"</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附</w:t>
      </w:r>
      <w:r>
        <w:rPr>
          <w:rStyle w:val="11"/>
          <w:rFonts w:ascii="宋体" w:hAnsi="宋体"/>
          <w:color w:val="auto"/>
          <w:kern w:val="0"/>
          <w:sz w:val="32"/>
          <w:szCs w:val="32"/>
        </w:rPr>
        <w:t xml:space="preserve">  </w:t>
      </w:r>
      <w:r>
        <w:rPr>
          <w:rStyle w:val="11"/>
          <w:rFonts w:hint="eastAsia" w:ascii="宋体" w:hAnsi="宋体"/>
          <w:color w:val="auto"/>
          <w:kern w:val="0"/>
          <w:sz w:val="32"/>
          <w:szCs w:val="32"/>
        </w:rPr>
        <w:t>录</w:t>
      </w:r>
      <w:r>
        <w:rPr>
          <w:rStyle w:val="11"/>
          <w:rFonts w:ascii="宋体" w:hAnsi="宋体"/>
          <w:color w:val="auto"/>
          <w:kern w:val="0"/>
          <w:sz w:val="32"/>
          <w:szCs w:val="32"/>
        </w:rPr>
        <w:t xml:space="preserve">  C</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_Toc488762350 \h </w:instrText>
      </w:r>
      <w:r>
        <w:rPr>
          <w:rFonts w:ascii="宋体" w:hAnsi="宋体"/>
          <w:sz w:val="32"/>
          <w:szCs w:val="32"/>
        </w:rPr>
        <w:fldChar w:fldCharType="separate"/>
      </w:r>
      <w:r>
        <w:rPr>
          <w:rFonts w:ascii="宋体" w:hAnsi="宋体"/>
          <w:sz w:val="32"/>
          <w:szCs w:val="32"/>
        </w:rPr>
        <w:t>15</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"_Toc488762351"</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（资料性附录</w:t>
      </w:r>
      <w:r>
        <w:rPr>
          <w:rStyle w:val="11"/>
          <w:rFonts w:ascii="宋体" w:hAnsi="宋体"/>
          <w:color w:val="auto"/>
          <w:kern w:val="0"/>
          <w:sz w:val="32"/>
          <w:szCs w:val="32"/>
        </w:rPr>
        <w:t>)</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_Toc488762351 \h </w:instrText>
      </w:r>
      <w:r>
        <w:rPr>
          <w:rFonts w:ascii="宋体" w:hAnsi="宋体"/>
          <w:sz w:val="32"/>
          <w:szCs w:val="32"/>
        </w:rPr>
        <w:fldChar w:fldCharType="separate"/>
      </w:r>
      <w:r>
        <w:rPr>
          <w:rFonts w:ascii="宋体" w:hAnsi="宋体"/>
          <w:sz w:val="32"/>
          <w:szCs w:val="32"/>
        </w:rPr>
        <w:t>15</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"_Toc488762352"</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资源储量规模划分标准</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_Toc488762352 \h </w:instrText>
      </w:r>
      <w:r>
        <w:rPr>
          <w:rFonts w:ascii="宋体" w:hAnsi="宋体"/>
          <w:sz w:val="32"/>
          <w:szCs w:val="32"/>
        </w:rPr>
        <w:fldChar w:fldCharType="separate"/>
      </w:r>
      <w:r>
        <w:rPr>
          <w:rFonts w:ascii="宋体" w:hAnsi="宋体"/>
          <w:sz w:val="32"/>
          <w:szCs w:val="32"/>
        </w:rPr>
        <w:t>15</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"_Toc488762353"</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sz w:val="32"/>
          <w:szCs w:val="32"/>
        </w:rPr>
        <w:t>表</w:t>
      </w:r>
      <w:r>
        <w:rPr>
          <w:rStyle w:val="11"/>
          <w:rFonts w:ascii="宋体" w:hAnsi="宋体"/>
          <w:bCs/>
          <w:color w:val="auto"/>
          <w:sz w:val="32"/>
          <w:szCs w:val="32"/>
        </w:rPr>
        <w:t>C</w:t>
      </w:r>
      <w:r>
        <w:rPr>
          <w:rStyle w:val="11"/>
          <w:rFonts w:ascii="宋体" w:hAnsi="宋体"/>
          <w:color w:val="auto"/>
          <w:sz w:val="32"/>
          <w:szCs w:val="32"/>
        </w:rPr>
        <w:t xml:space="preserve">.1   </w:t>
      </w:r>
      <w:r>
        <w:rPr>
          <w:rStyle w:val="11"/>
          <w:rFonts w:hint="eastAsia" w:ascii="宋体" w:hAnsi="宋体"/>
          <w:color w:val="auto"/>
          <w:kern w:val="0"/>
          <w:sz w:val="32"/>
          <w:szCs w:val="32"/>
        </w:rPr>
        <w:t>资源储量规模划分</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_Toc488762353 \h </w:instrText>
      </w:r>
      <w:r>
        <w:rPr>
          <w:rFonts w:ascii="宋体" w:hAnsi="宋体"/>
          <w:sz w:val="32"/>
          <w:szCs w:val="32"/>
        </w:rPr>
        <w:fldChar w:fldCharType="separate"/>
      </w:r>
      <w:r>
        <w:rPr>
          <w:rFonts w:ascii="宋体" w:hAnsi="宋体"/>
          <w:sz w:val="32"/>
          <w:szCs w:val="32"/>
        </w:rPr>
        <w:t>15</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"_Toc488762354"</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附</w:t>
      </w:r>
      <w:r>
        <w:rPr>
          <w:rStyle w:val="11"/>
          <w:rFonts w:ascii="宋体" w:hAnsi="宋体"/>
          <w:color w:val="auto"/>
          <w:kern w:val="0"/>
          <w:sz w:val="32"/>
          <w:szCs w:val="32"/>
        </w:rPr>
        <w:t xml:space="preserve">  </w:t>
      </w:r>
      <w:r>
        <w:rPr>
          <w:rStyle w:val="11"/>
          <w:rFonts w:hint="eastAsia" w:ascii="宋体" w:hAnsi="宋体"/>
          <w:color w:val="auto"/>
          <w:kern w:val="0"/>
          <w:sz w:val="32"/>
          <w:szCs w:val="32"/>
        </w:rPr>
        <w:t>录</w:t>
      </w:r>
      <w:r>
        <w:rPr>
          <w:rStyle w:val="11"/>
          <w:rFonts w:ascii="宋体" w:hAnsi="宋体"/>
          <w:color w:val="auto"/>
          <w:kern w:val="0"/>
          <w:sz w:val="32"/>
          <w:szCs w:val="32"/>
        </w:rPr>
        <w:t xml:space="preserve">  D</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_Toc488762354 \h </w:instrText>
      </w:r>
      <w:r>
        <w:rPr>
          <w:rFonts w:ascii="宋体" w:hAnsi="宋体"/>
          <w:sz w:val="32"/>
          <w:szCs w:val="32"/>
        </w:rPr>
        <w:fldChar w:fldCharType="separate"/>
      </w:r>
      <w:r>
        <w:rPr>
          <w:rFonts w:ascii="宋体" w:hAnsi="宋体"/>
          <w:sz w:val="32"/>
          <w:szCs w:val="32"/>
        </w:rPr>
        <w:t>16</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"_Toc488762355"</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（资料性附录</w:t>
      </w:r>
      <w:r>
        <w:rPr>
          <w:rStyle w:val="11"/>
          <w:rFonts w:ascii="宋体" w:hAnsi="宋体"/>
          <w:color w:val="auto"/>
          <w:kern w:val="0"/>
          <w:sz w:val="32"/>
          <w:szCs w:val="32"/>
        </w:rPr>
        <w:t>)</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_Toc488762355 \h </w:instrText>
      </w:r>
      <w:r>
        <w:rPr>
          <w:rFonts w:ascii="宋体" w:hAnsi="宋体"/>
          <w:sz w:val="32"/>
          <w:szCs w:val="32"/>
        </w:rPr>
        <w:fldChar w:fldCharType="separate"/>
      </w:r>
      <w:r>
        <w:rPr>
          <w:rFonts w:ascii="宋体" w:hAnsi="宋体"/>
          <w:sz w:val="32"/>
          <w:szCs w:val="32"/>
        </w:rPr>
        <w:t>16</w:t>
      </w:r>
      <w:r>
        <w:rPr>
          <w:rFonts w:ascii="宋体" w:hAnsi="宋体"/>
          <w:sz w:val="32"/>
          <w:szCs w:val="32"/>
        </w:rPr>
        <w:fldChar w:fldCharType="end"/>
      </w:r>
      <w:r>
        <w:rPr>
          <w:rStyle w:val="11"/>
          <w:rFonts w:ascii="宋体" w:hAnsi="宋体"/>
          <w:color w:val="auto"/>
          <w:sz w:val="32"/>
          <w:szCs w:val="32"/>
        </w:rPr>
        <w:fldChar w:fldCharType="end"/>
      </w:r>
    </w:p>
    <w:p>
      <w:pPr>
        <w:pStyle w:val="6"/>
        <w:tabs>
          <w:tab w:val="right" w:leader="dot" w:pos="8296"/>
        </w:tabs>
        <w:spacing w:line="600" w:lineRule="exact"/>
        <w:rPr>
          <w:rFonts w:ascii="宋体" w:hAnsi="宋体"/>
          <w:sz w:val="32"/>
          <w:szCs w:val="32"/>
        </w:rPr>
      </w:pPr>
      <w:r>
        <w:rPr>
          <w:rStyle w:val="11"/>
          <w:rFonts w:ascii="宋体" w:hAnsi="宋体"/>
          <w:color w:val="auto"/>
          <w:sz w:val="32"/>
          <w:szCs w:val="32"/>
        </w:rPr>
        <w:fldChar w:fldCharType="begin"/>
      </w:r>
      <w:r>
        <w:rPr>
          <w:rStyle w:val="11"/>
          <w:rFonts w:ascii="宋体" w:hAnsi="宋体"/>
          <w:color w:val="auto"/>
          <w:sz w:val="32"/>
          <w:szCs w:val="32"/>
        </w:rPr>
        <w:instrText xml:space="preserve"> </w:instrText>
      </w:r>
      <w:r>
        <w:rPr>
          <w:rFonts w:ascii="宋体" w:hAnsi="宋体"/>
          <w:sz w:val="32"/>
          <w:szCs w:val="32"/>
        </w:rPr>
        <w:instrText xml:space="preserve">HYPERLINK \l "_Toc488762356"</w:instrText>
      </w:r>
      <w:r>
        <w:rPr>
          <w:rStyle w:val="11"/>
          <w:rFonts w:ascii="宋体" w:hAnsi="宋体"/>
          <w:color w:val="auto"/>
          <w:sz w:val="32"/>
          <w:szCs w:val="32"/>
        </w:rPr>
        <w:instrText xml:space="preserve"> </w:instrText>
      </w:r>
      <w:r>
        <w:rPr>
          <w:rStyle w:val="11"/>
          <w:rFonts w:ascii="宋体" w:hAnsi="宋体"/>
          <w:color w:val="auto"/>
          <w:sz w:val="32"/>
          <w:szCs w:val="32"/>
        </w:rPr>
        <w:fldChar w:fldCharType="separate"/>
      </w:r>
      <w:r>
        <w:rPr>
          <w:rStyle w:val="11"/>
          <w:rFonts w:hint="eastAsia" w:ascii="宋体" w:hAnsi="宋体"/>
          <w:color w:val="auto"/>
          <w:kern w:val="0"/>
          <w:sz w:val="32"/>
          <w:szCs w:val="32"/>
        </w:rPr>
        <w:t>一般工业指标</w:t>
      </w:r>
      <w:r>
        <w:rPr>
          <w:rFonts w:ascii="宋体" w:hAnsi="宋体"/>
          <w:sz w:val="32"/>
          <w:szCs w:val="32"/>
        </w:rPr>
        <w:tab/>
      </w:r>
      <w:r>
        <w:rPr>
          <w:rFonts w:ascii="宋体" w:hAnsi="宋体"/>
          <w:sz w:val="32"/>
          <w:szCs w:val="32"/>
        </w:rPr>
        <w:fldChar w:fldCharType="begin"/>
      </w:r>
      <w:r>
        <w:rPr>
          <w:rFonts w:ascii="宋体" w:hAnsi="宋体"/>
          <w:sz w:val="32"/>
          <w:szCs w:val="32"/>
        </w:rPr>
        <w:instrText xml:space="preserve"> PAGEREF _Toc488762356 \h </w:instrText>
      </w:r>
      <w:r>
        <w:rPr>
          <w:rFonts w:ascii="宋体" w:hAnsi="宋体"/>
          <w:sz w:val="32"/>
          <w:szCs w:val="32"/>
        </w:rPr>
        <w:fldChar w:fldCharType="separate"/>
      </w:r>
      <w:r>
        <w:rPr>
          <w:rFonts w:ascii="宋体" w:hAnsi="宋体"/>
          <w:sz w:val="32"/>
          <w:szCs w:val="32"/>
        </w:rPr>
        <w:t>16</w:t>
      </w:r>
      <w:r>
        <w:rPr>
          <w:rFonts w:ascii="宋体" w:hAnsi="宋体"/>
          <w:sz w:val="32"/>
          <w:szCs w:val="32"/>
        </w:rPr>
        <w:fldChar w:fldCharType="end"/>
      </w:r>
      <w:r>
        <w:rPr>
          <w:rStyle w:val="11"/>
          <w:rFonts w:ascii="宋体" w:hAnsi="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"_Toc488762357"</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D.1  </w:t>
      </w:r>
      <w:r>
        <w:rPr>
          <w:rStyle w:val="11"/>
          <w:rFonts w:hint="eastAsia" w:ascii="宋体" w:hAnsi="宋体" w:eastAsia="宋体"/>
          <w:color w:val="auto"/>
          <w:kern w:val="0"/>
          <w:sz w:val="32"/>
          <w:szCs w:val="32"/>
        </w:rPr>
        <w:t>主要化学成分与物理性能一般要求见表</w:t>
      </w:r>
      <w:r>
        <w:rPr>
          <w:rStyle w:val="11"/>
          <w:rFonts w:ascii="宋体" w:hAnsi="宋体" w:eastAsia="宋体"/>
          <w:color w:val="auto"/>
          <w:kern w:val="0"/>
          <w:sz w:val="32"/>
          <w:szCs w:val="32"/>
        </w:rPr>
        <w:t>D.1</w:t>
      </w:r>
      <w:r>
        <w:rPr>
          <w:rStyle w:val="11"/>
          <w:rFonts w:hint="eastAsia" w:ascii="宋体" w:hAnsi="宋体" w:eastAsia="宋体"/>
          <w:color w:val="auto"/>
          <w:kern w:val="0"/>
          <w:sz w:val="32"/>
          <w:szCs w:val="32"/>
        </w:rPr>
        <w:t>。</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_Toc488762357 \h </w:instrText>
      </w:r>
      <w:r>
        <w:rPr>
          <w:rFonts w:ascii="宋体" w:hAnsi="宋体" w:eastAsia="宋体"/>
          <w:sz w:val="32"/>
          <w:szCs w:val="32"/>
        </w:rPr>
        <w:fldChar w:fldCharType="separate"/>
      </w:r>
      <w:r>
        <w:rPr>
          <w:rFonts w:ascii="宋体" w:hAnsi="宋体" w:eastAsia="宋体"/>
          <w:sz w:val="32"/>
          <w:szCs w:val="32"/>
        </w:rPr>
        <w:t>16</w:t>
      </w:r>
      <w:r>
        <w:rPr>
          <w:rFonts w:ascii="宋体" w:hAnsi="宋体" w:eastAsia="宋体"/>
          <w:sz w:val="32"/>
          <w:szCs w:val="32"/>
        </w:rPr>
        <w:fldChar w:fldCharType="end"/>
      </w:r>
      <w:r>
        <w:rPr>
          <w:rStyle w:val="11"/>
          <w:rFonts w:ascii="宋体" w:hAnsi="宋体" w:eastAsia="宋体"/>
          <w:color w:val="auto"/>
          <w:sz w:val="32"/>
          <w:szCs w:val="32"/>
        </w:rPr>
        <w:fldChar w:fldCharType="end"/>
      </w:r>
    </w:p>
    <w:p>
      <w:pPr>
        <w:pStyle w:val="7"/>
        <w:spacing w:line="600" w:lineRule="exact"/>
        <w:rPr>
          <w:rFonts w:ascii="宋体" w:hAnsi="宋体" w:eastAsia="宋体"/>
          <w:b w:val="0"/>
          <w:sz w:val="32"/>
          <w:szCs w:val="32"/>
        </w:rPr>
      </w:pPr>
      <w:r>
        <w:rPr>
          <w:rStyle w:val="11"/>
          <w:rFonts w:ascii="宋体" w:hAnsi="宋体" w:eastAsia="宋体"/>
          <w:color w:val="auto"/>
          <w:sz w:val="32"/>
          <w:szCs w:val="32"/>
        </w:rPr>
        <w:fldChar w:fldCharType="begin"/>
      </w:r>
      <w:r>
        <w:rPr>
          <w:rStyle w:val="11"/>
          <w:rFonts w:ascii="宋体" w:hAnsi="宋体" w:eastAsia="宋体"/>
          <w:color w:val="auto"/>
          <w:sz w:val="32"/>
          <w:szCs w:val="32"/>
        </w:rPr>
        <w:instrText xml:space="preserve"> </w:instrText>
      </w:r>
      <w:r>
        <w:rPr>
          <w:rFonts w:ascii="宋体" w:hAnsi="宋体" w:eastAsia="宋体"/>
          <w:sz w:val="32"/>
          <w:szCs w:val="32"/>
        </w:rPr>
        <w:instrText xml:space="preserve">HYPERLINK \l "_Toc488762358"</w:instrText>
      </w:r>
      <w:r>
        <w:rPr>
          <w:rStyle w:val="11"/>
          <w:rFonts w:ascii="宋体" w:hAnsi="宋体" w:eastAsia="宋体"/>
          <w:color w:val="auto"/>
          <w:sz w:val="32"/>
          <w:szCs w:val="32"/>
        </w:rPr>
        <w:instrText xml:space="preserve"> </w:instrText>
      </w:r>
      <w:r>
        <w:rPr>
          <w:rStyle w:val="11"/>
          <w:rFonts w:ascii="宋体" w:hAnsi="宋体" w:eastAsia="宋体"/>
          <w:color w:val="auto"/>
          <w:sz w:val="32"/>
          <w:szCs w:val="32"/>
        </w:rPr>
        <w:fldChar w:fldCharType="separate"/>
      </w:r>
      <w:r>
        <w:rPr>
          <w:rStyle w:val="11"/>
          <w:rFonts w:ascii="宋体" w:hAnsi="宋体" w:eastAsia="宋体"/>
          <w:color w:val="auto"/>
          <w:kern w:val="0"/>
          <w:sz w:val="32"/>
          <w:szCs w:val="32"/>
        </w:rPr>
        <w:t xml:space="preserve">D.2  </w:t>
      </w:r>
      <w:r>
        <w:rPr>
          <w:rStyle w:val="11"/>
          <w:rFonts w:hint="eastAsia" w:ascii="宋体" w:hAnsi="宋体" w:eastAsia="宋体"/>
          <w:color w:val="auto"/>
          <w:kern w:val="0"/>
          <w:sz w:val="32"/>
          <w:szCs w:val="32"/>
        </w:rPr>
        <w:t>露天开采技术条件要求</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_Toc488762358 \h </w:instrText>
      </w:r>
      <w:r>
        <w:rPr>
          <w:rFonts w:ascii="宋体" w:hAnsi="宋体" w:eastAsia="宋体"/>
          <w:sz w:val="32"/>
          <w:szCs w:val="32"/>
        </w:rPr>
        <w:fldChar w:fldCharType="separate"/>
      </w:r>
      <w:r>
        <w:rPr>
          <w:rFonts w:ascii="宋体" w:hAnsi="宋体" w:eastAsia="宋体"/>
          <w:sz w:val="32"/>
          <w:szCs w:val="32"/>
        </w:rPr>
        <w:t>16</w:t>
      </w:r>
      <w:r>
        <w:rPr>
          <w:rFonts w:ascii="宋体" w:hAnsi="宋体" w:eastAsia="宋体"/>
          <w:sz w:val="32"/>
          <w:szCs w:val="32"/>
        </w:rPr>
        <w:fldChar w:fldCharType="end"/>
      </w:r>
      <w:r>
        <w:rPr>
          <w:rStyle w:val="11"/>
          <w:rFonts w:ascii="宋体" w:hAnsi="宋体" w:eastAsia="宋体"/>
          <w:color w:val="auto"/>
          <w:sz w:val="32"/>
          <w:szCs w:val="32"/>
        </w:rPr>
        <w:fldChar w:fldCharType="end"/>
      </w:r>
    </w:p>
    <w:p>
      <w:pPr>
        <w:widowControl/>
        <w:spacing w:line="600" w:lineRule="exact"/>
        <w:rPr>
          <w:kern w:val="0"/>
          <w:szCs w:val="21"/>
        </w:rPr>
        <w:sectPr>
          <w:footerReference r:id="rId7" w:type="default"/>
          <w:pgSz w:w="11906" w:h="16838"/>
          <w:pgMar w:top="1440" w:right="1800" w:bottom="1440" w:left="1800" w:header="851" w:footer="992" w:gutter="0"/>
          <w:pgNumType w:fmt="upperRoman" w:start="1"/>
          <w:cols w:space="720" w:num="1"/>
          <w:docGrid w:type="lines" w:linePitch="312" w:charSpace="0"/>
        </w:sectPr>
      </w:pPr>
      <w:r>
        <w:rPr>
          <w:rFonts w:ascii="宋体" w:hAnsi="宋体"/>
          <w:kern w:val="0"/>
          <w:sz w:val="32"/>
          <w:szCs w:val="32"/>
        </w:rPr>
        <w:fldChar w:fldCharType="end"/>
      </w:r>
    </w:p>
    <w:p>
      <w:pPr>
        <w:widowControl/>
        <w:jc w:val="center"/>
        <w:rPr>
          <w:rFonts w:hint="eastAsia" w:ascii="黑体" w:eastAsia="黑体"/>
          <w:b/>
        </w:rPr>
      </w:pPr>
    </w:p>
    <w:p>
      <w:pPr>
        <w:pStyle w:val="2"/>
        <w:spacing w:before="0" w:after="0" w:line="240" w:lineRule="auto"/>
        <w:jc w:val="center"/>
        <w:rPr>
          <w:rFonts w:hint="eastAsia" w:ascii="方正小标宋简体" w:hAnsi="宋体" w:eastAsia="方正小标宋简体"/>
          <w:b w:val="0"/>
        </w:rPr>
      </w:pPr>
      <w:bookmarkStart w:id="4" w:name="_Toc488762288"/>
      <w:r>
        <w:rPr>
          <w:rFonts w:hint="eastAsia" w:ascii="方正小标宋简体" w:hAnsi="宋体" w:eastAsia="方正小标宋简体"/>
          <w:b w:val="0"/>
        </w:rPr>
        <w:t>前  言</w:t>
      </w:r>
      <w:bookmarkEnd w:id="4"/>
    </w:p>
    <w:p>
      <w:pPr>
        <w:widowControl/>
        <w:rPr>
          <w:rFonts w:eastAsia="仿宋_GB2312"/>
          <w:kern w:val="0"/>
          <w:sz w:val="32"/>
          <w:szCs w:val="32"/>
        </w:rPr>
      </w:pPr>
    </w:p>
    <w:p>
      <w:pPr>
        <w:widowControl/>
        <w:ind w:firstLine="640" w:firstLineChars="200"/>
        <w:rPr>
          <w:rFonts w:hint="eastAsia" w:eastAsia="仿宋_GB2312"/>
          <w:color w:val="000000"/>
          <w:sz w:val="32"/>
          <w:szCs w:val="32"/>
        </w:rPr>
      </w:pPr>
      <w:r>
        <w:rPr>
          <w:rFonts w:eastAsia="仿宋_GB2312"/>
          <w:kern w:val="0"/>
          <w:sz w:val="32"/>
          <w:szCs w:val="32"/>
        </w:rPr>
        <w:t>本技术要求是根据</w:t>
      </w:r>
      <w:r>
        <w:rPr>
          <w:rFonts w:eastAsia="仿宋_GB2312"/>
          <w:color w:val="000000"/>
          <w:sz w:val="32"/>
          <w:szCs w:val="32"/>
        </w:rPr>
        <w:t>《固体矿产资源储量分类》</w:t>
      </w:r>
      <w:r>
        <w:rPr>
          <w:rFonts w:eastAsia="仿宋_GB2312"/>
          <w:kern w:val="0"/>
          <w:sz w:val="32"/>
          <w:szCs w:val="32"/>
        </w:rPr>
        <w:t>（GB/T 17766-1999）</w:t>
      </w:r>
      <w:r>
        <w:rPr>
          <w:rFonts w:eastAsia="仿宋_GB2312"/>
          <w:color w:val="000000"/>
          <w:sz w:val="32"/>
          <w:szCs w:val="32"/>
        </w:rPr>
        <w:t>和</w:t>
      </w:r>
      <w:r>
        <w:rPr>
          <w:rFonts w:eastAsia="仿宋_GB2312"/>
          <w:kern w:val="0"/>
          <w:sz w:val="32"/>
          <w:szCs w:val="32"/>
        </w:rPr>
        <w:t>《固体矿产地质勘查规范总则》（GB/T 13908-2002）的规定，</w:t>
      </w:r>
      <w:r>
        <w:rPr>
          <w:rFonts w:eastAsia="仿宋_GB2312"/>
          <w:sz w:val="32"/>
          <w:szCs w:val="32"/>
        </w:rPr>
        <w:t>在收集我省炭质页岩地质勘查、开发利用成果资料、实地调查</w:t>
      </w:r>
      <w:r>
        <w:rPr>
          <w:rFonts w:eastAsia="仿宋_GB2312"/>
          <w:color w:val="000000"/>
          <w:sz w:val="32"/>
          <w:szCs w:val="32"/>
        </w:rPr>
        <w:t>和综合研究的基础上编制而成。</w:t>
      </w:r>
    </w:p>
    <w:p>
      <w:pPr>
        <w:widowControl/>
        <w:ind w:firstLine="640" w:firstLineChars="200"/>
        <w:rPr>
          <w:rFonts w:hint="eastAsia" w:eastAsia="仿宋_GB2312"/>
          <w:color w:val="000000"/>
          <w:kern w:val="0"/>
          <w:sz w:val="32"/>
          <w:szCs w:val="32"/>
        </w:rPr>
      </w:pPr>
      <w:r>
        <w:rPr>
          <w:rFonts w:eastAsia="仿宋_GB2312"/>
          <w:kern w:val="0"/>
          <w:sz w:val="32"/>
          <w:szCs w:val="32"/>
        </w:rPr>
        <w:t>本技术</w:t>
      </w:r>
      <w:r>
        <w:rPr>
          <w:rFonts w:eastAsia="仿宋_GB2312"/>
          <w:color w:val="000000"/>
          <w:kern w:val="0"/>
          <w:sz w:val="32"/>
          <w:szCs w:val="32"/>
        </w:rPr>
        <w:t>要求附录A为规范性附录；附录B、附录C、附录D为资料性附录。</w:t>
      </w:r>
    </w:p>
    <w:p>
      <w:pPr>
        <w:widowControl/>
        <w:ind w:firstLine="640" w:firstLineChars="200"/>
        <w:rPr>
          <w:rFonts w:hint="eastAsia" w:eastAsia="仿宋_GB2312"/>
          <w:kern w:val="0"/>
          <w:sz w:val="32"/>
          <w:szCs w:val="32"/>
        </w:rPr>
      </w:pPr>
      <w:r>
        <w:rPr>
          <w:rFonts w:eastAsia="仿宋_GB2312"/>
          <w:kern w:val="0"/>
          <w:sz w:val="32"/>
          <w:szCs w:val="32"/>
        </w:rPr>
        <w:t>本技术要求由湖南省国土资源厅提出。</w:t>
      </w:r>
    </w:p>
    <w:p>
      <w:pPr>
        <w:widowControl/>
        <w:ind w:firstLine="640" w:firstLineChars="200"/>
        <w:rPr>
          <w:rFonts w:hint="eastAsia" w:eastAsia="仿宋_GB2312"/>
          <w:kern w:val="0"/>
          <w:sz w:val="32"/>
          <w:szCs w:val="32"/>
        </w:rPr>
      </w:pPr>
      <w:r>
        <w:rPr>
          <w:rFonts w:eastAsia="仿宋_GB2312"/>
          <w:kern w:val="0"/>
          <w:sz w:val="32"/>
          <w:szCs w:val="32"/>
        </w:rPr>
        <w:t>本技术要求起草单位：湖南省地质科学研究院。</w:t>
      </w:r>
    </w:p>
    <w:p>
      <w:pPr>
        <w:widowControl/>
        <w:ind w:firstLine="640" w:firstLineChars="200"/>
        <w:rPr>
          <w:rFonts w:hint="eastAsia" w:eastAsia="仿宋_GB2312"/>
          <w:kern w:val="0"/>
          <w:sz w:val="32"/>
          <w:szCs w:val="32"/>
        </w:rPr>
      </w:pPr>
      <w:r>
        <w:rPr>
          <w:rFonts w:eastAsia="仿宋_GB2312"/>
          <w:kern w:val="0"/>
          <w:sz w:val="32"/>
          <w:szCs w:val="32"/>
        </w:rPr>
        <w:t>本技术要求主要起草人：唐卫国、毛党龙、何建泽、赵亚辉、黄宽心、李剑、宋泽友、张慧、李桂秀、毛昌明、盛丹、周旭林、宋维国。</w:t>
      </w:r>
    </w:p>
    <w:p>
      <w:pPr>
        <w:widowControl/>
        <w:ind w:firstLine="640" w:firstLineChars="200"/>
        <w:rPr>
          <w:rFonts w:hint="eastAsia" w:eastAsia="仿宋_GB2312"/>
          <w:kern w:val="0"/>
          <w:sz w:val="32"/>
          <w:szCs w:val="32"/>
        </w:rPr>
      </w:pPr>
      <w:r>
        <w:rPr>
          <w:rFonts w:eastAsia="仿宋_GB2312"/>
          <w:kern w:val="0"/>
          <w:sz w:val="32"/>
          <w:szCs w:val="32"/>
        </w:rPr>
        <w:t>本技术要求由湖南省国土资源厅负责解释。</w:t>
      </w:r>
    </w:p>
    <w:p>
      <w:pPr>
        <w:widowControl/>
        <w:ind w:firstLine="640" w:firstLineChars="200"/>
        <w:rPr>
          <w:rFonts w:eastAsia="仿宋_GB2312"/>
          <w:sz w:val="32"/>
          <w:szCs w:val="32"/>
        </w:rPr>
      </w:pPr>
      <w:r>
        <w:rPr>
          <w:rFonts w:eastAsia="仿宋_GB2312"/>
          <w:sz w:val="32"/>
          <w:szCs w:val="32"/>
        </w:rPr>
        <w:t>本</w:t>
      </w:r>
      <w:r>
        <w:rPr>
          <w:rFonts w:eastAsia="仿宋_GB2312"/>
          <w:kern w:val="0"/>
          <w:sz w:val="32"/>
          <w:szCs w:val="32"/>
        </w:rPr>
        <w:t>技术要求</w:t>
      </w:r>
      <w:r>
        <w:rPr>
          <w:rFonts w:eastAsia="仿宋_GB2312"/>
          <w:sz w:val="32"/>
          <w:szCs w:val="32"/>
        </w:rPr>
        <w:t>为首次发布。</w:t>
      </w:r>
    </w:p>
    <w:p>
      <w:pPr>
        <w:widowControl/>
        <w:ind w:firstLine="640" w:firstLineChars="200"/>
        <w:rPr>
          <w:rFonts w:hint="eastAsia" w:eastAsia="仿宋_GB2312"/>
          <w:sz w:val="32"/>
          <w:szCs w:val="32"/>
        </w:rPr>
      </w:pPr>
      <w:r>
        <w:rPr>
          <w:rFonts w:eastAsia="仿宋_GB2312"/>
          <w:sz w:val="32"/>
          <w:szCs w:val="32"/>
        </w:rPr>
        <w:br w:type="page"/>
      </w:r>
    </w:p>
    <w:p>
      <w:pPr>
        <w:widowControl/>
        <w:ind w:firstLine="640" w:firstLineChars="200"/>
        <w:rPr>
          <w:rFonts w:hint="eastAsia" w:eastAsia="仿宋_GB2312"/>
          <w:sz w:val="32"/>
          <w:szCs w:val="32"/>
        </w:rPr>
        <w:sectPr>
          <w:footerReference r:id="rId8" w:type="default"/>
          <w:pgSz w:w="11906" w:h="16838"/>
          <w:pgMar w:top="1440" w:right="1800" w:bottom="1440" w:left="1800" w:header="851" w:footer="992" w:gutter="0"/>
          <w:pgNumType w:start="1"/>
          <w:cols w:space="720" w:num="1"/>
          <w:docGrid w:type="lines" w:linePitch="312" w:charSpace="0"/>
        </w:sectPr>
      </w:pPr>
    </w:p>
    <w:p>
      <w:pPr>
        <w:widowControl/>
        <w:jc w:val="center"/>
        <w:rPr>
          <w:rFonts w:hint="eastAsia" w:ascii="黑体" w:eastAsia="黑体"/>
          <w:b/>
        </w:rPr>
      </w:pPr>
      <w:bookmarkStart w:id="5" w:name="_Toc488762289"/>
    </w:p>
    <w:p>
      <w:pPr>
        <w:pStyle w:val="2"/>
        <w:spacing w:before="0" w:after="0" w:line="240" w:lineRule="auto"/>
        <w:jc w:val="center"/>
        <w:rPr>
          <w:rFonts w:hint="eastAsia" w:ascii="方正小标宋简体" w:hAnsi="宋体" w:eastAsia="方正小标宋简体"/>
          <w:b w:val="0"/>
        </w:rPr>
      </w:pPr>
      <w:r>
        <w:rPr>
          <w:rFonts w:hint="eastAsia" w:ascii="方正小标宋简体" w:hAnsi="宋体" w:eastAsia="方正小标宋简体"/>
          <w:b w:val="0"/>
        </w:rPr>
        <w:t>湖南省炭质页岩勘查评价技术要求</w:t>
      </w:r>
      <w:bookmarkEnd w:id="5"/>
    </w:p>
    <w:p>
      <w:pPr>
        <w:spacing w:line="400" w:lineRule="exact"/>
        <w:ind w:right="-105" w:rightChars="-50"/>
        <w:outlineLvl w:val="0"/>
        <w:rPr>
          <w:rFonts w:eastAsia="仿宋_GB2312"/>
          <w:b/>
          <w:sz w:val="32"/>
          <w:szCs w:val="32"/>
        </w:rPr>
      </w:pPr>
      <w:bookmarkStart w:id="6" w:name="_Toc488762290"/>
    </w:p>
    <w:p>
      <w:pPr>
        <w:spacing w:line="556" w:lineRule="exact"/>
        <w:ind w:right="-105" w:rightChars="-50"/>
        <w:outlineLvl w:val="0"/>
        <w:rPr>
          <w:rFonts w:eastAsia="黑体"/>
          <w:sz w:val="32"/>
          <w:szCs w:val="32"/>
        </w:rPr>
      </w:pPr>
      <w:r>
        <w:rPr>
          <w:rFonts w:eastAsia="黑体"/>
          <w:sz w:val="32"/>
          <w:szCs w:val="32"/>
        </w:rPr>
        <w:t xml:space="preserve">1  </w:t>
      </w:r>
      <w:r>
        <w:rPr>
          <w:rFonts w:hAnsi="黑体" w:eastAsia="黑体"/>
          <w:sz w:val="32"/>
          <w:szCs w:val="32"/>
        </w:rPr>
        <w:t>范围</w:t>
      </w:r>
      <w:bookmarkEnd w:id="6"/>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 xml:space="preserve">本技术要求规定了炭质页岩勘查评价的范围、基本原则、目的任务、勘查控制及研究程度、勘查工作及质量、可行性评价、资源储量分类、资源储量估算等方面的要求。 </w:t>
      </w:r>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本技术要求适用于炭质页岩矿地质勘查、开发设计及勘查评价成果报告的验收、评审。</w:t>
      </w:r>
    </w:p>
    <w:p>
      <w:pPr>
        <w:spacing w:line="556" w:lineRule="exact"/>
        <w:ind w:right="-105" w:rightChars="-50"/>
        <w:outlineLvl w:val="0"/>
        <w:rPr>
          <w:rFonts w:eastAsia="黑体"/>
          <w:sz w:val="32"/>
          <w:szCs w:val="32"/>
        </w:rPr>
      </w:pPr>
      <w:bookmarkStart w:id="7" w:name="_Toc488762291"/>
      <w:r>
        <w:rPr>
          <w:rFonts w:eastAsia="黑体"/>
          <w:sz w:val="32"/>
          <w:szCs w:val="32"/>
        </w:rPr>
        <w:t>2  术语与定义</w:t>
      </w:r>
      <w:bookmarkEnd w:id="7"/>
    </w:p>
    <w:p>
      <w:pPr>
        <w:widowControl/>
        <w:snapToGrid w:val="0"/>
        <w:spacing w:line="556" w:lineRule="exact"/>
        <w:ind w:right="-105" w:rightChars="-50" w:firstLine="640" w:firstLineChars="200"/>
        <w:rPr>
          <w:rFonts w:eastAsia="仿宋_GB2312"/>
          <w:color w:val="000000"/>
          <w:kern w:val="0"/>
          <w:sz w:val="32"/>
          <w:szCs w:val="32"/>
        </w:rPr>
      </w:pPr>
      <w:r>
        <w:rPr>
          <w:rFonts w:eastAsia="仿宋_GB2312"/>
          <w:color w:val="000000"/>
          <w:kern w:val="0"/>
          <w:sz w:val="32"/>
          <w:szCs w:val="32"/>
        </w:rPr>
        <w:t>本技术要求所称炭质页岩是指泥盆纪及以后地层中的一种含大量分散炭化有机质的灰黑色页岩，由砂岩、泥岩、软弱灰岩和页岩互层等沉积类岩石构成。炭质页岩的粘土矿物含量大于50%，一般可作砖瓦原料用，部分可作普通硅酸盐水泥配料用，当其发热量为3.3</w:t>
      </w:r>
      <w:r>
        <w:rPr>
          <w:rFonts w:eastAsia="仿宋_GB2312"/>
          <w:kern w:val="0"/>
          <w:sz w:val="32"/>
          <w:szCs w:val="32"/>
        </w:rPr>
        <w:t>~</w:t>
      </w:r>
      <w:r>
        <w:rPr>
          <w:rFonts w:eastAsia="仿宋_GB2312"/>
          <w:color w:val="000000"/>
          <w:kern w:val="0"/>
          <w:sz w:val="32"/>
          <w:szCs w:val="32"/>
        </w:rPr>
        <w:t>10MJ/kg时可作辅助燃料用。</w:t>
      </w:r>
    </w:p>
    <w:p>
      <w:pPr>
        <w:widowControl/>
        <w:snapToGrid w:val="0"/>
        <w:spacing w:line="556" w:lineRule="exact"/>
        <w:ind w:right="-105" w:rightChars="-50" w:firstLine="640" w:firstLineChars="200"/>
        <w:rPr>
          <w:rFonts w:eastAsia="仿宋_GB2312"/>
          <w:color w:val="000000"/>
          <w:kern w:val="0"/>
          <w:sz w:val="32"/>
          <w:szCs w:val="32"/>
        </w:rPr>
      </w:pPr>
      <w:r>
        <w:rPr>
          <w:rFonts w:eastAsia="仿宋_GB2312"/>
          <w:color w:val="000000"/>
          <w:kern w:val="0"/>
          <w:sz w:val="32"/>
          <w:szCs w:val="32"/>
        </w:rPr>
        <w:t>本技术要求所指炭质页岩矿应宜于露天开采，矿床中无达到一般工业指标下限值的煤炭等其他重要共伴生矿产。</w:t>
      </w:r>
    </w:p>
    <w:p>
      <w:pPr>
        <w:spacing w:line="556" w:lineRule="exact"/>
        <w:ind w:right="-105" w:rightChars="-50"/>
        <w:outlineLvl w:val="0"/>
        <w:rPr>
          <w:rFonts w:eastAsia="黑体"/>
          <w:sz w:val="32"/>
          <w:szCs w:val="32"/>
        </w:rPr>
      </w:pPr>
      <w:bookmarkStart w:id="8" w:name="_Toc488762292"/>
      <w:r>
        <w:rPr>
          <w:rFonts w:eastAsia="黑体"/>
          <w:sz w:val="32"/>
          <w:szCs w:val="32"/>
        </w:rPr>
        <w:t>3  规范性引用文件</w:t>
      </w:r>
      <w:bookmarkEnd w:id="8"/>
    </w:p>
    <w:p>
      <w:pPr>
        <w:widowControl/>
        <w:snapToGrid w:val="0"/>
        <w:spacing w:line="556" w:lineRule="exact"/>
        <w:ind w:right="-105" w:rightChars="-50" w:firstLine="640" w:firstLineChars="200"/>
        <w:rPr>
          <w:rFonts w:eastAsia="仿宋_GB2312"/>
          <w:kern w:val="0"/>
          <w:sz w:val="32"/>
          <w:szCs w:val="32"/>
        </w:rPr>
      </w:pPr>
      <w:r>
        <w:rPr>
          <w:rFonts w:eastAsia="仿宋_GB2312"/>
          <w:sz w:val="32"/>
          <w:szCs w:val="32"/>
        </w:rPr>
        <w:t>下列文件对于本技术要求的应用是必不可少的。凡是注日期的引用文件，仅注日期的版本适用于本要求。凡是不注日期的引用文件，其最新版本（包括所有的修改单）适用于本要求。</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GB/T 13908  固体矿产地质勘查规范总则</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GB/T 17766-1999  固体矿产资源/储量分类</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GB 12719  矿区水文地质工程地质勘探规范</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GB/T 18341  地质矿产勘查测量规范</w:t>
      </w:r>
    </w:p>
    <w:p>
      <w:pPr>
        <w:widowControl/>
        <w:snapToGrid w:val="0"/>
        <w:spacing w:line="576" w:lineRule="exact"/>
        <w:ind w:right="-105" w:rightChars="-50" w:firstLine="640" w:firstLineChars="200"/>
        <w:rPr>
          <w:rFonts w:eastAsia="仿宋_GB2312"/>
          <w:sz w:val="32"/>
          <w:szCs w:val="32"/>
        </w:rPr>
      </w:pPr>
      <w:r>
        <w:rPr>
          <w:rFonts w:eastAsia="仿宋_GB2312"/>
          <w:sz w:val="32"/>
          <w:szCs w:val="32"/>
        </w:rPr>
        <w:t>GB 474  煤样的制备方法</w:t>
      </w:r>
    </w:p>
    <w:p>
      <w:pPr>
        <w:widowControl/>
        <w:snapToGrid w:val="0"/>
        <w:spacing w:line="576" w:lineRule="exact"/>
        <w:ind w:right="-105" w:rightChars="-50" w:firstLine="640" w:firstLineChars="200"/>
        <w:rPr>
          <w:rFonts w:eastAsia="仿宋_GB2312"/>
          <w:sz w:val="32"/>
          <w:szCs w:val="32"/>
        </w:rPr>
      </w:pPr>
      <w:r>
        <w:rPr>
          <w:rFonts w:eastAsia="仿宋_GB2312"/>
          <w:sz w:val="32"/>
          <w:szCs w:val="32"/>
        </w:rPr>
        <w:t>DZ/T 0215  煤、泥炭地质勘查规范</w:t>
      </w:r>
    </w:p>
    <w:p>
      <w:pPr>
        <w:widowControl/>
        <w:snapToGrid w:val="0"/>
        <w:spacing w:line="576" w:lineRule="exact"/>
        <w:ind w:right="-105" w:rightChars="-50" w:firstLine="640" w:firstLineChars="200"/>
        <w:rPr>
          <w:rFonts w:eastAsia="仿宋_GB2312"/>
          <w:sz w:val="32"/>
          <w:szCs w:val="32"/>
        </w:rPr>
      </w:pPr>
      <w:r>
        <w:rPr>
          <w:rFonts w:eastAsia="仿宋_GB2312"/>
          <w:sz w:val="32"/>
          <w:szCs w:val="32"/>
        </w:rPr>
        <w:t>DZ/T 0033  固体矿产勘查/矿山闭坑地质报告编写规范</w:t>
      </w:r>
    </w:p>
    <w:p>
      <w:pPr>
        <w:widowControl/>
        <w:snapToGrid w:val="0"/>
        <w:spacing w:line="576" w:lineRule="exact"/>
        <w:ind w:right="-105" w:rightChars="-50" w:firstLine="640" w:firstLineChars="200"/>
        <w:rPr>
          <w:rFonts w:eastAsia="仿宋_GB2312"/>
          <w:sz w:val="32"/>
          <w:szCs w:val="32"/>
        </w:rPr>
      </w:pPr>
      <w:r>
        <w:rPr>
          <w:rFonts w:eastAsia="仿宋_GB2312"/>
          <w:sz w:val="32"/>
          <w:szCs w:val="32"/>
        </w:rPr>
        <w:t>DZ/T 0078  固体矿产勘查原始地质编录规定</w:t>
      </w:r>
    </w:p>
    <w:p>
      <w:pPr>
        <w:widowControl/>
        <w:snapToGrid w:val="0"/>
        <w:spacing w:line="576" w:lineRule="exact"/>
        <w:ind w:right="-105" w:rightChars="-50" w:firstLine="640" w:firstLineChars="200"/>
        <w:rPr>
          <w:rFonts w:eastAsia="仿宋_GB2312"/>
          <w:sz w:val="32"/>
          <w:szCs w:val="32"/>
        </w:rPr>
      </w:pPr>
      <w:r>
        <w:rPr>
          <w:rFonts w:eastAsia="仿宋_GB2312"/>
          <w:sz w:val="32"/>
          <w:szCs w:val="32"/>
        </w:rPr>
        <w:t>DZ/T 0079  固体矿产勘查地质资料综合整理、综合研究规定</w:t>
      </w:r>
    </w:p>
    <w:p>
      <w:pPr>
        <w:widowControl/>
        <w:snapToGrid w:val="0"/>
        <w:spacing w:line="576" w:lineRule="exact"/>
        <w:ind w:right="-105" w:rightChars="-50" w:firstLine="640" w:firstLineChars="200"/>
        <w:rPr>
          <w:rFonts w:eastAsia="仿宋_GB2312"/>
          <w:sz w:val="32"/>
          <w:szCs w:val="32"/>
        </w:rPr>
      </w:pPr>
      <w:r>
        <w:rPr>
          <w:rFonts w:eastAsia="仿宋_GB2312"/>
          <w:sz w:val="32"/>
          <w:szCs w:val="32"/>
        </w:rPr>
        <w:t>DZ/T 0130  地质矿产实验室测试质量管理规范</w:t>
      </w:r>
    </w:p>
    <w:p>
      <w:pPr>
        <w:widowControl/>
        <w:snapToGrid w:val="0"/>
        <w:spacing w:line="576" w:lineRule="exact"/>
        <w:ind w:right="-105" w:rightChars="-50" w:firstLine="640" w:firstLineChars="200"/>
        <w:rPr>
          <w:rFonts w:eastAsia="仿宋_GB2312"/>
          <w:sz w:val="32"/>
          <w:szCs w:val="32"/>
        </w:rPr>
      </w:pPr>
      <w:r>
        <w:rPr>
          <w:rFonts w:eastAsia="仿宋_GB2312"/>
          <w:sz w:val="32"/>
          <w:szCs w:val="32"/>
        </w:rPr>
        <w:t>DZ/T 0227  地质岩心钻探规程</w:t>
      </w:r>
    </w:p>
    <w:p>
      <w:pPr>
        <w:spacing w:line="576" w:lineRule="exact"/>
        <w:ind w:right="-105" w:rightChars="-50"/>
        <w:outlineLvl w:val="0"/>
        <w:rPr>
          <w:rFonts w:eastAsia="黑体"/>
          <w:sz w:val="32"/>
          <w:szCs w:val="32"/>
        </w:rPr>
      </w:pPr>
      <w:bookmarkStart w:id="9" w:name="_Toc488762293"/>
      <w:r>
        <w:rPr>
          <w:rFonts w:eastAsia="黑体"/>
          <w:sz w:val="32"/>
          <w:szCs w:val="32"/>
        </w:rPr>
        <w:t>4  基本原则</w:t>
      </w:r>
      <w:bookmarkEnd w:id="9"/>
    </w:p>
    <w:p>
      <w:pPr>
        <w:widowControl/>
        <w:snapToGrid w:val="0"/>
        <w:spacing w:line="576" w:lineRule="exact"/>
        <w:ind w:right="-105" w:rightChars="-50" w:firstLine="640" w:firstLineChars="200"/>
        <w:rPr>
          <w:rFonts w:eastAsia="仿宋_GB2312"/>
          <w:color w:val="000000"/>
          <w:kern w:val="0"/>
          <w:sz w:val="32"/>
          <w:szCs w:val="32"/>
        </w:rPr>
      </w:pPr>
      <w:r>
        <w:rPr>
          <w:rFonts w:eastAsia="仿宋_GB2312"/>
          <w:color w:val="000000"/>
          <w:kern w:val="0"/>
          <w:sz w:val="32"/>
          <w:szCs w:val="32"/>
        </w:rPr>
        <w:t>炭质页岩矿的勘查评价应遵循以下基本原则：</w:t>
      </w:r>
    </w:p>
    <w:p>
      <w:pPr>
        <w:widowControl/>
        <w:snapToGrid w:val="0"/>
        <w:spacing w:line="576" w:lineRule="exact"/>
        <w:ind w:right="-105" w:rightChars="-50" w:firstLine="640" w:firstLineChars="200"/>
        <w:rPr>
          <w:rFonts w:eastAsia="仿宋_GB2312"/>
          <w:color w:val="000000"/>
          <w:kern w:val="0"/>
          <w:sz w:val="32"/>
          <w:szCs w:val="32"/>
        </w:rPr>
      </w:pPr>
      <w:r>
        <w:rPr>
          <w:rFonts w:eastAsia="仿宋_GB2312"/>
          <w:color w:val="000000"/>
          <w:kern w:val="0"/>
          <w:sz w:val="32"/>
          <w:szCs w:val="32"/>
        </w:rPr>
        <w:t>因地制宜原则。炭质页岩勘查评价应充分考虑矿产地资源禀赋特征和当地社会经济发展需求而开展。</w:t>
      </w:r>
    </w:p>
    <w:p>
      <w:pPr>
        <w:widowControl/>
        <w:snapToGrid w:val="0"/>
        <w:spacing w:line="576" w:lineRule="exact"/>
        <w:ind w:right="-105" w:rightChars="-50" w:firstLine="640" w:firstLineChars="200"/>
        <w:rPr>
          <w:rFonts w:eastAsia="仿宋_GB2312"/>
          <w:color w:val="000000"/>
          <w:kern w:val="0"/>
          <w:sz w:val="32"/>
          <w:szCs w:val="32"/>
        </w:rPr>
      </w:pPr>
      <w:r>
        <w:rPr>
          <w:rFonts w:eastAsia="仿宋_GB2312"/>
          <w:color w:val="000000"/>
          <w:kern w:val="0"/>
          <w:sz w:val="32"/>
          <w:szCs w:val="32"/>
        </w:rPr>
        <w:t>经济合理原则。在保证矿产勘查程度的前提下，用最合理的方法，最少的人力、物力、财力的消耗，在较短时间内取得最好的地质成果和最大的经济效果。</w:t>
      </w:r>
    </w:p>
    <w:p>
      <w:pPr>
        <w:widowControl/>
        <w:snapToGrid w:val="0"/>
        <w:spacing w:line="576" w:lineRule="exact"/>
        <w:ind w:right="-105" w:rightChars="-50" w:firstLine="640" w:firstLineChars="200"/>
        <w:rPr>
          <w:rFonts w:eastAsia="仿宋_GB2312"/>
          <w:color w:val="000000"/>
          <w:kern w:val="0"/>
          <w:sz w:val="32"/>
          <w:szCs w:val="32"/>
        </w:rPr>
      </w:pPr>
      <w:r>
        <w:rPr>
          <w:rFonts w:eastAsia="仿宋_GB2312"/>
          <w:color w:val="000000"/>
          <w:kern w:val="0"/>
          <w:sz w:val="32"/>
          <w:szCs w:val="32"/>
        </w:rPr>
        <w:t>勘查与评价并重原则。对矿床地质、技术和经济进行全面的研究评价，克服矿产勘查的片面性，实现全面阐述矿床的工业价值。</w:t>
      </w:r>
    </w:p>
    <w:p>
      <w:pPr>
        <w:widowControl/>
        <w:snapToGrid w:val="0"/>
        <w:spacing w:line="576" w:lineRule="exact"/>
        <w:ind w:right="-105" w:rightChars="-50" w:firstLine="640" w:firstLineChars="200"/>
        <w:rPr>
          <w:rFonts w:eastAsia="仿宋_GB2312"/>
          <w:color w:val="000000"/>
          <w:kern w:val="0"/>
          <w:sz w:val="32"/>
          <w:szCs w:val="32"/>
        </w:rPr>
      </w:pPr>
      <w:r>
        <w:rPr>
          <w:rFonts w:eastAsia="仿宋_GB2312"/>
          <w:color w:val="000000"/>
          <w:kern w:val="0"/>
          <w:sz w:val="32"/>
          <w:szCs w:val="32"/>
        </w:rPr>
        <w:t>勘查评价对象单一性原则。工作中应注重综合勘查综合评价，出现其他重要共伴生矿种时，应服从其他矿种的相关规范，做到充分利用和合理保护矿产资源。</w:t>
      </w:r>
    </w:p>
    <w:p>
      <w:pPr>
        <w:widowControl/>
        <w:snapToGrid w:val="0"/>
        <w:spacing w:line="576" w:lineRule="exact"/>
        <w:ind w:right="-105" w:rightChars="-50" w:firstLine="640" w:firstLineChars="200"/>
        <w:rPr>
          <w:rFonts w:eastAsia="仿宋_GB2312"/>
          <w:color w:val="000000"/>
          <w:kern w:val="0"/>
          <w:sz w:val="32"/>
          <w:szCs w:val="32"/>
        </w:rPr>
      </w:pPr>
      <w:r>
        <w:rPr>
          <w:rFonts w:eastAsia="仿宋_GB2312"/>
          <w:color w:val="000000"/>
          <w:kern w:val="0"/>
          <w:sz w:val="32"/>
          <w:szCs w:val="32"/>
        </w:rPr>
        <w:t>鼓励一次性勘查评价完毕原则。既本着由疏到密、由表及里、由浅入深、由已知到未知的循序渐进原则，又鼓励具备条件的一次性勘查评价完毕。</w:t>
      </w:r>
    </w:p>
    <w:p>
      <w:pPr>
        <w:spacing w:line="556" w:lineRule="exact"/>
        <w:ind w:right="-105" w:rightChars="-50"/>
        <w:outlineLvl w:val="0"/>
        <w:rPr>
          <w:rFonts w:eastAsia="黑体"/>
          <w:sz w:val="32"/>
          <w:szCs w:val="32"/>
        </w:rPr>
      </w:pPr>
      <w:bookmarkStart w:id="10" w:name="_Toc488762294"/>
      <w:r>
        <w:rPr>
          <w:rFonts w:eastAsia="黑体"/>
          <w:sz w:val="32"/>
          <w:szCs w:val="32"/>
        </w:rPr>
        <w:t>5  目的任务</w:t>
      </w:r>
      <w:bookmarkEnd w:id="10"/>
    </w:p>
    <w:p>
      <w:pPr>
        <w:spacing w:line="556" w:lineRule="exact"/>
        <w:ind w:right="-105" w:rightChars="-50"/>
        <w:outlineLvl w:val="1"/>
        <w:rPr>
          <w:rFonts w:eastAsia="楷体_GB2312"/>
          <w:sz w:val="32"/>
          <w:szCs w:val="32"/>
        </w:rPr>
      </w:pPr>
      <w:bookmarkStart w:id="11" w:name="_Toc488762295"/>
      <w:r>
        <w:rPr>
          <w:rFonts w:eastAsia="楷体_GB2312"/>
          <w:sz w:val="32"/>
          <w:szCs w:val="32"/>
        </w:rPr>
        <w:t>5.1  目的</w:t>
      </w:r>
      <w:bookmarkEnd w:id="11"/>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炭质页岩矿</w:t>
      </w:r>
      <w:r>
        <w:rPr>
          <w:rFonts w:eastAsia="仿宋_GB2312"/>
          <w:sz w:val="32"/>
          <w:szCs w:val="32"/>
        </w:rPr>
        <w:t>地质勘查工作分为预查、普查和详查三个阶段。勘查评价的最终目的是为矿山建设设计提供资源储量和开采技术条件等必需的地质资料。</w:t>
      </w:r>
    </w:p>
    <w:p>
      <w:pPr>
        <w:spacing w:line="556" w:lineRule="exact"/>
        <w:ind w:right="-105" w:rightChars="-50"/>
        <w:outlineLvl w:val="1"/>
        <w:rPr>
          <w:rFonts w:eastAsia="楷体_GB2312"/>
          <w:sz w:val="32"/>
          <w:szCs w:val="32"/>
        </w:rPr>
      </w:pPr>
      <w:bookmarkStart w:id="12" w:name="_Toc488762296"/>
      <w:r>
        <w:rPr>
          <w:rFonts w:eastAsia="楷体_GB2312"/>
          <w:sz w:val="32"/>
          <w:szCs w:val="32"/>
        </w:rPr>
        <w:t>5.2  任务</w:t>
      </w:r>
      <w:bookmarkEnd w:id="12"/>
    </w:p>
    <w:p>
      <w:pPr>
        <w:spacing w:line="556" w:lineRule="exact"/>
        <w:ind w:right="-105" w:rightChars="-50"/>
        <w:outlineLvl w:val="1"/>
        <w:rPr>
          <w:rFonts w:eastAsia="仿宋_GB2312"/>
          <w:b/>
          <w:sz w:val="32"/>
          <w:szCs w:val="32"/>
        </w:rPr>
      </w:pPr>
      <w:bookmarkStart w:id="13" w:name="_Toc488762297"/>
      <w:r>
        <w:rPr>
          <w:rFonts w:eastAsia="仿宋_GB2312"/>
          <w:b/>
          <w:sz w:val="32"/>
          <w:szCs w:val="32"/>
        </w:rPr>
        <w:t>5.2.1  预查阶段</w:t>
      </w:r>
      <w:bookmarkEnd w:id="13"/>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全面收集区域地质和矿产分布等资料，了解区域成矿背景；大致了解预查区内与成矿有关的地层、构造、岩浆岩等地质情况；大致了解预查区炭质页岩分布情况。对成矿地质条件进行类比，分析研究预查区内炭质页岩的成矿远景。</w:t>
      </w:r>
    </w:p>
    <w:p>
      <w:pPr>
        <w:spacing w:line="556" w:lineRule="exact"/>
        <w:ind w:right="-105" w:rightChars="-50"/>
        <w:outlineLvl w:val="1"/>
        <w:rPr>
          <w:rFonts w:eastAsia="仿宋_GB2312"/>
          <w:b/>
          <w:sz w:val="32"/>
          <w:szCs w:val="32"/>
        </w:rPr>
      </w:pPr>
      <w:bookmarkStart w:id="14" w:name="_Toc488762298"/>
      <w:r>
        <w:rPr>
          <w:rFonts w:eastAsia="仿宋_GB2312"/>
          <w:b/>
          <w:sz w:val="32"/>
          <w:szCs w:val="32"/>
        </w:rPr>
        <w:t>5.2.2  普查阶段</w:t>
      </w:r>
      <w:bookmarkEnd w:id="14"/>
    </w:p>
    <w:p>
      <w:pPr>
        <w:widowControl/>
        <w:snapToGrid w:val="0"/>
        <w:spacing w:line="556" w:lineRule="exact"/>
        <w:ind w:right="-105" w:rightChars="-50" w:firstLine="640" w:firstLineChars="200"/>
        <w:rPr>
          <w:rFonts w:eastAsia="仿宋_GB2312"/>
          <w:kern w:val="0"/>
          <w:sz w:val="32"/>
          <w:szCs w:val="32"/>
        </w:rPr>
      </w:pPr>
      <w:r>
        <w:rPr>
          <w:rFonts w:eastAsia="仿宋_GB2312"/>
          <w:sz w:val="32"/>
          <w:szCs w:val="32"/>
        </w:rPr>
        <w:t>对炭质页岩发育地区，通过露头检查、地质填图和极少量的浅表取样工程等野外工作，寻找有工业价值的矿床，并对矿床经济意义进行概略研究，做出是否具有详查价值的评价，具有详查价值的，圈出详查区范围，估算推断的资源量。</w:t>
      </w:r>
    </w:p>
    <w:p>
      <w:pPr>
        <w:widowControl/>
        <w:snapToGrid w:val="0"/>
        <w:spacing w:line="556" w:lineRule="exact"/>
        <w:ind w:right="-105" w:rightChars="-50" w:firstLine="640" w:firstLineChars="200"/>
        <w:rPr>
          <w:rFonts w:eastAsia="仿宋_GB2312"/>
          <w:color w:val="000000"/>
          <w:kern w:val="0"/>
          <w:sz w:val="32"/>
          <w:szCs w:val="32"/>
        </w:rPr>
      </w:pPr>
      <w:r>
        <w:rPr>
          <w:rFonts w:eastAsia="仿宋_GB2312"/>
          <w:kern w:val="0"/>
          <w:sz w:val="32"/>
          <w:szCs w:val="32"/>
        </w:rPr>
        <w:t>普查发现并确认</w:t>
      </w:r>
      <w:r>
        <w:rPr>
          <w:rFonts w:eastAsia="仿宋_GB2312"/>
          <w:color w:val="000000"/>
          <w:kern w:val="0"/>
          <w:sz w:val="32"/>
          <w:szCs w:val="32"/>
        </w:rPr>
        <w:t>出现煤炭等达到一般工业指标下限值的其他重要共伴生矿种时，应终止以炭质页岩为主攻矿种的勘查评价。</w:t>
      </w:r>
    </w:p>
    <w:p>
      <w:pPr>
        <w:spacing w:line="556" w:lineRule="exact"/>
        <w:ind w:right="-105" w:rightChars="-50"/>
        <w:outlineLvl w:val="1"/>
        <w:rPr>
          <w:rFonts w:eastAsia="仿宋_GB2312"/>
          <w:b/>
          <w:sz w:val="32"/>
          <w:szCs w:val="32"/>
        </w:rPr>
      </w:pPr>
      <w:bookmarkStart w:id="15" w:name="_Toc488762299"/>
      <w:r>
        <w:rPr>
          <w:rFonts w:eastAsia="仿宋_GB2312"/>
          <w:b/>
          <w:sz w:val="32"/>
          <w:szCs w:val="32"/>
        </w:rPr>
        <w:t>5.2.3  详查阶段</w:t>
      </w:r>
      <w:bookmarkEnd w:id="15"/>
    </w:p>
    <w:p>
      <w:pPr>
        <w:widowControl/>
        <w:snapToGrid w:val="0"/>
        <w:spacing w:line="556" w:lineRule="exact"/>
        <w:ind w:right="-105" w:rightChars="-50" w:firstLine="640" w:firstLineChars="200"/>
        <w:rPr>
          <w:rFonts w:eastAsia="仿宋_GB2312"/>
          <w:kern w:val="0"/>
          <w:sz w:val="32"/>
          <w:szCs w:val="32"/>
        </w:rPr>
      </w:pPr>
      <w:r>
        <w:rPr>
          <w:rFonts w:eastAsia="仿宋_GB2312"/>
          <w:sz w:val="32"/>
          <w:szCs w:val="32"/>
        </w:rPr>
        <w:t>在详查区内，通过大比例尺地质填图和以一定的勘查工程间距开展适量的取样测试，基本查明矿床地质特征，并进行预可行性（类比）研究，做出是否具有工业价值的评价，估算控制的资源储量，为矿山建设设计确定生产规模、产品方案、开采方式、开拓方案、矿石加工、矿山总体布置等提供依据。</w:t>
      </w:r>
    </w:p>
    <w:p>
      <w:pPr>
        <w:spacing w:line="556" w:lineRule="exact"/>
        <w:ind w:right="-105" w:rightChars="-50"/>
        <w:outlineLvl w:val="0"/>
        <w:rPr>
          <w:rFonts w:eastAsia="黑体"/>
          <w:sz w:val="32"/>
          <w:szCs w:val="32"/>
        </w:rPr>
      </w:pPr>
      <w:bookmarkStart w:id="16" w:name="_Toc488762300"/>
      <w:r>
        <w:rPr>
          <w:rFonts w:eastAsia="黑体"/>
          <w:sz w:val="32"/>
          <w:szCs w:val="32"/>
        </w:rPr>
        <w:t>6  勘查控制及研究程度</w:t>
      </w:r>
      <w:bookmarkEnd w:id="16"/>
    </w:p>
    <w:p>
      <w:pPr>
        <w:spacing w:line="556" w:lineRule="exact"/>
        <w:ind w:right="-105" w:rightChars="-50"/>
        <w:outlineLvl w:val="1"/>
        <w:rPr>
          <w:rFonts w:eastAsia="楷体_GB2312"/>
          <w:sz w:val="32"/>
          <w:szCs w:val="32"/>
        </w:rPr>
      </w:pPr>
      <w:bookmarkStart w:id="17" w:name="_Toc488762301"/>
      <w:r>
        <w:rPr>
          <w:rFonts w:eastAsia="楷体_GB2312"/>
          <w:sz w:val="32"/>
          <w:szCs w:val="32"/>
        </w:rPr>
        <w:t>6.1  勘查类型划分</w:t>
      </w:r>
      <w:bookmarkEnd w:id="17"/>
    </w:p>
    <w:p>
      <w:pPr>
        <w:widowControl/>
        <w:spacing w:line="556" w:lineRule="exact"/>
        <w:ind w:right="-105" w:rightChars="-50"/>
        <w:outlineLvl w:val="2"/>
        <w:rPr>
          <w:rFonts w:eastAsia="仿宋_GB2312"/>
          <w:b/>
          <w:kern w:val="0"/>
          <w:sz w:val="32"/>
          <w:szCs w:val="32"/>
        </w:rPr>
      </w:pPr>
      <w:bookmarkStart w:id="18" w:name="_Toc488762302"/>
      <w:r>
        <w:rPr>
          <w:rFonts w:eastAsia="仿宋_GB2312"/>
          <w:b/>
          <w:kern w:val="0"/>
          <w:sz w:val="32"/>
          <w:szCs w:val="32"/>
        </w:rPr>
        <w:t>6.1.1  勘查类型划分依据</w:t>
      </w:r>
      <w:bookmarkEnd w:id="18"/>
    </w:p>
    <w:p>
      <w:pPr>
        <w:widowControl/>
        <w:snapToGrid w:val="0"/>
        <w:spacing w:line="556" w:lineRule="exact"/>
        <w:ind w:right="-105" w:rightChars="-50" w:firstLine="640" w:firstLineChars="200"/>
        <w:rPr>
          <w:rFonts w:eastAsia="仿宋_GB2312"/>
          <w:kern w:val="0"/>
          <w:sz w:val="32"/>
          <w:szCs w:val="32"/>
        </w:rPr>
      </w:pPr>
      <w:r>
        <w:rPr>
          <w:rFonts w:eastAsia="仿宋_GB2312"/>
          <w:color w:val="000000"/>
          <w:sz w:val="32"/>
          <w:szCs w:val="32"/>
        </w:rPr>
        <w:t>勘查类型是根据主要矿体</w:t>
      </w:r>
      <w:r>
        <w:rPr>
          <w:rFonts w:eastAsia="仿宋_GB2312"/>
          <w:kern w:val="0"/>
          <w:sz w:val="32"/>
          <w:szCs w:val="32"/>
        </w:rPr>
        <w:t>规模、</w:t>
      </w:r>
      <w:r>
        <w:rPr>
          <w:rFonts w:eastAsia="仿宋_GB2312"/>
          <w:sz w:val="32"/>
          <w:szCs w:val="32"/>
        </w:rPr>
        <w:t>矿体内部复杂程度（矿石质量及夹石）、矿体</w:t>
      </w:r>
      <w:r>
        <w:rPr>
          <w:rFonts w:eastAsia="仿宋_GB2312"/>
          <w:kern w:val="0"/>
          <w:sz w:val="32"/>
          <w:szCs w:val="32"/>
        </w:rPr>
        <w:t>厚度稳定</w:t>
      </w:r>
      <w:r>
        <w:rPr>
          <w:rFonts w:eastAsia="仿宋_GB2312"/>
          <w:sz w:val="32"/>
          <w:szCs w:val="32"/>
        </w:rPr>
        <w:t>性、矿体</w:t>
      </w:r>
      <w:r>
        <w:rPr>
          <w:rFonts w:eastAsia="仿宋_GB2312"/>
          <w:kern w:val="0"/>
          <w:sz w:val="32"/>
          <w:szCs w:val="32"/>
        </w:rPr>
        <w:t>破坏程度</w:t>
      </w:r>
      <w:r>
        <w:rPr>
          <w:rFonts w:eastAsia="仿宋_GB2312"/>
          <w:sz w:val="32"/>
          <w:szCs w:val="32"/>
        </w:rPr>
        <w:t>（</w:t>
      </w:r>
      <w:r>
        <w:rPr>
          <w:rFonts w:eastAsia="仿宋_GB2312"/>
          <w:kern w:val="0"/>
          <w:sz w:val="32"/>
          <w:szCs w:val="32"/>
        </w:rPr>
        <w:t>构造和岩体破坏）等四个方面</w:t>
      </w:r>
      <w:r>
        <w:rPr>
          <w:rFonts w:eastAsia="仿宋_GB2312"/>
          <w:sz w:val="32"/>
          <w:szCs w:val="32"/>
        </w:rPr>
        <w:t>进行划分</w:t>
      </w:r>
      <w:r>
        <w:rPr>
          <w:rFonts w:eastAsia="仿宋_GB2312"/>
          <w:kern w:val="0"/>
          <w:sz w:val="32"/>
          <w:szCs w:val="32"/>
        </w:rPr>
        <w:t>(参</w:t>
      </w:r>
      <w:r>
        <w:rPr>
          <w:rFonts w:eastAsia="仿宋_GB2312"/>
          <w:sz w:val="32"/>
          <w:szCs w:val="32"/>
        </w:rPr>
        <w:t>见附录B.1)</w:t>
      </w:r>
      <w:r>
        <w:rPr>
          <w:rFonts w:eastAsia="仿宋_GB2312"/>
          <w:kern w:val="0"/>
          <w:sz w:val="32"/>
          <w:szCs w:val="32"/>
        </w:rPr>
        <w:t>。</w:t>
      </w:r>
      <w:r>
        <w:rPr>
          <w:rFonts w:eastAsia="仿宋_GB2312"/>
          <w:sz w:val="32"/>
          <w:szCs w:val="32"/>
        </w:rPr>
        <w:t>勘查类型</w:t>
      </w:r>
      <w:r>
        <w:rPr>
          <w:rFonts w:eastAsia="仿宋_GB2312"/>
          <w:kern w:val="0"/>
          <w:sz w:val="32"/>
          <w:szCs w:val="32"/>
        </w:rPr>
        <w:t>应</w:t>
      </w:r>
      <w:r>
        <w:rPr>
          <w:rFonts w:eastAsia="仿宋_GB2312"/>
          <w:sz w:val="32"/>
          <w:szCs w:val="32"/>
        </w:rPr>
        <w:t>随着对矿体认识程度提高作适当调整。</w:t>
      </w:r>
    </w:p>
    <w:p>
      <w:pPr>
        <w:widowControl/>
        <w:snapToGrid w:val="0"/>
        <w:spacing w:line="556" w:lineRule="exact"/>
        <w:ind w:right="-105" w:rightChars="-50" w:firstLine="640" w:firstLineChars="200"/>
        <w:rPr>
          <w:rFonts w:eastAsia="仿宋_GB2312"/>
          <w:kern w:val="0"/>
          <w:sz w:val="32"/>
          <w:szCs w:val="32"/>
        </w:rPr>
      </w:pPr>
      <w:r>
        <w:rPr>
          <w:rFonts w:eastAsia="仿宋_GB2312"/>
          <w:sz w:val="32"/>
          <w:szCs w:val="32"/>
        </w:rPr>
        <w:t>应根据</w:t>
      </w:r>
      <w:r>
        <w:rPr>
          <w:rFonts w:eastAsia="仿宋_GB2312"/>
          <w:bCs/>
          <w:sz w:val="32"/>
          <w:szCs w:val="32"/>
        </w:rPr>
        <w:t>影响矿床勘查复杂程度的主要因素，兼顾其他因素综合考虑合理确定矿床</w:t>
      </w:r>
      <w:r>
        <w:rPr>
          <w:rFonts w:eastAsia="仿宋_GB2312"/>
          <w:sz w:val="32"/>
          <w:szCs w:val="32"/>
        </w:rPr>
        <w:t>勘查类型。</w:t>
      </w:r>
      <w:r>
        <w:rPr>
          <w:rFonts w:eastAsia="仿宋_GB2312"/>
          <w:bCs/>
          <w:color w:val="000000"/>
          <w:sz w:val="32"/>
          <w:szCs w:val="32"/>
        </w:rPr>
        <w:t>当矿体不同地段的主要特征差异显著时，也可分段确定勘查类型。</w:t>
      </w:r>
      <w:r>
        <w:rPr>
          <w:rFonts w:eastAsia="仿宋_GB2312"/>
          <w:sz w:val="32"/>
          <w:szCs w:val="32"/>
        </w:rPr>
        <w:t>由于地质因素的复杂性，允许有过渡类型的存在</w:t>
      </w:r>
      <w:r>
        <w:rPr>
          <w:rFonts w:eastAsia="仿宋_GB2312"/>
          <w:kern w:val="0"/>
          <w:sz w:val="32"/>
          <w:szCs w:val="32"/>
        </w:rPr>
        <w:t>。</w:t>
      </w:r>
    </w:p>
    <w:p>
      <w:pPr>
        <w:widowControl/>
        <w:spacing w:line="556" w:lineRule="exact"/>
        <w:ind w:right="-105" w:rightChars="-50"/>
        <w:outlineLvl w:val="2"/>
        <w:rPr>
          <w:rFonts w:eastAsia="仿宋_GB2312"/>
          <w:b/>
          <w:kern w:val="0"/>
          <w:sz w:val="32"/>
          <w:szCs w:val="32"/>
        </w:rPr>
      </w:pPr>
      <w:bookmarkStart w:id="19" w:name="_Toc488762303"/>
      <w:r>
        <w:rPr>
          <w:rFonts w:eastAsia="仿宋_GB2312"/>
          <w:b/>
          <w:kern w:val="0"/>
          <w:sz w:val="32"/>
          <w:szCs w:val="32"/>
        </w:rPr>
        <w:t>6.1.2  勘查类型的划分</w:t>
      </w:r>
      <w:bookmarkEnd w:id="19"/>
    </w:p>
    <w:p>
      <w:pPr>
        <w:widowControl/>
        <w:snapToGrid w:val="0"/>
        <w:spacing w:line="556" w:lineRule="exact"/>
        <w:ind w:right="-105" w:rightChars="-50" w:firstLine="640" w:firstLineChars="200"/>
        <w:jc w:val="left"/>
        <w:rPr>
          <w:rFonts w:eastAsia="仿宋_GB2312"/>
          <w:color w:val="000000"/>
          <w:sz w:val="32"/>
          <w:szCs w:val="32"/>
        </w:rPr>
      </w:pPr>
      <w:r>
        <w:rPr>
          <w:rFonts w:eastAsia="仿宋_GB2312"/>
          <w:sz w:val="32"/>
          <w:szCs w:val="32"/>
        </w:rPr>
        <w:t>按勘查类型划分依据，将矿床划分为三个勘查类型（参见附录B.2）。</w:t>
      </w:r>
    </w:p>
    <w:p>
      <w:pPr>
        <w:spacing w:line="556" w:lineRule="exact"/>
        <w:ind w:right="-105" w:rightChars="-50"/>
        <w:outlineLvl w:val="1"/>
        <w:rPr>
          <w:rFonts w:eastAsia="楷体_GB2312"/>
          <w:sz w:val="32"/>
          <w:szCs w:val="32"/>
        </w:rPr>
      </w:pPr>
      <w:bookmarkStart w:id="20" w:name="_Toc488762304"/>
      <w:r>
        <w:rPr>
          <w:rFonts w:eastAsia="楷体_GB2312"/>
          <w:sz w:val="32"/>
          <w:szCs w:val="32"/>
        </w:rPr>
        <w:t>6.2  勘查工程间距</w:t>
      </w:r>
      <w:bookmarkEnd w:id="20"/>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通常采用类比法，与同类矿床比较，选择适当的工程间距；无类比条件的，附录B.3提出各勘查类型控制的工程间距，供类比参考使用。在实施过程中如有变化，工程间距应进行适当调整。</w:t>
      </w:r>
    </w:p>
    <w:p>
      <w:pPr>
        <w:widowControl/>
        <w:snapToGrid w:val="0"/>
        <w:spacing w:line="556" w:lineRule="exact"/>
        <w:ind w:right="-105" w:rightChars="-50" w:firstLine="640" w:firstLineChars="200"/>
        <w:rPr>
          <w:rFonts w:eastAsia="仿宋_GB2312"/>
          <w:kern w:val="0"/>
          <w:sz w:val="32"/>
          <w:szCs w:val="32"/>
        </w:rPr>
      </w:pPr>
      <w:r>
        <w:rPr>
          <w:rFonts w:eastAsia="仿宋_GB2312"/>
          <w:color w:val="000000"/>
          <w:sz w:val="32"/>
          <w:szCs w:val="32"/>
        </w:rPr>
        <w:t>勘查工程布置应根据矿体特征和矿山建设的需要，并</w:t>
      </w:r>
      <w:r>
        <w:rPr>
          <w:rFonts w:eastAsia="仿宋_GB2312"/>
          <w:sz w:val="32"/>
          <w:szCs w:val="32"/>
        </w:rPr>
        <w:t>充分考虑后续勘查及开发工作的衔接，</w:t>
      </w:r>
      <w:r>
        <w:rPr>
          <w:rFonts w:eastAsia="仿宋_GB2312"/>
          <w:color w:val="000000"/>
          <w:sz w:val="32"/>
          <w:szCs w:val="32"/>
        </w:rPr>
        <w:t>一般情况下，地表以槽、井探为主，深部以岩心钻探为主</w:t>
      </w:r>
      <w:r>
        <w:rPr>
          <w:rFonts w:eastAsia="仿宋_GB2312"/>
          <w:sz w:val="32"/>
          <w:szCs w:val="32"/>
        </w:rPr>
        <w:t>。</w:t>
      </w:r>
    </w:p>
    <w:p>
      <w:pPr>
        <w:spacing w:line="556" w:lineRule="exact"/>
        <w:ind w:right="-105" w:rightChars="-50"/>
        <w:outlineLvl w:val="1"/>
        <w:rPr>
          <w:rFonts w:eastAsia="楷体_GB2312"/>
          <w:sz w:val="32"/>
          <w:szCs w:val="32"/>
        </w:rPr>
      </w:pPr>
      <w:bookmarkStart w:id="21" w:name="_Toc488762305"/>
      <w:r>
        <w:rPr>
          <w:rFonts w:eastAsia="楷体_GB2312"/>
          <w:sz w:val="32"/>
          <w:szCs w:val="32"/>
        </w:rPr>
        <w:t>6.3  勘查控制及研究程度要求</w:t>
      </w:r>
      <w:bookmarkEnd w:id="21"/>
    </w:p>
    <w:p>
      <w:pPr>
        <w:widowControl/>
        <w:spacing w:line="556" w:lineRule="exact"/>
        <w:ind w:right="-105" w:rightChars="-50"/>
        <w:outlineLvl w:val="2"/>
        <w:rPr>
          <w:rFonts w:eastAsia="仿宋_GB2312"/>
          <w:b/>
          <w:kern w:val="0"/>
          <w:sz w:val="32"/>
          <w:szCs w:val="32"/>
        </w:rPr>
      </w:pPr>
      <w:bookmarkStart w:id="22" w:name="_Toc488762306"/>
      <w:r>
        <w:rPr>
          <w:rFonts w:eastAsia="仿宋_GB2312"/>
          <w:b/>
          <w:kern w:val="0"/>
          <w:sz w:val="32"/>
          <w:szCs w:val="32"/>
        </w:rPr>
        <w:t>6.3.1  总体要求</w:t>
      </w:r>
      <w:bookmarkEnd w:id="22"/>
    </w:p>
    <w:p>
      <w:pPr>
        <w:widowControl/>
        <w:snapToGrid w:val="0"/>
        <w:spacing w:line="556" w:lineRule="exact"/>
        <w:ind w:right="-105" w:rightChars="-50" w:firstLine="640" w:firstLineChars="200"/>
        <w:rPr>
          <w:rFonts w:hint="eastAsia" w:eastAsia="仿宋_GB2312"/>
          <w:color w:val="000000"/>
          <w:sz w:val="32"/>
          <w:szCs w:val="32"/>
        </w:rPr>
      </w:pPr>
      <w:r>
        <w:rPr>
          <w:rFonts w:eastAsia="仿宋_GB2312"/>
          <w:sz w:val="32"/>
          <w:szCs w:val="32"/>
        </w:rPr>
        <w:t>应以最小的投入，获得最大的综合效益为</w:t>
      </w:r>
      <w:r>
        <w:rPr>
          <w:rFonts w:eastAsia="仿宋_GB2312"/>
          <w:color w:val="000000"/>
          <w:sz w:val="32"/>
          <w:szCs w:val="32"/>
        </w:rPr>
        <w:t>控制程度原则。</w:t>
      </w:r>
    </w:p>
    <w:p>
      <w:pPr>
        <w:widowControl/>
        <w:snapToGrid w:val="0"/>
        <w:spacing w:line="580" w:lineRule="exact"/>
        <w:ind w:right="-105" w:rightChars="-50"/>
        <w:rPr>
          <w:rFonts w:eastAsia="仿宋_GB2312"/>
          <w:kern w:val="0"/>
          <w:sz w:val="32"/>
          <w:szCs w:val="32"/>
        </w:rPr>
      </w:pPr>
      <w:r>
        <w:rPr>
          <w:rFonts w:eastAsia="仿宋_GB2312"/>
          <w:color w:val="000000"/>
          <w:sz w:val="32"/>
          <w:szCs w:val="32"/>
        </w:rPr>
        <w:t>应控制勘查区矿体总体分布范围及</w:t>
      </w:r>
      <w:r>
        <w:rPr>
          <w:rFonts w:eastAsia="仿宋_GB2312"/>
          <w:sz w:val="32"/>
          <w:szCs w:val="32"/>
        </w:rPr>
        <w:t>矿体四周的边界、采场底部矿体的边界和覆盖层的分布与厚度。对破坏矿体和对开采影响较大的构造、岩脉等产状、规模要有适当工程控制。勘查深度应根据矿体延深、开采技术经济水平、可能建设的矿山规模和服务年限的要求确定。</w:t>
      </w:r>
    </w:p>
    <w:p>
      <w:pPr>
        <w:widowControl/>
        <w:spacing w:line="580" w:lineRule="exact"/>
        <w:ind w:right="-105" w:rightChars="-50"/>
        <w:outlineLvl w:val="2"/>
        <w:rPr>
          <w:rFonts w:eastAsia="仿宋_GB2312"/>
          <w:b/>
          <w:kern w:val="0"/>
          <w:sz w:val="32"/>
          <w:szCs w:val="32"/>
        </w:rPr>
      </w:pPr>
      <w:bookmarkStart w:id="23" w:name="_Toc488762307"/>
      <w:r>
        <w:rPr>
          <w:rFonts w:eastAsia="仿宋_GB2312"/>
          <w:b/>
          <w:kern w:val="0"/>
          <w:sz w:val="32"/>
          <w:szCs w:val="32"/>
        </w:rPr>
        <w:t>6.3.2  各勘查阶段要求</w:t>
      </w:r>
      <w:bookmarkEnd w:id="23"/>
    </w:p>
    <w:p>
      <w:pPr>
        <w:widowControl/>
        <w:snapToGrid w:val="0"/>
        <w:spacing w:line="580" w:lineRule="exact"/>
        <w:ind w:right="-105" w:rightChars="-50" w:firstLine="640" w:firstLineChars="200"/>
        <w:rPr>
          <w:rFonts w:eastAsia="仿宋_GB2312"/>
          <w:sz w:val="32"/>
          <w:szCs w:val="32"/>
        </w:rPr>
      </w:pPr>
      <w:r>
        <w:rPr>
          <w:rFonts w:eastAsia="仿宋_GB2312"/>
          <w:sz w:val="32"/>
          <w:szCs w:val="32"/>
        </w:rPr>
        <w:t>a）预查阶段：应有地表地质工作和自然露头验证，并与地质特征相似的已知矿床类比，有条件的，估算预测的资源量。</w:t>
      </w:r>
    </w:p>
    <w:p>
      <w:pPr>
        <w:widowControl/>
        <w:snapToGrid w:val="0"/>
        <w:spacing w:line="580" w:lineRule="exact"/>
        <w:ind w:right="-105" w:rightChars="-50" w:firstLine="640" w:firstLineChars="200"/>
        <w:rPr>
          <w:rFonts w:eastAsia="仿宋_GB2312"/>
          <w:sz w:val="32"/>
          <w:szCs w:val="32"/>
        </w:rPr>
      </w:pPr>
      <w:r>
        <w:rPr>
          <w:rFonts w:eastAsia="仿宋_GB2312"/>
          <w:sz w:val="32"/>
          <w:szCs w:val="32"/>
        </w:rPr>
        <w:t>b）普查阶段：地表有自然露头或极少量的浅表取样工程控制矿体，大致了解矿体的分布，矿体的连续性是推断的，估算推断的和预测的资源量。控制程度应达到进一步部署勘查工作的要求。</w:t>
      </w:r>
    </w:p>
    <w:p>
      <w:pPr>
        <w:widowControl/>
        <w:snapToGrid w:val="0"/>
        <w:spacing w:line="580" w:lineRule="exact"/>
        <w:ind w:right="-105" w:rightChars="-50" w:firstLine="640" w:firstLineChars="200"/>
        <w:rPr>
          <w:rFonts w:eastAsia="仿宋_GB2312"/>
          <w:sz w:val="32"/>
          <w:szCs w:val="32"/>
        </w:rPr>
      </w:pPr>
      <w:r>
        <w:rPr>
          <w:rFonts w:eastAsia="仿宋_GB2312"/>
          <w:sz w:val="32"/>
          <w:szCs w:val="32"/>
        </w:rPr>
        <w:t>c）详查阶段：应采用适量的工程系统控制勘查区内矿体总体分布，矿体的连续性基本确定。应按基本工程间距圈定和估算控制的和推断的资源量，控制的资源储量一般应分布在矿床的首采区，其底界应控制在大致相同的标高上。控制的和推断的资源储量应满足矿山生产规模和最低服务年限要求，控制的资源储量应能满足矿山首期建设返还本息的要求，具体由投资人确定。</w:t>
      </w:r>
    </w:p>
    <w:p>
      <w:pPr>
        <w:spacing w:line="580" w:lineRule="exact"/>
        <w:ind w:right="-105" w:rightChars="-50"/>
        <w:outlineLvl w:val="0"/>
        <w:rPr>
          <w:rFonts w:eastAsia="黑体"/>
          <w:sz w:val="32"/>
          <w:szCs w:val="32"/>
        </w:rPr>
      </w:pPr>
      <w:bookmarkStart w:id="24" w:name="_Toc488762308"/>
      <w:r>
        <w:rPr>
          <w:rFonts w:eastAsia="黑体"/>
          <w:sz w:val="32"/>
          <w:szCs w:val="32"/>
        </w:rPr>
        <w:t>7  勘查工作及质量要求</w:t>
      </w:r>
      <w:bookmarkEnd w:id="24"/>
    </w:p>
    <w:p>
      <w:pPr>
        <w:spacing w:line="580" w:lineRule="exact"/>
        <w:ind w:right="-105" w:rightChars="-50"/>
        <w:outlineLvl w:val="1"/>
        <w:rPr>
          <w:rFonts w:eastAsia="楷体_GB2312"/>
          <w:sz w:val="32"/>
          <w:szCs w:val="32"/>
        </w:rPr>
      </w:pPr>
      <w:bookmarkStart w:id="25" w:name="_Toc488762309"/>
      <w:r>
        <w:rPr>
          <w:rFonts w:eastAsia="楷体_GB2312"/>
          <w:sz w:val="32"/>
          <w:szCs w:val="32"/>
        </w:rPr>
        <w:t>7.1  地形和工程测量</w:t>
      </w:r>
      <w:bookmarkEnd w:id="25"/>
    </w:p>
    <w:p>
      <w:pPr>
        <w:widowControl/>
        <w:snapToGrid w:val="0"/>
        <w:spacing w:line="580" w:lineRule="exact"/>
        <w:ind w:right="-105" w:rightChars="-50" w:firstLine="640" w:firstLineChars="200"/>
        <w:rPr>
          <w:rFonts w:eastAsia="仿宋_GB2312"/>
          <w:kern w:val="0"/>
          <w:sz w:val="32"/>
          <w:szCs w:val="32"/>
        </w:rPr>
      </w:pPr>
      <w:r>
        <w:rPr>
          <w:rFonts w:eastAsia="仿宋_GB2312"/>
          <w:sz w:val="32"/>
          <w:szCs w:val="32"/>
        </w:rPr>
        <w:t>采用国家允许的坐标系统和国家高程基准。</w:t>
      </w:r>
      <w:r>
        <w:rPr>
          <w:rFonts w:eastAsia="仿宋_GB2312"/>
          <w:color w:val="000000"/>
          <w:sz w:val="32"/>
          <w:szCs w:val="32"/>
        </w:rPr>
        <w:t>地形图的比例尺和测量范围应满足地质测量</w:t>
      </w:r>
      <w:r>
        <w:rPr>
          <w:rFonts w:eastAsia="仿宋_GB2312"/>
          <w:sz w:val="32"/>
          <w:szCs w:val="32"/>
        </w:rPr>
        <w:t>、资源储量估算和编制开采设计</w:t>
      </w:r>
      <w:r>
        <w:rPr>
          <w:rFonts w:eastAsia="仿宋_GB2312"/>
          <w:color w:val="000000"/>
          <w:sz w:val="32"/>
          <w:szCs w:val="32"/>
        </w:rPr>
        <w:t>的需要。测量精度应符合GB/T 18341的要求。</w:t>
      </w:r>
    </w:p>
    <w:p>
      <w:pPr>
        <w:spacing w:line="556" w:lineRule="exact"/>
        <w:ind w:right="-105" w:rightChars="-50"/>
        <w:outlineLvl w:val="1"/>
        <w:rPr>
          <w:rFonts w:eastAsia="楷体_GB2312"/>
          <w:sz w:val="32"/>
          <w:szCs w:val="32"/>
        </w:rPr>
      </w:pPr>
      <w:bookmarkStart w:id="26" w:name="_Toc488762310"/>
      <w:r>
        <w:rPr>
          <w:rFonts w:eastAsia="楷体_GB2312"/>
          <w:sz w:val="32"/>
          <w:szCs w:val="32"/>
        </w:rPr>
        <w:t>7.2  地质填图</w:t>
      </w:r>
      <w:bookmarkEnd w:id="26"/>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根据不同的目的任务和矿体复杂程度，进行不同比例尺地质填图。</w:t>
      </w:r>
      <w:r>
        <w:rPr>
          <w:rFonts w:eastAsia="仿宋_GB2312"/>
          <w:sz w:val="32"/>
          <w:szCs w:val="32"/>
        </w:rPr>
        <w:t>地质填图应以地质观察为基础，</w:t>
      </w:r>
      <w:r>
        <w:rPr>
          <w:rFonts w:eastAsia="仿宋_GB2312"/>
          <w:color w:val="000000"/>
          <w:sz w:val="32"/>
          <w:szCs w:val="32"/>
        </w:rPr>
        <w:t>其精度按相应比例尺地质填图规范执行。</w:t>
      </w:r>
    </w:p>
    <w:p>
      <w:pPr>
        <w:widowControl/>
        <w:snapToGrid w:val="0"/>
        <w:spacing w:line="556" w:lineRule="exact"/>
        <w:ind w:right="-105" w:rightChars="-50" w:firstLine="640" w:firstLineChars="200"/>
        <w:rPr>
          <w:rFonts w:eastAsia="仿宋_GB2312"/>
          <w:kern w:val="0"/>
          <w:sz w:val="32"/>
          <w:szCs w:val="32"/>
        </w:rPr>
      </w:pPr>
      <w:r>
        <w:rPr>
          <w:rFonts w:eastAsia="仿宋_GB2312"/>
          <w:color w:val="000000"/>
          <w:sz w:val="32"/>
          <w:szCs w:val="32"/>
        </w:rPr>
        <w:t>预查阶段进行1：50000</w:t>
      </w:r>
      <w:r>
        <w:rPr>
          <w:rFonts w:eastAsia="仿宋_GB2312"/>
          <w:kern w:val="0"/>
          <w:sz w:val="32"/>
          <w:szCs w:val="32"/>
        </w:rPr>
        <w:t>~</w:t>
      </w:r>
      <w:r>
        <w:rPr>
          <w:rFonts w:eastAsia="仿宋_GB2312"/>
          <w:color w:val="000000"/>
          <w:sz w:val="32"/>
          <w:szCs w:val="32"/>
        </w:rPr>
        <w:t>1：10000路线地质踏勘；普查阶段应</w:t>
      </w:r>
      <w:r>
        <w:rPr>
          <w:rFonts w:eastAsia="仿宋_GB2312"/>
          <w:sz w:val="32"/>
          <w:szCs w:val="32"/>
        </w:rPr>
        <w:t>填制</w:t>
      </w:r>
      <w:r>
        <w:rPr>
          <w:rFonts w:eastAsia="仿宋_GB2312"/>
          <w:color w:val="000000"/>
          <w:sz w:val="32"/>
          <w:szCs w:val="32"/>
        </w:rPr>
        <w:t>勘查区地形地质草图或地形地质图，比例尺一般为1：</w:t>
      </w:r>
      <w:r>
        <w:rPr>
          <w:rFonts w:eastAsia="仿宋_GB2312"/>
          <w:sz w:val="32"/>
          <w:szCs w:val="32"/>
        </w:rPr>
        <w:t>10000</w:t>
      </w:r>
      <w:r>
        <w:rPr>
          <w:rFonts w:eastAsia="仿宋_GB2312"/>
          <w:kern w:val="0"/>
          <w:sz w:val="32"/>
          <w:szCs w:val="32"/>
        </w:rPr>
        <w:t>~</w:t>
      </w:r>
      <w:r>
        <w:rPr>
          <w:rFonts w:eastAsia="仿宋_GB2312"/>
          <w:color w:val="000000"/>
          <w:sz w:val="32"/>
          <w:szCs w:val="32"/>
        </w:rPr>
        <w:t>1：2000；详查阶段</w:t>
      </w:r>
      <w:r>
        <w:rPr>
          <w:rFonts w:eastAsia="仿宋_GB2312"/>
          <w:sz w:val="32"/>
          <w:szCs w:val="32"/>
        </w:rPr>
        <w:t>应实测矿床（体）地形地质图，比例尺一般</w:t>
      </w:r>
      <w:r>
        <w:rPr>
          <w:rFonts w:eastAsia="仿宋_GB2312"/>
          <w:color w:val="000000"/>
          <w:sz w:val="32"/>
          <w:szCs w:val="32"/>
        </w:rPr>
        <w:t>为1：2000</w:t>
      </w:r>
      <w:r>
        <w:rPr>
          <w:rFonts w:eastAsia="仿宋_GB2312"/>
          <w:kern w:val="0"/>
          <w:sz w:val="32"/>
          <w:szCs w:val="32"/>
        </w:rPr>
        <w:t>~</w:t>
      </w:r>
      <w:r>
        <w:rPr>
          <w:rFonts w:eastAsia="仿宋_GB2312"/>
          <w:color w:val="000000"/>
          <w:sz w:val="32"/>
          <w:szCs w:val="32"/>
        </w:rPr>
        <w:t>1：500。勘查线剖面图应实测，</w:t>
      </w:r>
      <w:r>
        <w:rPr>
          <w:rFonts w:eastAsia="仿宋_GB2312"/>
          <w:sz w:val="32"/>
          <w:szCs w:val="32"/>
        </w:rPr>
        <w:t>比例尺</w:t>
      </w:r>
      <w:r>
        <w:rPr>
          <w:rFonts w:eastAsia="仿宋_GB2312"/>
          <w:color w:val="000000"/>
          <w:sz w:val="32"/>
          <w:szCs w:val="32"/>
        </w:rPr>
        <w:t>一般为1：2000</w:t>
      </w:r>
      <w:r>
        <w:rPr>
          <w:rFonts w:eastAsia="仿宋_GB2312"/>
          <w:kern w:val="0"/>
          <w:sz w:val="32"/>
          <w:szCs w:val="32"/>
        </w:rPr>
        <w:t>~</w:t>
      </w:r>
      <w:r>
        <w:rPr>
          <w:rFonts w:eastAsia="仿宋_GB2312"/>
          <w:color w:val="000000"/>
          <w:sz w:val="32"/>
          <w:szCs w:val="32"/>
        </w:rPr>
        <w:t>1：500。</w:t>
      </w:r>
    </w:p>
    <w:p>
      <w:pPr>
        <w:spacing w:line="556" w:lineRule="exact"/>
        <w:ind w:right="-105" w:rightChars="-50"/>
        <w:outlineLvl w:val="1"/>
        <w:rPr>
          <w:rFonts w:eastAsia="楷体_GB2312"/>
          <w:sz w:val="32"/>
          <w:szCs w:val="32"/>
        </w:rPr>
      </w:pPr>
      <w:bookmarkStart w:id="27" w:name="_Toc488762311"/>
      <w:r>
        <w:rPr>
          <w:rFonts w:eastAsia="楷体_GB2312"/>
          <w:sz w:val="32"/>
          <w:szCs w:val="32"/>
        </w:rPr>
        <w:t>7.3  放射性检查</w:t>
      </w:r>
      <w:bookmarkEnd w:id="27"/>
    </w:p>
    <w:p>
      <w:pPr>
        <w:widowControl/>
        <w:snapToGrid w:val="0"/>
        <w:spacing w:line="556" w:lineRule="exact"/>
        <w:ind w:right="-105" w:rightChars="-50" w:firstLine="640" w:firstLineChars="200"/>
        <w:rPr>
          <w:rFonts w:eastAsia="仿宋_GB2312"/>
          <w:kern w:val="0"/>
          <w:sz w:val="32"/>
          <w:szCs w:val="32"/>
        </w:rPr>
      </w:pPr>
      <w:r>
        <w:rPr>
          <w:rFonts w:eastAsia="仿宋_GB2312"/>
          <w:color w:val="000000"/>
          <w:sz w:val="32"/>
          <w:szCs w:val="32"/>
        </w:rPr>
        <w:t>应收集同类矿床放射性资料，无类比资料的应进行放射性检查，发现异常应做进一步工作</w:t>
      </w:r>
      <w:r>
        <w:rPr>
          <w:rFonts w:eastAsia="仿宋_GB2312"/>
          <w:kern w:val="0"/>
          <w:sz w:val="32"/>
          <w:szCs w:val="32"/>
        </w:rPr>
        <w:t>，确认放射性强度超标的（一般大于350</w:t>
      </w:r>
      <w:r>
        <w:rPr>
          <w:rFonts w:eastAsia="仿宋_GB2312"/>
          <w:spacing w:val="2"/>
          <w:kern w:val="0"/>
          <w:sz w:val="32"/>
          <w:szCs w:val="32"/>
        </w:rPr>
        <w:t>Bq/kg</w:t>
      </w:r>
      <w:r>
        <w:rPr>
          <w:rFonts w:eastAsia="仿宋_GB2312"/>
          <w:kern w:val="0"/>
          <w:sz w:val="32"/>
          <w:szCs w:val="32"/>
        </w:rPr>
        <w:t>），应终止以炭质页岩为主攻矿种的勘查。</w:t>
      </w:r>
    </w:p>
    <w:p>
      <w:pPr>
        <w:spacing w:line="556" w:lineRule="exact"/>
        <w:ind w:right="-105" w:rightChars="-50"/>
        <w:outlineLvl w:val="1"/>
        <w:rPr>
          <w:rFonts w:eastAsia="楷体_GB2312"/>
          <w:sz w:val="32"/>
          <w:szCs w:val="32"/>
        </w:rPr>
      </w:pPr>
      <w:bookmarkStart w:id="28" w:name="_Toc488762312"/>
      <w:r>
        <w:rPr>
          <w:rFonts w:eastAsia="楷体_GB2312"/>
          <w:sz w:val="32"/>
          <w:szCs w:val="32"/>
        </w:rPr>
        <w:t>7.4  探矿工程</w:t>
      </w:r>
      <w:bookmarkEnd w:id="28"/>
    </w:p>
    <w:p>
      <w:pPr>
        <w:widowControl/>
        <w:spacing w:line="556" w:lineRule="exact"/>
        <w:ind w:right="-105" w:rightChars="-50"/>
        <w:outlineLvl w:val="2"/>
        <w:rPr>
          <w:rFonts w:eastAsia="仿宋_GB2312"/>
          <w:b/>
          <w:kern w:val="0"/>
          <w:sz w:val="32"/>
          <w:szCs w:val="32"/>
        </w:rPr>
      </w:pPr>
      <w:bookmarkStart w:id="29" w:name="_Toc488762313"/>
      <w:r>
        <w:rPr>
          <w:rFonts w:eastAsia="仿宋_GB2312"/>
          <w:b/>
          <w:kern w:val="0"/>
          <w:sz w:val="32"/>
          <w:szCs w:val="32"/>
        </w:rPr>
        <w:t>7.4.1  工程部署</w:t>
      </w:r>
      <w:bookmarkEnd w:id="29"/>
    </w:p>
    <w:p>
      <w:pPr>
        <w:snapToGrid w:val="0"/>
        <w:spacing w:line="556" w:lineRule="exact"/>
        <w:ind w:right="-105" w:rightChars="-50" w:firstLine="640" w:firstLineChars="200"/>
        <w:jc w:val="left"/>
        <w:rPr>
          <w:rFonts w:eastAsia="仿宋_GB2312"/>
          <w:sz w:val="32"/>
          <w:szCs w:val="32"/>
        </w:rPr>
      </w:pPr>
      <w:r>
        <w:rPr>
          <w:rFonts w:eastAsia="仿宋_GB2312"/>
          <w:sz w:val="32"/>
          <w:szCs w:val="32"/>
        </w:rPr>
        <w:t>探矿工程布置应遵循由表及里、由浅入深、由疏到密、由已知到未知的原则。在确定勘查类型的基础上，视实际需要按适当间距布置探矿工程。</w:t>
      </w:r>
    </w:p>
    <w:p>
      <w:pPr>
        <w:widowControl/>
        <w:spacing w:line="556" w:lineRule="exact"/>
        <w:ind w:right="-105" w:rightChars="-50"/>
        <w:outlineLvl w:val="2"/>
        <w:rPr>
          <w:rFonts w:eastAsia="仿宋_GB2312"/>
          <w:b/>
          <w:kern w:val="0"/>
          <w:sz w:val="32"/>
          <w:szCs w:val="32"/>
        </w:rPr>
      </w:pPr>
      <w:bookmarkStart w:id="30" w:name="_Toc488762314"/>
      <w:r>
        <w:rPr>
          <w:rFonts w:eastAsia="仿宋_GB2312"/>
          <w:b/>
          <w:kern w:val="0"/>
          <w:sz w:val="32"/>
          <w:szCs w:val="32"/>
        </w:rPr>
        <w:t>7.4.2  槽、井探工程</w:t>
      </w:r>
      <w:bookmarkEnd w:id="30"/>
    </w:p>
    <w:p>
      <w:pPr>
        <w:widowControl/>
        <w:spacing w:line="556" w:lineRule="exact"/>
        <w:ind w:right="-105" w:rightChars="-50" w:firstLine="640" w:firstLineChars="200"/>
        <w:rPr>
          <w:rFonts w:eastAsia="仿宋_GB2312"/>
          <w:kern w:val="0"/>
          <w:sz w:val="32"/>
          <w:szCs w:val="32"/>
        </w:rPr>
      </w:pPr>
      <w:r>
        <w:rPr>
          <w:rFonts w:eastAsia="仿宋_GB2312"/>
          <w:color w:val="000000"/>
          <w:sz w:val="32"/>
          <w:szCs w:val="32"/>
        </w:rPr>
        <w:t>槽、井</w:t>
      </w:r>
      <w:r>
        <w:rPr>
          <w:rFonts w:eastAsia="仿宋_GB2312"/>
          <w:sz w:val="32"/>
          <w:szCs w:val="32"/>
        </w:rPr>
        <w:t>探</w:t>
      </w:r>
      <w:r>
        <w:rPr>
          <w:rFonts w:eastAsia="仿宋_GB2312"/>
          <w:color w:val="000000"/>
          <w:sz w:val="32"/>
          <w:szCs w:val="32"/>
        </w:rPr>
        <w:t>工程用于揭露浅部矿体和重要地质界线等地质现象，覆盖层小于3m的可使用槽探，大于3m小于20m的应使用浅井</w:t>
      </w:r>
      <w:r>
        <w:rPr>
          <w:rFonts w:eastAsia="仿宋_GB2312"/>
          <w:sz w:val="32"/>
          <w:szCs w:val="32"/>
        </w:rPr>
        <w:t>或浅钻</w:t>
      </w:r>
      <w:r>
        <w:rPr>
          <w:rFonts w:eastAsia="仿宋_GB2312"/>
          <w:color w:val="000000"/>
          <w:sz w:val="32"/>
          <w:szCs w:val="32"/>
        </w:rPr>
        <w:t>揭露。槽、井</w:t>
      </w:r>
      <w:r>
        <w:rPr>
          <w:rFonts w:eastAsia="仿宋_GB2312"/>
          <w:sz w:val="32"/>
          <w:szCs w:val="32"/>
        </w:rPr>
        <w:t>探</w:t>
      </w:r>
      <w:r>
        <w:rPr>
          <w:rFonts w:eastAsia="仿宋_GB2312"/>
          <w:color w:val="000000"/>
          <w:sz w:val="32"/>
          <w:szCs w:val="32"/>
        </w:rPr>
        <w:t>工程均应挖至新鲜基岩内。</w:t>
      </w:r>
    </w:p>
    <w:p>
      <w:pPr>
        <w:widowControl/>
        <w:spacing w:line="556" w:lineRule="exact"/>
        <w:ind w:right="-105" w:rightChars="-50"/>
        <w:outlineLvl w:val="2"/>
        <w:rPr>
          <w:rFonts w:eastAsia="仿宋_GB2312"/>
          <w:b/>
          <w:kern w:val="0"/>
          <w:sz w:val="32"/>
          <w:szCs w:val="32"/>
        </w:rPr>
      </w:pPr>
      <w:bookmarkStart w:id="31" w:name="_Toc488762315"/>
      <w:r>
        <w:rPr>
          <w:rFonts w:eastAsia="仿宋_GB2312"/>
          <w:b/>
          <w:kern w:val="0"/>
          <w:sz w:val="32"/>
          <w:szCs w:val="32"/>
        </w:rPr>
        <w:t>7.4.3  钻探工程</w:t>
      </w:r>
      <w:bookmarkEnd w:id="31"/>
    </w:p>
    <w:p>
      <w:pPr>
        <w:widowControl/>
        <w:snapToGrid w:val="0"/>
        <w:spacing w:line="556" w:lineRule="exact"/>
        <w:ind w:right="-105" w:rightChars="-50" w:firstLine="640" w:firstLineChars="200"/>
        <w:rPr>
          <w:rFonts w:hint="eastAsia" w:eastAsia="仿宋_GB2312"/>
          <w:color w:val="000000"/>
          <w:sz w:val="32"/>
          <w:szCs w:val="32"/>
        </w:rPr>
      </w:pPr>
      <w:r>
        <w:rPr>
          <w:rFonts w:eastAsia="仿宋_GB2312"/>
          <w:color w:val="000000"/>
          <w:sz w:val="32"/>
          <w:szCs w:val="32"/>
        </w:rPr>
        <w:t>岩心钻探孔径以能满足地质编录和采样需要，达到预期探矿目的为准。</w:t>
      </w:r>
      <w:r>
        <w:rPr>
          <w:rFonts w:eastAsia="仿宋_GB2312"/>
          <w:sz w:val="32"/>
          <w:szCs w:val="32"/>
        </w:rPr>
        <w:t>钻孔</w:t>
      </w:r>
      <w:r>
        <w:rPr>
          <w:rFonts w:eastAsia="仿宋_GB2312"/>
          <w:color w:val="000000"/>
          <w:sz w:val="32"/>
          <w:szCs w:val="32"/>
        </w:rPr>
        <w:t>应尽可能布置在勘查线上，其岩心采取率不</w:t>
      </w:r>
    </w:p>
    <w:p>
      <w:pPr>
        <w:widowControl/>
        <w:snapToGrid w:val="0"/>
        <w:spacing w:line="556" w:lineRule="exact"/>
        <w:ind w:right="-105" w:rightChars="-50"/>
        <w:rPr>
          <w:rFonts w:eastAsia="仿宋_GB2312"/>
          <w:kern w:val="0"/>
          <w:sz w:val="32"/>
          <w:szCs w:val="32"/>
        </w:rPr>
      </w:pPr>
      <w:r>
        <w:rPr>
          <w:rFonts w:eastAsia="仿宋_GB2312"/>
          <w:color w:val="000000"/>
          <w:sz w:val="32"/>
          <w:szCs w:val="32"/>
        </w:rPr>
        <w:t>低于70%，矿心及其顶底板岩心采取率不低于80%。在钻探施工中</w:t>
      </w:r>
      <w:r>
        <w:rPr>
          <w:rFonts w:eastAsia="仿宋_GB2312"/>
          <w:sz w:val="32"/>
          <w:szCs w:val="32"/>
        </w:rPr>
        <w:t>应测定钻孔天顶角、方位角，校正孔深，做好原始记录、简易水文观测、封孔和岩心保管工作。钻探工程质量要求具体应按DZ/T 0227执行。</w:t>
      </w:r>
    </w:p>
    <w:p>
      <w:pPr>
        <w:spacing w:line="556" w:lineRule="exact"/>
        <w:ind w:right="-105" w:rightChars="-50"/>
        <w:outlineLvl w:val="1"/>
        <w:rPr>
          <w:rFonts w:eastAsia="楷体_GB2312"/>
          <w:sz w:val="32"/>
          <w:szCs w:val="32"/>
        </w:rPr>
      </w:pPr>
      <w:bookmarkStart w:id="32" w:name="_Toc488762316"/>
      <w:r>
        <w:rPr>
          <w:rFonts w:eastAsia="楷体_GB2312"/>
          <w:sz w:val="32"/>
          <w:szCs w:val="32"/>
        </w:rPr>
        <w:t>7.5  水文地质、工程地质、环境地质工作</w:t>
      </w:r>
      <w:bookmarkEnd w:id="32"/>
    </w:p>
    <w:p>
      <w:pPr>
        <w:widowControl/>
        <w:snapToGrid w:val="0"/>
        <w:spacing w:line="556" w:lineRule="exact"/>
        <w:ind w:right="-105" w:rightChars="-50" w:firstLine="640" w:firstLineChars="200"/>
        <w:rPr>
          <w:rFonts w:eastAsia="仿宋_GB2312"/>
          <w:kern w:val="0"/>
          <w:sz w:val="32"/>
          <w:szCs w:val="32"/>
        </w:rPr>
      </w:pPr>
      <w:r>
        <w:rPr>
          <w:rFonts w:eastAsia="仿宋_GB2312"/>
          <w:color w:val="000000"/>
          <w:sz w:val="32"/>
          <w:szCs w:val="32"/>
        </w:rPr>
        <w:t>矿区水文地质、工程地质、环境地</w:t>
      </w:r>
      <w:r>
        <w:rPr>
          <w:rFonts w:eastAsia="仿宋_GB2312"/>
          <w:sz w:val="32"/>
          <w:szCs w:val="32"/>
        </w:rPr>
        <w:t>质工作，应按GB 12719要求执行</w:t>
      </w:r>
      <w:r>
        <w:rPr>
          <w:rFonts w:eastAsia="仿宋_GB2312"/>
          <w:color w:val="000000"/>
          <w:sz w:val="32"/>
          <w:szCs w:val="32"/>
        </w:rPr>
        <w:t>。</w:t>
      </w:r>
    </w:p>
    <w:p>
      <w:pPr>
        <w:spacing w:line="556" w:lineRule="exact"/>
        <w:ind w:right="-105" w:rightChars="-50"/>
        <w:outlineLvl w:val="1"/>
        <w:rPr>
          <w:rFonts w:eastAsia="楷体_GB2312"/>
          <w:sz w:val="32"/>
          <w:szCs w:val="32"/>
        </w:rPr>
      </w:pPr>
      <w:bookmarkStart w:id="33" w:name="_Toc488762317"/>
      <w:r>
        <w:rPr>
          <w:rFonts w:eastAsia="楷体_GB2312"/>
          <w:sz w:val="32"/>
          <w:szCs w:val="32"/>
        </w:rPr>
        <w:t>7.6  样品的采集、制备及分析测试</w:t>
      </w:r>
      <w:bookmarkEnd w:id="33"/>
    </w:p>
    <w:p>
      <w:pPr>
        <w:widowControl/>
        <w:spacing w:line="556" w:lineRule="exact"/>
        <w:ind w:right="-105" w:rightChars="-50"/>
        <w:outlineLvl w:val="2"/>
        <w:rPr>
          <w:rFonts w:eastAsia="仿宋_GB2312"/>
          <w:b/>
          <w:kern w:val="0"/>
          <w:sz w:val="32"/>
          <w:szCs w:val="32"/>
        </w:rPr>
      </w:pPr>
      <w:bookmarkStart w:id="34" w:name="_Toc488762318"/>
      <w:r>
        <w:rPr>
          <w:rFonts w:eastAsia="仿宋_GB2312"/>
          <w:b/>
          <w:kern w:val="0"/>
          <w:sz w:val="32"/>
          <w:szCs w:val="32"/>
        </w:rPr>
        <w:t>7.6.1  样品的采集</w:t>
      </w:r>
      <w:bookmarkEnd w:id="34"/>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a）基本分析样：应按矿石类型对揭露和圈定矿体的全部探矿工程分段连续采样，取样数量以能查定矿石质量及综合评价为准。探槽、浅井工程，采用刻槽法取样，样槽断面规格一般为(5cm×3cm)</w:t>
      </w:r>
      <w:r>
        <w:rPr>
          <w:rFonts w:eastAsia="仿宋_GB2312"/>
          <w:kern w:val="0"/>
          <w:sz w:val="32"/>
          <w:szCs w:val="32"/>
        </w:rPr>
        <w:t xml:space="preserve"> ~</w:t>
      </w:r>
      <w:r>
        <w:rPr>
          <w:rFonts w:eastAsia="仿宋_GB2312"/>
          <w:color w:val="000000"/>
          <w:sz w:val="32"/>
          <w:szCs w:val="32"/>
        </w:rPr>
        <w:t xml:space="preserve"> (10cm×3cm)。钻探岩心取样，沿矿心长轴1／2劈取。样长一般2</w:t>
      </w:r>
      <w:r>
        <w:rPr>
          <w:rFonts w:eastAsia="仿宋_GB2312"/>
          <w:kern w:val="0"/>
          <w:sz w:val="32"/>
          <w:szCs w:val="32"/>
        </w:rPr>
        <w:t>~</w:t>
      </w:r>
      <w:r>
        <w:rPr>
          <w:rFonts w:eastAsia="仿宋_GB2312"/>
          <w:color w:val="000000"/>
          <w:sz w:val="32"/>
          <w:szCs w:val="32"/>
        </w:rPr>
        <w:t>4m，单件样品重量不少于2kg。对煤炭夹层、风氧化层，一般应单独取样。</w:t>
      </w:r>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b）组合分析样：视实际需要，一般选择代表性剖面（工程）为单位，从连续的若干基本分析样品的副样中，按基本分析单样样长的比例，计算出每件单样应称取的重量，经充分混匀组合而成。组合样样长一般为4</w:t>
      </w:r>
      <w:r>
        <w:rPr>
          <w:rFonts w:eastAsia="仿宋_GB2312"/>
          <w:kern w:val="0"/>
          <w:sz w:val="32"/>
          <w:szCs w:val="32"/>
        </w:rPr>
        <w:t>~</w:t>
      </w:r>
      <w:r>
        <w:rPr>
          <w:rFonts w:eastAsia="仿宋_GB2312"/>
          <w:color w:val="000000"/>
          <w:sz w:val="32"/>
          <w:szCs w:val="32"/>
        </w:rPr>
        <w:t>12m。</w:t>
      </w:r>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c）多项分析样：视实际需要，按矿体、矿石类型或品级从基本分析或组合副样中分别抽取3 件进行分析。</w:t>
      </w:r>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d）全分析样：视实际需要，选择有代表性的工程或剖面从基本分析副样中抽取3 件进行分析，也可单独采取。</w:t>
      </w:r>
    </w:p>
    <w:p>
      <w:pPr>
        <w:widowControl/>
        <w:spacing w:line="556" w:lineRule="exact"/>
        <w:ind w:right="-105" w:rightChars="-50"/>
        <w:outlineLvl w:val="2"/>
        <w:rPr>
          <w:rFonts w:eastAsia="仿宋_GB2312"/>
          <w:b/>
          <w:kern w:val="0"/>
          <w:sz w:val="32"/>
          <w:szCs w:val="32"/>
        </w:rPr>
      </w:pPr>
      <w:bookmarkStart w:id="35" w:name="_Toc488762319"/>
      <w:r>
        <w:rPr>
          <w:rFonts w:eastAsia="仿宋_GB2312"/>
          <w:b/>
          <w:kern w:val="0"/>
          <w:sz w:val="32"/>
          <w:szCs w:val="32"/>
        </w:rPr>
        <w:t>7.6.2  样品的制备</w:t>
      </w:r>
      <w:bookmarkEnd w:id="35"/>
    </w:p>
    <w:p>
      <w:pPr>
        <w:widowControl/>
        <w:snapToGrid w:val="0"/>
        <w:spacing w:line="556" w:lineRule="exact"/>
        <w:ind w:right="-105" w:rightChars="-50" w:firstLine="640" w:firstLineChars="200"/>
        <w:rPr>
          <w:rFonts w:hint="eastAsia" w:eastAsia="仿宋_GB2312"/>
          <w:kern w:val="0"/>
          <w:sz w:val="32"/>
          <w:szCs w:val="32"/>
        </w:rPr>
      </w:pPr>
      <w:r>
        <w:rPr>
          <w:rFonts w:eastAsia="仿宋_GB2312"/>
          <w:color w:val="000000"/>
          <w:sz w:val="32"/>
          <w:szCs w:val="32"/>
        </w:rPr>
        <w:t>样品</w:t>
      </w:r>
      <w:r>
        <w:rPr>
          <w:rFonts w:eastAsia="仿宋_GB2312"/>
          <w:bCs/>
          <w:sz w:val="32"/>
          <w:szCs w:val="32"/>
        </w:rPr>
        <w:t>制备</w:t>
      </w:r>
      <w:r>
        <w:rPr>
          <w:rFonts w:eastAsia="仿宋_GB2312"/>
          <w:sz w:val="32"/>
          <w:szCs w:val="32"/>
        </w:rPr>
        <w:t>质量及质量检查应按DZ/T 0130要求执行。</w:t>
      </w:r>
      <w:r>
        <w:rPr>
          <w:rFonts w:eastAsia="仿宋_GB2312"/>
          <w:kern w:val="0"/>
          <w:sz w:val="32"/>
          <w:szCs w:val="32"/>
        </w:rPr>
        <w:t>测试</w:t>
      </w:r>
    </w:p>
    <w:p>
      <w:pPr>
        <w:widowControl/>
        <w:snapToGrid w:val="0"/>
        <w:spacing w:line="556" w:lineRule="exact"/>
        <w:ind w:right="-105" w:rightChars="-50"/>
        <w:rPr>
          <w:rFonts w:eastAsia="仿宋_GB2312"/>
          <w:kern w:val="0"/>
          <w:sz w:val="32"/>
          <w:szCs w:val="32"/>
        </w:rPr>
      </w:pPr>
      <w:r>
        <w:rPr>
          <w:rFonts w:eastAsia="仿宋_GB2312"/>
          <w:kern w:val="0"/>
          <w:sz w:val="32"/>
          <w:szCs w:val="32"/>
        </w:rPr>
        <w:t>发热量的样品制备应参照GB 474-2008煤样的制备方法进行。</w:t>
      </w:r>
    </w:p>
    <w:p>
      <w:pPr>
        <w:widowControl/>
        <w:spacing w:line="556" w:lineRule="exact"/>
        <w:ind w:right="-105" w:rightChars="-50"/>
        <w:outlineLvl w:val="2"/>
        <w:rPr>
          <w:rFonts w:eastAsia="仿宋_GB2312"/>
          <w:b/>
          <w:kern w:val="0"/>
          <w:sz w:val="32"/>
          <w:szCs w:val="32"/>
        </w:rPr>
      </w:pPr>
      <w:bookmarkStart w:id="36" w:name="_Toc488762320"/>
      <w:r>
        <w:rPr>
          <w:rFonts w:eastAsia="仿宋_GB2312"/>
          <w:b/>
          <w:kern w:val="0"/>
          <w:sz w:val="32"/>
          <w:szCs w:val="32"/>
        </w:rPr>
        <w:t>7.6.3  样品分析测试</w:t>
      </w:r>
      <w:bookmarkEnd w:id="36"/>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a）基本分析：可根据工业用途不同选择分析测试项目，辅助燃料用可只测试发热量和全硫；砖瓦原料用一般分析测试项目为CaO、Fe</w:t>
      </w:r>
      <w:r>
        <w:rPr>
          <w:rFonts w:eastAsia="仿宋_GB2312"/>
          <w:color w:val="000000"/>
          <w:sz w:val="32"/>
          <w:szCs w:val="32"/>
          <w:vertAlign w:val="subscript"/>
        </w:rPr>
        <w:t>2</w:t>
      </w:r>
      <w:r>
        <w:rPr>
          <w:rFonts w:eastAsia="仿宋_GB2312"/>
          <w:color w:val="000000"/>
          <w:sz w:val="32"/>
          <w:szCs w:val="32"/>
        </w:rPr>
        <w:t>O</w:t>
      </w:r>
      <w:r>
        <w:rPr>
          <w:rFonts w:eastAsia="仿宋_GB2312"/>
          <w:color w:val="000000"/>
          <w:sz w:val="32"/>
          <w:szCs w:val="32"/>
          <w:vertAlign w:val="subscript"/>
        </w:rPr>
        <w:t>3</w:t>
      </w:r>
      <w:r>
        <w:rPr>
          <w:rFonts w:eastAsia="仿宋_GB2312"/>
          <w:color w:val="000000"/>
          <w:sz w:val="32"/>
          <w:szCs w:val="32"/>
        </w:rPr>
        <w:t>、全硫和碳酸盐质颗粒；普通硅酸盐水泥配料用一般分析项目为硅酸率（SM）、铝氧率（AM）、</w:t>
      </w:r>
      <w:r>
        <w:rPr>
          <w:rFonts w:eastAsia="仿宋_GB2312"/>
          <w:kern w:val="0"/>
          <w:sz w:val="32"/>
          <w:szCs w:val="32"/>
        </w:rPr>
        <w:t>MgO、K</w:t>
      </w:r>
      <w:r>
        <w:rPr>
          <w:rFonts w:eastAsia="仿宋_GB2312"/>
          <w:spacing w:val="2"/>
          <w:kern w:val="0"/>
          <w:sz w:val="32"/>
          <w:szCs w:val="32"/>
          <w:vertAlign w:val="subscript"/>
        </w:rPr>
        <w:t>2</w:t>
      </w:r>
      <w:r>
        <w:rPr>
          <w:rFonts w:eastAsia="仿宋_GB2312"/>
          <w:kern w:val="0"/>
          <w:sz w:val="32"/>
          <w:szCs w:val="32"/>
        </w:rPr>
        <w:t>O+Na</w:t>
      </w:r>
      <w:r>
        <w:rPr>
          <w:rFonts w:eastAsia="仿宋_GB2312"/>
          <w:spacing w:val="2"/>
          <w:kern w:val="0"/>
          <w:sz w:val="32"/>
          <w:szCs w:val="32"/>
          <w:vertAlign w:val="subscript"/>
        </w:rPr>
        <w:t>2</w:t>
      </w:r>
      <w:r>
        <w:rPr>
          <w:rFonts w:eastAsia="仿宋_GB2312"/>
          <w:kern w:val="0"/>
          <w:sz w:val="32"/>
          <w:szCs w:val="32"/>
        </w:rPr>
        <w:t>O和SO</w:t>
      </w:r>
      <w:r>
        <w:rPr>
          <w:rFonts w:eastAsia="仿宋_GB2312"/>
          <w:spacing w:val="2"/>
          <w:kern w:val="0"/>
          <w:sz w:val="32"/>
          <w:szCs w:val="32"/>
          <w:vertAlign w:val="subscript"/>
        </w:rPr>
        <w:t>3</w:t>
      </w:r>
      <w:r>
        <w:rPr>
          <w:rFonts w:eastAsia="仿宋_GB2312"/>
          <w:color w:val="000000"/>
          <w:sz w:val="32"/>
          <w:szCs w:val="32"/>
        </w:rPr>
        <w:t>；视实际需要可增添SiO</w:t>
      </w:r>
      <w:r>
        <w:rPr>
          <w:rFonts w:eastAsia="仿宋_GB2312"/>
          <w:color w:val="000000"/>
          <w:sz w:val="32"/>
          <w:szCs w:val="32"/>
          <w:vertAlign w:val="subscript"/>
        </w:rPr>
        <w:t>2</w:t>
      </w:r>
      <w:r>
        <w:rPr>
          <w:rFonts w:eastAsia="仿宋_GB2312"/>
          <w:color w:val="000000"/>
          <w:sz w:val="32"/>
          <w:szCs w:val="32"/>
        </w:rPr>
        <w:t>、Al</w:t>
      </w:r>
      <w:r>
        <w:rPr>
          <w:rFonts w:eastAsia="仿宋_GB2312"/>
          <w:color w:val="000000"/>
          <w:sz w:val="32"/>
          <w:szCs w:val="32"/>
          <w:vertAlign w:val="subscript"/>
        </w:rPr>
        <w:t>2</w:t>
      </w:r>
      <w:r>
        <w:rPr>
          <w:rFonts w:eastAsia="仿宋_GB2312"/>
          <w:color w:val="000000"/>
          <w:sz w:val="32"/>
          <w:szCs w:val="32"/>
        </w:rPr>
        <w:t>O</w:t>
      </w:r>
      <w:r>
        <w:rPr>
          <w:rFonts w:eastAsia="仿宋_GB2312"/>
          <w:color w:val="000000"/>
          <w:sz w:val="32"/>
          <w:szCs w:val="32"/>
          <w:vertAlign w:val="subscript"/>
        </w:rPr>
        <w:t>3</w:t>
      </w:r>
      <w:r>
        <w:rPr>
          <w:rFonts w:eastAsia="仿宋_GB2312"/>
          <w:color w:val="000000"/>
          <w:sz w:val="32"/>
          <w:szCs w:val="32"/>
        </w:rPr>
        <w:t>、塑性指数、干燥敏感系数、烧失量、放射性强度等分析测试项目，对于组合分析测试项目结果影响确定矿石工业用途时，应增添为基本分析项目。</w:t>
      </w:r>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b）组合分析：对不同工业用途增添的分析测试项目可做组合分析，也可根据用户要求进行增减。</w:t>
      </w:r>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c）多项分析：视实际需要对矿石进行多项分析，全面评价各类矿石应用性能，为进一步确定组合分析项目提供依据，为不同用途用户提供使用参考。多项分析项目应根据矿石用途或用户需求选择。</w:t>
      </w:r>
    </w:p>
    <w:p>
      <w:pPr>
        <w:widowControl/>
        <w:snapToGrid w:val="0"/>
        <w:spacing w:line="556" w:lineRule="exact"/>
        <w:ind w:right="-105" w:rightChars="-50" w:firstLine="640" w:firstLineChars="200"/>
        <w:rPr>
          <w:rFonts w:eastAsia="仿宋_GB2312"/>
          <w:color w:val="000000"/>
          <w:sz w:val="32"/>
          <w:szCs w:val="32"/>
        </w:rPr>
      </w:pPr>
      <w:r>
        <w:rPr>
          <w:rFonts w:eastAsia="仿宋_GB2312"/>
          <w:color w:val="000000"/>
          <w:sz w:val="32"/>
          <w:szCs w:val="32"/>
        </w:rPr>
        <w:t>d）全分析：视实际需要对矿石进行全分析，全分析包括光谱全分析与化学全分析，化学全分析项目可根据光谱全分析结果确定。全分析是为全面了解矿石化学组分的同时，为组合分析和多项分析提供分析项目依据。</w:t>
      </w:r>
    </w:p>
    <w:p>
      <w:pPr>
        <w:spacing w:line="556" w:lineRule="exact"/>
        <w:ind w:right="-105" w:rightChars="-50"/>
        <w:outlineLvl w:val="1"/>
        <w:rPr>
          <w:rFonts w:eastAsia="楷体_GB2312"/>
          <w:sz w:val="32"/>
          <w:szCs w:val="32"/>
        </w:rPr>
      </w:pPr>
      <w:bookmarkStart w:id="37" w:name="_Toc488762321"/>
      <w:r>
        <w:rPr>
          <w:rFonts w:eastAsia="楷体_GB2312"/>
          <w:sz w:val="32"/>
          <w:szCs w:val="32"/>
        </w:rPr>
        <w:t>7.7  岩矿石物理性能及矿石加工性能试验样品采集与试验</w:t>
      </w:r>
      <w:bookmarkEnd w:id="37"/>
    </w:p>
    <w:p>
      <w:pPr>
        <w:widowControl/>
        <w:spacing w:line="556" w:lineRule="exact"/>
        <w:ind w:right="-105" w:rightChars="-50"/>
        <w:outlineLvl w:val="2"/>
        <w:rPr>
          <w:rFonts w:eastAsia="仿宋_GB2312"/>
          <w:b/>
          <w:kern w:val="0"/>
          <w:sz w:val="32"/>
          <w:szCs w:val="32"/>
        </w:rPr>
      </w:pPr>
      <w:bookmarkStart w:id="38" w:name="_Toc488762322"/>
      <w:r>
        <w:rPr>
          <w:rFonts w:eastAsia="仿宋_GB2312"/>
          <w:b/>
          <w:kern w:val="0"/>
          <w:sz w:val="32"/>
          <w:szCs w:val="32"/>
        </w:rPr>
        <w:t>7.7.1  体积质量（体重）测定</w:t>
      </w:r>
      <w:bookmarkEnd w:id="38"/>
    </w:p>
    <w:p>
      <w:pPr>
        <w:widowControl/>
        <w:snapToGrid w:val="0"/>
        <w:spacing w:line="556" w:lineRule="exact"/>
        <w:ind w:right="-105" w:rightChars="-50" w:firstLine="640" w:firstLineChars="200"/>
        <w:rPr>
          <w:rFonts w:eastAsia="仿宋_GB2312"/>
          <w:color w:val="000000"/>
          <w:kern w:val="0"/>
          <w:sz w:val="32"/>
          <w:szCs w:val="32"/>
        </w:rPr>
      </w:pPr>
      <w:r>
        <w:rPr>
          <w:rFonts w:eastAsia="仿宋_GB2312"/>
          <w:color w:val="000000"/>
          <w:kern w:val="0"/>
          <w:sz w:val="32"/>
          <w:szCs w:val="32"/>
        </w:rPr>
        <w:t>一般应测试矿石体积质量（体重），采集的样品应具有代表性，数量一般不少于30件，具备条件的可类比确定矿石体重值。</w:t>
      </w:r>
    </w:p>
    <w:p>
      <w:pPr>
        <w:widowControl/>
        <w:spacing w:line="556" w:lineRule="exact"/>
        <w:ind w:right="-105" w:rightChars="-50"/>
        <w:outlineLvl w:val="2"/>
        <w:rPr>
          <w:rFonts w:eastAsia="仿宋_GB2312"/>
          <w:b/>
          <w:kern w:val="0"/>
          <w:sz w:val="32"/>
          <w:szCs w:val="32"/>
        </w:rPr>
      </w:pPr>
      <w:bookmarkStart w:id="39" w:name="_Toc488762323"/>
      <w:r>
        <w:rPr>
          <w:rFonts w:eastAsia="仿宋_GB2312"/>
          <w:b/>
          <w:kern w:val="0"/>
          <w:sz w:val="32"/>
          <w:szCs w:val="32"/>
        </w:rPr>
        <w:t>7.7.2  岩矿石力学性能测定</w:t>
      </w:r>
      <w:bookmarkEnd w:id="39"/>
    </w:p>
    <w:p>
      <w:pPr>
        <w:snapToGrid w:val="0"/>
        <w:spacing w:line="556" w:lineRule="exact"/>
        <w:ind w:right="-105" w:rightChars="-50" w:firstLine="640" w:firstLineChars="200"/>
        <w:jc w:val="left"/>
        <w:rPr>
          <w:rFonts w:eastAsia="仿宋_GB2312"/>
          <w:sz w:val="32"/>
          <w:szCs w:val="32"/>
        </w:rPr>
      </w:pPr>
      <w:r>
        <w:rPr>
          <w:rFonts w:eastAsia="仿宋_GB2312"/>
          <w:color w:val="000000"/>
          <w:sz w:val="32"/>
          <w:szCs w:val="32"/>
        </w:rPr>
        <w:t>在预查和普查阶段可采用类比方法</w:t>
      </w:r>
      <w:r>
        <w:rPr>
          <w:rFonts w:eastAsia="仿宋_GB2312"/>
          <w:sz w:val="32"/>
          <w:szCs w:val="32"/>
        </w:rPr>
        <w:t>评述岩矿石力学性能。</w:t>
      </w:r>
    </w:p>
    <w:p>
      <w:pPr>
        <w:widowControl/>
        <w:snapToGrid w:val="0"/>
        <w:spacing w:line="556" w:lineRule="exact"/>
        <w:ind w:right="-105" w:rightChars="-50" w:firstLine="640" w:firstLineChars="200"/>
        <w:rPr>
          <w:rFonts w:eastAsia="仿宋_GB2312"/>
          <w:kern w:val="0"/>
          <w:sz w:val="32"/>
          <w:szCs w:val="32"/>
        </w:rPr>
      </w:pPr>
      <w:r>
        <w:rPr>
          <w:rFonts w:eastAsia="仿宋_GB2312"/>
          <w:sz w:val="32"/>
          <w:szCs w:val="32"/>
        </w:rPr>
        <w:t>详查阶段应在矿体、顶底板围岩和较厚的夹石中采取有代表性的岩矿石物理力学试验样，测定其抗压、抗拉、抗剪强度等，重点在边坡地段的岩组中采集。</w:t>
      </w:r>
    </w:p>
    <w:p>
      <w:pPr>
        <w:spacing w:line="556" w:lineRule="exact"/>
        <w:ind w:right="-105" w:rightChars="-50"/>
        <w:outlineLvl w:val="1"/>
        <w:rPr>
          <w:rFonts w:eastAsia="楷体_GB2312"/>
          <w:sz w:val="32"/>
          <w:szCs w:val="32"/>
        </w:rPr>
      </w:pPr>
      <w:bookmarkStart w:id="40" w:name="_Toc488762324"/>
      <w:r>
        <w:rPr>
          <w:rFonts w:eastAsia="楷体_GB2312"/>
          <w:sz w:val="32"/>
          <w:szCs w:val="32"/>
        </w:rPr>
        <w:t>7.8  原始地质编录、资料综合整理和报告编写</w:t>
      </w:r>
      <w:bookmarkEnd w:id="40"/>
    </w:p>
    <w:p>
      <w:pPr>
        <w:widowControl/>
        <w:spacing w:line="556" w:lineRule="exact"/>
        <w:ind w:right="-105" w:rightChars="-50"/>
        <w:outlineLvl w:val="2"/>
        <w:rPr>
          <w:rFonts w:eastAsia="仿宋_GB2312"/>
          <w:b/>
          <w:kern w:val="0"/>
          <w:sz w:val="32"/>
          <w:szCs w:val="32"/>
        </w:rPr>
      </w:pPr>
      <w:bookmarkStart w:id="41" w:name="_Toc488762325"/>
      <w:r>
        <w:rPr>
          <w:rFonts w:eastAsia="仿宋_GB2312"/>
          <w:b/>
          <w:kern w:val="0"/>
          <w:sz w:val="32"/>
          <w:szCs w:val="32"/>
        </w:rPr>
        <w:t>7.8.1  地质编录及资料综合整理</w:t>
      </w:r>
      <w:bookmarkEnd w:id="41"/>
    </w:p>
    <w:p>
      <w:pPr>
        <w:snapToGrid w:val="0"/>
        <w:spacing w:line="556" w:lineRule="exact"/>
        <w:ind w:right="-105" w:rightChars="-50" w:firstLine="632" w:firstLineChars="200"/>
        <w:rPr>
          <w:rFonts w:eastAsia="仿宋_GB2312"/>
          <w:spacing w:val="-2"/>
          <w:sz w:val="32"/>
          <w:szCs w:val="32"/>
        </w:rPr>
      </w:pPr>
      <w:r>
        <w:rPr>
          <w:rFonts w:eastAsia="仿宋_GB2312"/>
          <w:spacing w:val="-2"/>
          <w:sz w:val="32"/>
          <w:szCs w:val="32"/>
        </w:rPr>
        <w:t>应对地质勘查工作取得的各项原始地质资料进行系统整理和研究，以指导地质勘查工作，并据此编制地质报告。资料综合整理应贯穿地质勘查工作始终，具体按照DZ/T 0079执行。</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地质资料综合整理成果，应经过检查验收合格，方能作为报告编写的依据。</w:t>
      </w:r>
    </w:p>
    <w:p>
      <w:pPr>
        <w:widowControl/>
        <w:spacing w:line="556" w:lineRule="exact"/>
        <w:ind w:right="-105" w:rightChars="-50"/>
        <w:outlineLvl w:val="2"/>
        <w:rPr>
          <w:rFonts w:eastAsia="仿宋_GB2312"/>
          <w:b/>
          <w:kern w:val="0"/>
          <w:sz w:val="32"/>
          <w:szCs w:val="32"/>
        </w:rPr>
      </w:pPr>
      <w:bookmarkStart w:id="42" w:name="_Toc488762326"/>
      <w:r>
        <w:rPr>
          <w:rFonts w:eastAsia="仿宋_GB2312"/>
          <w:b/>
          <w:kern w:val="0"/>
          <w:sz w:val="32"/>
          <w:szCs w:val="32"/>
        </w:rPr>
        <w:t>7.8.2  报告编写</w:t>
      </w:r>
      <w:bookmarkEnd w:id="42"/>
    </w:p>
    <w:p>
      <w:pPr>
        <w:widowControl/>
        <w:snapToGrid w:val="0"/>
        <w:spacing w:line="556" w:lineRule="exact"/>
        <w:ind w:right="-105" w:rightChars="-50" w:firstLine="640" w:firstLineChars="200"/>
        <w:rPr>
          <w:rFonts w:eastAsia="仿宋_GB2312"/>
          <w:sz w:val="32"/>
          <w:szCs w:val="32"/>
        </w:rPr>
      </w:pPr>
      <w:r>
        <w:rPr>
          <w:rFonts w:eastAsia="仿宋_GB2312"/>
          <w:sz w:val="32"/>
          <w:szCs w:val="32"/>
        </w:rPr>
        <w:t>地质报告编制要求内容齐全、重点突出、数据准确。具体要求按DZ/T 0033执行。</w:t>
      </w:r>
    </w:p>
    <w:p>
      <w:pPr>
        <w:spacing w:line="556" w:lineRule="exact"/>
        <w:ind w:right="-105" w:rightChars="-50"/>
        <w:outlineLvl w:val="0"/>
        <w:rPr>
          <w:rFonts w:eastAsia="黑体"/>
          <w:sz w:val="32"/>
          <w:szCs w:val="32"/>
        </w:rPr>
      </w:pPr>
      <w:bookmarkStart w:id="43" w:name="_Toc424825937"/>
      <w:bookmarkStart w:id="44" w:name="_Toc488762327"/>
      <w:r>
        <w:rPr>
          <w:rFonts w:eastAsia="黑体"/>
          <w:sz w:val="32"/>
          <w:szCs w:val="32"/>
        </w:rPr>
        <w:t>8  可行性评价工作</w:t>
      </w:r>
      <w:bookmarkEnd w:id="43"/>
      <w:bookmarkEnd w:id="44"/>
    </w:p>
    <w:p>
      <w:pPr>
        <w:widowControl/>
        <w:snapToGrid w:val="0"/>
        <w:spacing w:line="556" w:lineRule="exact"/>
        <w:ind w:right="-105" w:rightChars="-50" w:firstLine="640" w:firstLineChars="200"/>
        <w:rPr>
          <w:rFonts w:eastAsia="仿宋_GB2312"/>
          <w:sz w:val="32"/>
          <w:szCs w:val="32"/>
        </w:rPr>
      </w:pPr>
      <w:r>
        <w:rPr>
          <w:rFonts w:eastAsia="仿宋_GB2312"/>
          <w:sz w:val="32"/>
          <w:szCs w:val="32"/>
        </w:rPr>
        <w:t>矿产勘查工作应与矿山建设紧密衔接，尽可能减少或避免矿产勘查和开发投资的失误，提高矿产勘查和开发的经济效益、社会效益和环境效益。</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一般可只进行概略研究，条件复杂的应进行预可行性研究，具体由投资人决定。</w:t>
      </w:r>
    </w:p>
    <w:p>
      <w:pPr>
        <w:spacing w:line="556" w:lineRule="exact"/>
        <w:ind w:right="-105" w:rightChars="-50"/>
        <w:outlineLvl w:val="0"/>
        <w:rPr>
          <w:rFonts w:eastAsia="黑体"/>
          <w:sz w:val="32"/>
          <w:szCs w:val="32"/>
        </w:rPr>
      </w:pPr>
      <w:bookmarkStart w:id="45" w:name="_Toc488762328"/>
      <w:r>
        <w:rPr>
          <w:rFonts w:eastAsia="黑体"/>
          <w:sz w:val="32"/>
          <w:szCs w:val="32"/>
        </w:rPr>
        <w:t>9  资源储量分类及其条件</w:t>
      </w:r>
      <w:bookmarkEnd w:id="45"/>
    </w:p>
    <w:p>
      <w:pPr>
        <w:spacing w:line="556" w:lineRule="exact"/>
        <w:ind w:right="-105" w:rightChars="-50"/>
        <w:outlineLvl w:val="1"/>
        <w:rPr>
          <w:rFonts w:eastAsia="楷体_GB2312"/>
          <w:sz w:val="32"/>
          <w:szCs w:val="32"/>
        </w:rPr>
      </w:pPr>
      <w:bookmarkStart w:id="46" w:name="_Toc488762329"/>
      <w:r>
        <w:rPr>
          <w:rFonts w:eastAsia="楷体_GB2312"/>
          <w:sz w:val="32"/>
          <w:szCs w:val="32"/>
        </w:rPr>
        <w:t>9.1  资源储量分类依据</w:t>
      </w:r>
      <w:bookmarkEnd w:id="46"/>
    </w:p>
    <w:p>
      <w:pPr>
        <w:widowControl/>
        <w:spacing w:line="556" w:lineRule="exact"/>
        <w:ind w:right="-105" w:rightChars="-50"/>
        <w:outlineLvl w:val="2"/>
        <w:rPr>
          <w:rFonts w:eastAsia="仿宋_GB2312"/>
          <w:b/>
          <w:kern w:val="0"/>
          <w:sz w:val="32"/>
          <w:szCs w:val="32"/>
        </w:rPr>
      </w:pPr>
      <w:bookmarkStart w:id="47" w:name="_Toc488762330"/>
      <w:r>
        <w:rPr>
          <w:rFonts w:eastAsia="仿宋_GB2312"/>
          <w:b/>
          <w:kern w:val="0"/>
          <w:sz w:val="32"/>
          <w:szCs w:val="32"/>
        </w:rPr>
        <w:t>9.1.1  地质可靠程度</w:t>
      </w:r>
      <w:bookmarkEnd w:id="47"/>
    </w:p>
    <w:p>
      <w:pPr>
        <w:widowControl/>
        <w:snapToGrid w:val="0"/>
        <w:spacing w:line="556" w:lineRule="exact"/>
        <w:ind w:right="-105" w:rightChars="-50" w:firstLine="640" w:firstLineChars="200"/>
        <w:rPr>
          <w:rFonts w:hint="eastAsia" w:eastAsia="仿宋_GB2312"/>
          <w:sz w:val="32"/>
          <w:szCs w:val="32"/>
        </w:rPr>
      </w:pPr>
      <w:r>
        <w:rPr>
          <w:rFonts w:eastAsia="仿宋_GB2312"/>
          <w:sz w:val="32"/>
          <w:szCs w:val="32"/>
        </w:rPr>
        <w:t>a）预测的：是对矿产潜力较大的地区经过预查得出的结</w:t>
      </w:r>
    </w:p>
    <w:p>
      <w:pPr>
        <w:widowControl/>
        <w:snapToGrid w:val="0"/>
        <w:spacing w:line="556" w:lineRule="exact"/>
        <w:ind w:right="-105" w:rightChars="-50"/>
        <w:rPr>
          <w:rFonts w:eastAsia="仿宋_GB2312"/>
          <w:sz w:val="32"/>
          <w:szCs w:val="32"/>
        </w:rPr>
      </w:pPr>
      <w:r>
        <w:rPr>
          <w:rFonts w:eastAsia="仿宋_GB2312"/>
          <w:sz w:val="32"/>
          <w:szCs w:val="32"/>
        </w:rPr>
        <w:t>果。在有一定的地质参数并能与地质特征相似的已知矿床类比时，才能估算预测的资源量。</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b）推断的：按照普查的精度要求大致查明了矿产的地质特征及矿体（点）的展布特征、矿石质量，大致了解了破坏矿体的较大构造和岩体情况，矿体的连续性是推断的，资源量估算所依据的数据有限，包括由地质可靠程度较高的基础储量外推的部分，可信度较低。</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c）控制的：是对矿区的一定范围依照详查的精度要求基本查明了矿床主要地质特征、矿体形态、产状、规模、空间位置、矿石质量及开采技术条件，基本查明了构造和岩体破坏影响情况，对主要夹石分布情况基本查明，矿体的连续性基本确定，可信度较高。</w:t>
      </w:r>
    </w:p>
    <w:p>
      <w:pPr>
        <w:widowControl/>
        <w:spacing w:line="556" w:lineRule="exact"/>
        <w:ind w:right="-105" w:rightChars="-50"/>
        <w:outlineLvl w:val="2"/>
        <w:rPr>
          <w:rFonts w:eastAsia="仿宋_GB2312"/>
          <w:b/>
          <w:kern w:val="0"/>
          <w:sz w:val="32"/>
          <w:szCs w:val="32"/>
        </w:rPr>
      </w:pPr>
      <w:bookmarkStart w:id="48" w:name="_Toc488762331"/>
      <w:r>
        <w:rPr>
          <w:rFonts w:eastAsia="仿宋_GB2312"/>
          <w:b/>
          <w:kern w:val="0"/>
          <w:sz w:val="32"/>
          <w:szCs w:val="32"/>
        </w:rPr>
        <w:t>9.1.2  经济意义</w:t>
      </w:r>
      <w:bookmarkEnd w:id="48"/>
    </w:p>
    <w:p>
      <w:pPr>
        <w:widowControl/>
        <w:snapToGrid w:val="0"/>
        <w:spacing w:line="556" w:lineRule="exact"/>
        <w:ind w:right="-105" w:rightChars="-50" w:firstLine="640" w:firstLineChars="200"/>
        <w:rPr>
          <w:rFonts w:eastAsia="仿宋_GB2312"/>
          <w:sz w:val="32"/>
          <w:szCs w:val="32"/>
        </w:rPr>
      </w:pPr>
      <w:r>
        <w:rPr>
          <w:rFonts w:eastAsia="仿宋_GB2312"/>
          <w:sz w:val="32"/>
          <w:szCs w:val="32"/>
        </w:rPr>
        <w:t>a）经济的：在开采技术上可行、经济上合理、环境和其它条件允许下开发是可能的，即每年开采矿产品的平均价值足以满足投资回报的要求。通常将未来矿山企业的年平均内部收益率大于或等于行业基准内部收益率，按行业基准贴现率计算的净现值大于零的资源划为经济的。</w:t>
      </w:r>
    </w:p>
    <w:p>
      <w:pPr>
        <w:widowControl/>
        <w:snapToGrid w:val="0"/>
        <w:spacing w:line="556" w:lineRule="exact"/>
        <w:ind w:right="-105" w:rightChars="-50" w:firstLine="640" w:firstLineChars="200"/>
        <w:rPr>
          <w:rFonts w:eastAsia="仿宋_GB2312"/>
          <w:sz w:val="32"/>
          <w:szCs w:val="32"/>
        </w:rPr>
      </w:pPr>
      <w:r>
        <w:rPr>
          <w:rFonts w:eastAsia="仿宋_GB2312"/>
          <w:sz w:val="32"/>
          <w:szCs w:val="32"/>
        </w:rPr>
        <w:t>b）内蕴经济的：仅通过概略研究做了相应的投资机会评价，由于不确定因素多，无法区分其是经济的。</w:t>
      </w:r>
    </w:p>
    <w:p>
      <w:pPr>
        <w:widowControl/>
        <w:spacing w:line="556" w:lineRule="exact"/>
        <w:ind w:right="-105" w:rightChars="-50"/>
        <w:outlineLvl w:val="2"/>
        <w:rPr>
          <w:rFonts w:eastAsia="仿宋_GB2312"/>
          <w:b/>
          <w:kern w:val="0"/>
          <w:sz w:val="32"/>
          <w:szCs w:val="32"/>
        </w:rPr>
      </w:pPr>
      <w:bookmarkStart w:id="49" w:name="_Toc488762332"/>
      <w:r>
        <w:rPr>
          <w:rFonts w:eastAsia="仿宋_GB2312"/>
          <w:b/>
          <w:kern w:val="0"/>
          <w:sz w:val="32"/>
          <w:szCs w:val="32"/>
        </w:rPr>
        <w:t>9.1.3  可行性评价程度</w:t>
      </w:r>
      <w:bookmarkEnd w:id="49"/>
    </w:p>
    <w:p>
      <w:pPr>
        <w:widowControl/>
        <w:snapToGrid w:val="0"/>
        <w:spacing w:line="556" w:lineRule="exact"/>
        <w:ind w:right="-105" w:rightChars="-50" w:firstLine="640" w:firstLineChars="200"/>
        <w:rPr>
          <w:rFonts w:eastAsia="仿宋_GB2312"/>
          <w:kern w:val="0"/>
          <w:sz w:val="32"/>
          <w:szCs w:val="32"/>
        </w:rPr>
      </w:pPr>
      <w:r>
        <w:rPr>
          <w:rFonts w:eastAsia="仿宋_GB2312"/>
          <w:sz w:val="32"/>
          <w:szCs w:val="32"/>
        </w:rPr>
        <w:t>一般可只进行概略研究，具体要求见前述。</w:t>
      </w:r>
    </w:p>
    <w:p>
      <w:pPr>
        <w:spacing w:line="556" w:lineRule="exact"/>
        <w:ind w:right="-105" w:rightChars="-50"/>
        <w:outlineLvl w:val="1"/>
        <w:rPr>
          <w:rFonts w:eastAsia="楷体_GB2312"/>
          <w:sz w:val="32"/>
          <w:szCs w:val="32"/>
        </w:rPr>
      </w:pPr>
      <w:bookmarkStart w:id="50" w:name="_Toc488762333"/>
      <w:r>
        <w:rPr>
          <w:rFonts w:eastAsia="楷体_GB2312"/>
          <w:sz w:val="32"/>
          <w:szCs w:val="32"/>
        </w:rPr>
        <w:t>9.2  资源储量分类及其条件</w:t>
      </w:r>
      <w:bookmarkEnd w:id="50"/>
    </w:p>
    <w:p>
      <w:pPr>
        <w:widowControl/>
        <w:snapToGrid w:val="0"/>
        <w:spacing w:line="556" w:lineRule="exact"/>
        <w:ind w:right="-105" w:rightChars="-50" w:firstLine="616" w:firstLineChars="200"/>
        <w:rPr>
          <w:rFonts w:eastAsia="仿宋_GB2312"/>
          <w:spacing w:val="-6"/>
          <w:sz w:val="32"/>
          <w:szCs w:val="32"/>
        </w:rPr>
      </w:pPr>
      <w:r>
        <w:rPr>
          <w:rFonts w:eastAsia="仿宋_GB2312"/>
          <w:spacing w:val="-6"/>
          <w:sz w:val="32"/>
          <w:szCs w:val="32"/>
        </w:rPr>
        <w:t>根据《固体矿产资源/储量分类》（GB/T 17766-1999）的要求，结合炭质页岩矿勘查开发的实际需求，资源储量分类简化如下。</w:t>
      </w:r>
    </w:p>
    <w:p>
      <w:pPr>
        <w:widowControl/>
        <w:spacing w:line="556" w:lineRule="exact"/>
        <w:ind w:right="-105" w:rightChars="-50"/>
        <w:outlineLvl w:val="2"/>
        <w:rPr>
          <w:rFonts w:eastAsia="仿宋_GB2312"/>
          <w:b/>
          <w:kern w:val="0"/>
          <w:sz w:val="32"/>
          <w:szCs w:val="32"/>
        </w:rPr>
      </w:pPr>
      <w:bookmarkStart w:id="51" w:name="_Toc488762334"/>
      <w:r>
        <w:rPr>
          <w:rFonts w:eastAsia="仿宋_GB2312"/>
          <w:b/>
          <w:kern w:val="0"/>
          <w:sz w:val="32"/>
          <w:szCs w:val="32"/>
        </w:rPr>
        <w:t>9.2.1  预可采储量（122）</w:t>
      </w:r>
      <w:bookmarkEnd w:id="51"/>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已达到详查工作程度要求的地段，基本圈定了矿体三维形态，能够较有把握地确定矿体连续性，基本查明了矿床地质特征、矿石质量、开采技术条件，提供了矿石加工技术试验结果或类比结果，表明开采是经济的。</w:t>
      </w:r>
    </w:p>
    <w:p>
      <w:pPr>
        <w:widowControl/>
        <w:spacing w:line="556" w:lineRule="exact"/>
        <w:ind w:right="-105" w:rightChars="-50"/>
        <w:outlineLvl w:val="2"/>
        <w:rPr>
          <w:rFonts w:eastAsia="仿宋_GB2312"/>
          <w:b/>
          <w:kern w:val="0"/>
          <w:sz w:val="32"/>
          <w:szCs w:val="32"/>
        </w:rPr>
      </w:pPr>
      <w:bookmarkStart w:id="52" w:name="_Toc488762335"/>
      <w:r>
        <w:rPr>
          <w:rFonts w:eastAsia="仿宋_GB2312"/>
          <w:b/>
          <w:kern w:val="0"/>
          <w:sz w:val="32"/>
          <w:szCs w:val="32"/>
        </w:rPr>
        <w:t>9.2.2  控制的经济基础储量（122b）</w:t>
      </w:r>
      <w:bookmarkEnd w:id="52"/>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与预可采储量（122）的差别在于本类型是用未扣除设计、采矿损失的数量表述。</w:t>
      </w:r>
    </w:p>
    <w:p>
      <w:pPr>
        <w:widowControl/>
        <w:spacing w:line="556" w:lineRule="exact"/>
        <w:ind w:right="-105" w:rightChars="-50"/>
        <w:outlineLvl w:val="2"/>
        <w:rPr>
          <w:rFonts w:eastAsia="仿宋_GB2312"/>
          <w:b/>
          <w:kern w:val="0"/>
          <w:sz w:val="32"/>
          <w:szCs w:val="32"/>
        </w:rPr>
      </w:pPr>
      <w:bookmarkStart w:id="53" w:name="_Toc488762336"/>
      <w:r>
        <w:rPr>
          <w:rFonts w:eastAsia="仿宋_GB2312"/>
          <w:b/>
          <w:kern w:val="0"/>
          <w:sz w:val="32"/>
          <w:szCs w:val="32"/>
        </w:rPr>
        <w:t>9.2.3  控制的内蕴经济资源量（332）</w:t>
      </w:r>
      <w:bookmarkEnd w:id="53"/>
    </w:p>
    <w:p>
      <w:pPr>
        <w:spacing w:line="556" w:lineRule="exact"/>
        <w:ind w:right="-105" w:rightChars="-50" w:firstLine="640" w:firstLineChars="200"/>
        <w:rPr>
          <w:rFonts w:eastAsia="仿宋_GB2312"/>
          <w:sz w:val="32"/>
          <w:szCs w:val="32"/>
        </w:rPr>
      </w:pPr>
      <w:r>
        <w:rPr>
          <w:rFonts w:eastAsia="仿宋_GB2312"/>
          <w:sz w:val="32"/>
          <w:szCs w:val="32"/>
        </w:rPr>
        <w:t>是指在勘查工作程度已达到详查阶段要求的地段，地质可靠程度为控制的，可行性研究评价仅作了概略研究，经济意义介于经济的与次边际经济的范围内，计算的资源量可信度较高，可行性评价可信度低。</w:t>
      </w:r>
    </w:p>
    <w:p>
      <w:pPr>
        <w:widowControl/>
        <w:spacing w:line="556" w:lineRule="exact"/>
        <w:ind w:right="-105" w:rightChars="-50"/>
        <w:outlineLvl w:val="2"/>
        <w:rPr>
          <w:rFonts w:eastAsia="仿宋_GB2312"/>
          <w:b/>
          <w:kern w:val="0"/>
          <w:sz w:val="32"/>
          <w:szCs w:val="32"/>
        </w:rPr>
      </w:pPr>
      <w:bookmarkStart w:id="54" w:name="_Toc488762337"/>
      <w:r>
        <w:rPr>
          <w:rFonts w:eastAsia="仿宋_GB2312"/>
          <w:b/>
          <w:kern w:val="0"/>
          <w:sz w:val="32"/>
          <w:szCs w:val="32"/>
        </w:rPr>
        <w:t>9.2.4  推断的内蕴经济资源量（333）</w:t>
      </w:r>
      <w:bookmarkEnd w:id="54"/>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是指在勘查工作程度只达到普查阶段要求的地段，地质可靠程度为推断的，资源量是根据有限的数据计算的，其可信度较低。可行性评价仅做了概略研究，</w:t>
      </w:r>
      <w:r>
        <w:rPr>
          <w:rFonts w:eastAsia="仿宋_GB2312"/>
          <w:sz w:val="32"/>
          <w:szCs w:val="32"/>
        </w:rPr>
        <w:t>由于不确定因素多，无法区分其是经济的</w:t>
      </w:r>
      <w:r>
        <w:rPr>
          <w:rFonts w:eastAsia="仿宋_GB2312"/>
          <w:kern w:val="0"/>
          <w:sz w:val="32"/>
          <w:szCs w:val="32"/>
        </w:rPr>
        <w:t>。</w:t>
      </w:r>
    </w:p>
    <w:p>
      <w:pPr>
        <w:widowControl/>
        <w:snapToGrid w:val="0"/>
        <w:spacing w:line="556" w:lineRule="exact"/>
        <w:ind w:right="-105" w:rightChars="-50"/>
        <w:contextualSpacing/>
        <w:jc w:val="left"/>
        <w:rPr>
          <w:rFonts w:eastAsia="仿宋_GB2312"/>
          <w:bCs/>
          <w:color w:val="000000"/>
          <w:sz w:val="32"/>
          <w:szCs w:val="32"/>
        </w:rPr>
      </w:pPr>
      <w:r>
        <w:rPr>
          <w:rFonts w:eastAsia="仿宋_GB2312"/>
          <w:b/>
          <w:kern w:val="0"/>
          <w:sz w:val="32"/>
          <w:szCs w:val="32"/>
        </w:rPr>
        <w:t>9.2.5  预测的资源量（334）</w:t>
      </w:r>
    </w:p>
    <w:p>
      <w:pPr>
        <w:widowControl/>
        <w:snapToGrid w:val="0"/>
        <w:spacing w:line="556" w:lineRule="exact"/>
        <w:ind w:right="-105" w:rightChars="-50" w:firstLine="640" w:firstLineChars="200"/>
        <w:rPr>
          <w:rFonts w:eastAsia="仿宋_GB2312"/>
          <w:kern w:val="0"/>
          <w:sz w:val="32"/>
          <w:szCs w:val="32"/>
        </w:rPr>
      </w:pPr>
      <w:r>
        <w:rPr>
          <w:rFonts w:eastAsia="仿宋_GB2312"/>
          <w:kern w:val="0"/>
          <w:sz w:val="32"/>
          <w:szCs w:val="32"/>
        </w:rPr>
        <w:t>依据区域地质研究成果或极少量工程资料，确定具有矿产潜力的地区，并和已知矿床类比而估计的资源量，属于潜在矿产资源，有无经济意义尚不确定。</w:t>
      </w:r>
    </w:p>
    <w:p>
      <w:pPr>
        <w:spacing w:line="556" w:lineRule="exact"/>
        <w:ind w:right="-105" w:rightChars="-50"/>
        <w:outlineLvl w:val="0"/>
        <w:rPr>
          <w:rFonts w:eastAsia="黑体"/>
          <w:sz w:val="32"/>
          <w:szCs w:val="32"/>
        </w:rPr>
      </w:pPr>
      <w:bookmarkStart w:id="55" w:name="_Toc488762338"/>
      <w:r>
        <w:rPr>
          <w:rFonts w:eastAsia="黑体"/>
          <w:sz w:val="32"/>
          <w:szCs w:val="32"/>
        </w:rPr>
        <w:t>10  资源储量估算</w:t>
      </w:r>
      <w:bookmarkEnd w:id="55"/>
    </w:p>
    <w:p>
      <w:pPr>
        <w:spacing w:line="556" w:lineRule="exact"/>
        <w:ind w:right="-105" w:rightChars="-50"/>
        <w:outlineLvl w:val="1"/>
        <w:rPr>
          <w:rFonts w:eastAsia="楷体_GB2312"/>
          <w:sz w:val="32"/>
          <w:szCs w:val="32"/>
        </w:rPr>
      </w:pPr>
      <w:bookmarkStart w:id="56" w:name="_Toc488762339"/>
      <w:r>
        <w:rPr>
          <w:rFonts w:eastAsia="楷体_GB2312"/>
          <w:sz w:val="32"/>
          <w:szCs w:val="32"/>
        </w:rPr>
        <w:t>10.1  资源储量估算的工业指标</w:t>
      </w:r>
      <w:bookmarkEnd w:id="56"/>
    </w:p>
    <w:p>
      <w:pPr>
        <w:widowControl/>
        <w:snapToGrid w:val="0"/>
        <w:spacing w:line="556" w:lineRule="exact"/>
        <w:ind w:right="-105" w:rightChars="-50" w:firstLine="640" w:firstLineChars="200"/>
        <w:rPr>
          <w:rFonts w:hint="eastAsia" w:eastAsia="仿宋_GB2312"/>
          <w:kern w:val="0"/>
          <w:sz w:val="32"/>
          <w:szCs w:val="32"/>
        </w:rPr>
      </w:pPr>
      <w:r>
        <w:rPr>
          <w:rFonts w:eastAsia="仿宋_GB2312"/>
          <w:kern w:val="0"/>
          <w:sz w:val="32"/>
          <w:szCs w:val="32"/>
        </w:rPr>
        <w:t>工业指标是评价矿床工业价值、圈定矿体和估算资源储量</w:t>
      </w:r>
    </w:p>
    <w:p>
      <w:pPr>
        <w:widowControl/>
        <w:snapToGrid w:val="0"/>
        <w:spacing w:line="536" w:lineRule="exact"/>
        <w:ind w:right="-105" w:rightChars="-50"/>
        <w:rPr>
          <w:rFonts w:eastAsia="仿宋_GB2312"/>
          <w:kern w:val="0"/>
          <w:sz w:val="32"/>
          <w:szCs w:val="32"/>
        </w:rPr>
      </w:pPr>
      <w:r>
        <w:rPr>
          <w:rFonts w:eastAsia="仿宋_GB2312"/>
          <w:kern w:val="0"/>
          <w:sz w:val="32"/>
          <w:szCs w:val="32"/>
        </w:rPr>
        <w:t>的依据。它是根据矿床实际情况，综合考虑资源合理利用、经济效益、社会效益和技术水平等有关因素确定的。</w:t>
      </w:r>
    </w:p>
    <w:p>
      <w:pPr>
        <w:widowControl/>
        <w:snapToGrid w:val="0"/>
        <w:spacing w:line="536" w:lineRule="exact"/>
        <w:ind w:right="-105" w:rightChars="-50" w:firstLine="640" w:firstLineChars="200"/>
        <w:rPr>
          <w:rFonts w:eastAsia="仿宋_GB2312"/>
          <w:sz w:val="32"/>
          <w:szCs w:val="32"/>
        </w:rPr>
      </w:pPr>
      <w:r>
        <w:rPr>
          <w:rFonts w:eastAsia="仿宋_GB2312"/>
          <w:kern w:val="0"/>
          <w:sz w:val="32"/>
          <w:szCs w:val="32"/>
        </w:rPr>
        <w:t>预查、普查阶段，可采用一般工业指标进行资源储量估算（</w:t>
      </w:r>
      <w:r>
        <w:rPr>
          <w:rFonts w:eastAsia="仿宋_GB2312"/>
          <w:sz w:val="32"/>
          <w:szCs w:val="32"/>
        </w:rPr>
        <w:t>参见附录D</w:t>
      </w:r>
      <w:r>
        <w:rPr>
          <w:rFonts w:eastAsia="仿宋_GB2312"/>
          <w:kern w:val="0"/>
          <w:sz w:val="32"/>
          <w:szCs w:val="32"/>
        </w:rPr>
        <w:t>）；详查阶段工业指标应结合</w:t>
      </w:r>
      <w:r>
        <w:rPr>
          <w:rFonts w:eastAsia="仿宋_GB2312"/>
          <w:sz w:val="32"/>
          <w:szCs w:val="32"/>
        </w:rPr>
        <w:t>矿床地质、开采技术条件等特点和矿石用途，</w:t>
      </w:r>
      <w:r>
        <w:rPr>
          <w:rFonts w:eastAsia="仿宋_GB2312"/>
          <w:kern w:val="0"/>
          <w:sz w:val="32"/>
          <w:szCs w:val="32"/>
        </w:rPr>
        <w:t>依据当时的市场价格及经济技术条件论证</w:t>
      </w:r>
      <w:r>
        <w:rPr>
          <w:rFonts w:eastAsia="仿宋_GB2312"/>
          <w:sz w:val="32"/>
          <w:szCs w:val="32"/>
        </w:rPr>
        <w:t>确定。</w:t>
      </w:r>
    </w:p>
    <w:p>
      <w:pPr>
        <w:spacing w:line="536" w:lineRule="exact"/>
        <w:ind w:right="-105" w:rightChars="-50"/>
        <w:outlineLvl w:val="1"/>
        <w:rPr>
          <w:rFonts w:eastAsia="楷体_GB2312"/>
          <w:sz w:val="32"/>
          <w:szCs w:val="32"/>
        </w:rPr>
      </w:pPr>
      <w:bookmarkStart w:id="57" w:name="_Toc488762340"/>
      <w:r>
        <w:rPr>
          <w:rFonts w:eastAsia="楷体_GB2312"/>
          <w:sz w:val="32"/>
          <w:szCs w:val="32"/>
        </w:rPr>
        <w:t>10.2  资源储量估算的一般原则</w:t>
      </w:r>
      <w:bookmarkEnd w:id="57"/>
    </w:p>
    <w:p>
      <w:pPr>
        <w:widowControl/>
        <w:snapToGrid w:val="0"/>
        <w:spacing w:line="536" w:lineRule="exact"/>
        <w:ind w:right="-105" w:rightChars="-50" w:firstLine="640" w:firstLineChars="200"/>
        <w:contextualSpacing/>
        <w:rPr>
          <w:rFonts w:eastAsia="仿宋_GB2312"/>
          <w:kern w:val="0"/>
          <w:sz w:val="32"/>
          <w:szCs w:val="32"/>
        </w:rPr>
      </w:pPr>
      <w:r>
        <w:rPr>
          <w:rFonts w:eastAsia="仿宋_GB2312"/>
          <w:bCs/>
          <w:color w:val="000000"/>
          <w:sz w:val="32"/>
          <w:szCs w:val="32"/>
        </w:rPr>
        <w:t>a）</w:t>
      </w:r>
      <w:r>
        <w:rPr>
          <w:rFonts w:eastAsia="仿宋_GB2312"/>
          <w:kern w:val="0"/>
          <w:sz w:val="32"/>
          <w:szCs w:val="32"/>
        </w:rPr>
        <w:t>应根据矿体赋存规律，在严格按照工业指标正确圈定矿体的前提下进行估算。</w:t>
      </w:r>
    </w:p>
    <w:p>
      <w:pPr>
        <w:widowControl/>
        <w:snapToGrid w:val="0"/>
        <w:spacing w:line="536" w:lineRule="exact"/>
        <w:ind w:right="-105" w:rightChars="-50" w:firstLine="640" w:firstLineChars="200"/>
        <w:contextualSpacing/>
        <w:rPr>
          <w:rFonts w:eastAsia="仿宋_GB2312"/>
          <w:kern w:val="0"/>
          <w:sz w:val="32"/>
          <w:szCs w:val="32"/>
        </w:rPr>
      </w:pPr>
      <w:r>
        <w:rPr>
          <w:rFonts w:eastAsia="仿宋_GB2312"/>
          <w:bCs/>
          <w:color w:val="000000"/>
          <w:sz w:val="32"/>
          <w:szCs w:val="32"/>
        </w:rPr>
        <w:t>b）</w:t>
      </w:r>
      <w:r>
        <w:rPr>
          <w:rFonts w:eastAsia="仿宋_GB2312"/>
          <w:color w:val="000000"/>
          <w:sz w:val="32"/>
          <w:szCs w:val="32"/>
        </w:rPr>
        <w:t>按矿体、</w:t>
      </w:r>
      <w:r>
        <w:rPr>
          <w:rFonts w:eastAsia="仿宋_GB2312"/>
          <w:sz w:val="32"/>
          <w:szCs w:val="32"/>
        </w:rPr>
        <w:t>矿石类型</w:t>
      </w:r>
      <w:r>
        <w:rPr>
          <w:rFonts w:eastAsia="仿宋_GB2312"/>
          <w:color w:val="000000"/>
          <w:sz w:val="32"/>
          <w:szCs w:val="32"/>
        </w:rPr>
        <w:t>和资源储量类型划分块段，分别估算</w:t>
      </w:r>
      <w:r>
        <w:rPr>
          <w:rFonts w:eastAsia="仿宋_GB2312"/>
          <w:sz w:val="32"/>
          <w:szCs w:val="32"/>
        </w:rPr>
        <w:t>矿石量，</w:t>
      </w:r>
      <w:r>
        <w:rPr>
          <w:rFonts w:eastAsia="仿宋_GB2312"/>
          <w:kern w:val="0"/>
          <w:sz w:val="32"/>
          <w:szCs w:val="32"/>
        </w:rPr>
        <w:t>单位为</w:t>
      </w:r>
      <w:r>
        <w:rPr>
          <w:rFonts w:eastAsia="仿宋_GB2312"/>
          <w:sz w:val="32"/>
          <w:szCs w:val="32"/>
        </w:rPr>
        <w:t>10</w:t>
      </w:r>
      <w:r>
        <w:rPr>
          <w:rFonts w:eastAsia="仿宋_GB2312"/>
          <w:sz w:val="32"/>
          <w:szCs w:val="32"/>
          <w:vertAlign w:val="superscript"/>
        </w:rPr>
        <w:t>4</w:t>
      </w:r>
      <w:r>
        <w:rPr>
          <w:rFonts w:eastAsia="仿宋_GB2312"/>
          <w:kern w:val="0"/>
          <w:sz w:val="32"/>
          <w:szCs w:val="32"/>
        </w:rPr>
        <w:t>t。</w:t>
      </w:r>
    </w:p>
    <w:p>
      <w:pPr>
        <w:widowControl/>
        <w:snapToGrid w:val="0"/>
        <w:spacing w:line="536" w:lineRule="exact"/>
        <w:ind w:right="-105" w:rightChars="-50" w:firstLine="640" w:firstLineChars="200"/>
        <w:contextualSpacing/>
        <w:rPr>
          <w:rFonts w:eastAsia="仿宋_GB2312"/>
          <w:sz w:val="32"/>
          <w:szCs w:val="32"/>
        </w:rPr>
      </w:pPr>
      <w:r>
        <w:rPr>
          <w:rFonts w:eastAsia="仿宋_GB2312"/>
          <w:bCs/>
          <w:color w:val="000000"/>
          <w:sz w:val="32"/>
          <w:szCs w:val="32"/>
        </w:rPr>
        <w:t>c）</w:t>
      </w:r>
      <w:r>
        <w:rPr>
          <w:rFonts w:eastAsia="仿宋_GB2312"/>
          <w:sz w:val="32"/>
          <w:szCs w:val="32"/>
        </w:rPr>
        <w:t>应根据矿体的形态、产状及勘查工程布置形式合理选用资源储量估算方法。</w:t>
      </w:r>
    </w:p>
    <w:p>
      <w:pPr>
        <w:widowControl/>
        <w:snapToGrid w:val="0"/>
        <w:spacing w:line="536" w:lineRule="exact"/>
        <w:ind w:right="-105" w:rightChars="-50" w:firstLine="640" w:firstLineChars="200"/>
        <w:contextualSpacing/>
        <w:rPr>
          <w:rFonts w:eastAsia="仿宋_GB2312"/>
          <w:kern w:val="0"/>
          <w:sz w:val="32"/>
          <w:szCs w:val="32"/>
        </w:rPr>
      </w:pPr>
      <w:r>
        <w:rPr>
          <w:rFonts w:eastAsia="仿宋_GB2312"/>
          <w:bCs/>
          <w:color w:val="000000"/>
          <w:sz w:val="32"/>
          <w:szCs w:val="32"/>
        </w:rPr>
        <w:t>d）</w:t>
      </w:r>
      <w:r>
        <w:rPr>
          <w:rFonts w:eastAsia="仿宋_GB2312"/>
          <w:kern w:val="0"/>
          <w:sz w:val="32"/>
          <w:szCs w:val="32"/>
        </w:rPr>
        <w:t>剥离量应按覆盖物、围岩、夹石等分别估算，单位为10</w:t>
      </w:r>
      <w:r>
        <w:rPr>
          <w:rFonts w:eastAsia="仿宋_GB2312"/>
          <w:kern w:val="0"/>
          <w:sz w:val="32"/>
          <w:szCs w:val="32"/>
          <w:vertAlign w:val="superscript"/>
        </w:rPr>
        <w:t>4</w:t>
      </w:r>
      <w:r>
        <w:rPr>
          <w:rFonts w:eastAsia="仿宋_GB2312"/>
          <w:kern w:val="0"/>
          <w:sz w:val="32"/>
          <w:szCs w:val="32"/>
        </w:rPr>
        <w:t>m</w:t>
      </w:r>
      <w:r>
        <w:rPr>
          <w:rFonts w:eastAsia="仿宋_GB2312"/>
          <w:kern w:val="0"/>
          <w:sz w:val="32"/>
          <w:szCs w:val="32"/>
          <w:vertAlign w:val="superscript"/>
        </w:rPr>
        <w:t>3</w:t>
      </w:r>
      <w:r>
        <w:rPr>
          <w:rFonts w:eastAsia="仿宋_GB2312"/>
          <w:kern w:val="0"/>
          <w:sz w:val="32"/>
          <w:szCs w:val="32"/>
        </w:rPr>
        <w:t>。</w:t>
      </w:r>
    </w:p>
    <w:p>
      <w:pPr>
        <w:widowControl/>
        <w:snapToGrid w:val="0"/>
        <w:spacing w:line="536" w:lineRule="exact"/>
        <w:ind w:right="-105" w:rightChars="-50" w:firstLine="640" w:firstLineChars="200"/>
        <w:contextualSpacing/>
        <w:rPr>
          <w:rFonts w:eastAsia="仿宋_GB2312"/>
          <w:b/>
          <w:color w:val="000000"/>
          <w:sz w:val="32"/>
          <w:szCs w:val="32"/>
        </w:rPr>
      </w:pPr>
      <w:r>
        <w:rPr>
          <w:rFonts w:eastAsia="仿宋_GB2312"/>
          <w:bCs/>
          <w:color w:val="000000"/>
          <w:sz w:val="32"/>
          <w:szCs w:val="32"/>
        </w:rPr>
        <w:t>e）</w:t>
      </w:r>
      <w:r>
        <w:rPr>
          <w:rFonts w:eastAsia="仿宋_GB2312"/>
          <w:kern w:val="0"/>
          <w:sz w:val="32"/>
          <w:szCs w:val="32"/>
        </w:rPr>
        <w:t>参加资源储量估算的各项工作质量，应符合各有关规范、规程、规定的要求。</w:t>
      </w:r>
    </w:p>
    <w:p>
      <w:pPr>
        <w:spacing w:line="536" w:lineRule="exact"/>
        <w:ind w:right="-105" w:rightChars="-50"/>
        <w:outlineLvl w:val="1"/>
        <w:rPr>
          <w:rFonts w:eastAsia="楷体_GB2312"/>
          <w:sz w:val="32"/>
          <w:szCs w:val="32"/>
        </w:rPr>
      </w:pPr>
      <w:bookmarkStart w:id="58" w:name="_Toc488762341"/>
      <w:r>
        <w:rPr>
          <w:rFonts w:eastAsia="楷体_GB2312"/>
          <w:sz w:val="32"/>
          <w:szCs w:val="32"/>
        </w:rPr>
        <w:t>10.3  资源储量估算参数的要求</w:t>
      </w:r>
      <w:bookmarkEnd w:id="58"/>
    </w:p>
    <w:p>
      <w:pPr>
        <w:widowControl/>
        <w:snapToGrid w:val="0"/>
        <w:spacing w:line="536" w:lineRule="exact"/>
        <w:ind w:right="-105" w:rightChars="-50" w:firstLine="640" w:firstLineChars="200"/>
        <w:rPr>
          <w:rFonts w:eastAsia="仿宋_GB2312"/>
          <w:kern w:val="0"/>
          <w:sz w:val="32"/>
          <w:szCs w:val="32"/>
        </w:rPr>
      </w:pPr>
      <w:r>
        <w:rPr>
          <w:rFonts w:eastAsia="仿宋_GB2312"/>
          <w:kern w:val="0"/>
          <w:sz w:val="32"/>
          <w:szCs w:val="32"/>
        </w:rPr>
        <w:t>资源储量估算一般包括矿体圈定的面积、厚度、体积质量（体重）等参数，其数据应以实际测定为依据，要求真实、准确、具有代表性</w:t>
      </w:r>
      <w:r>
        <w:rPr>
          <w:rFonts w:eastAsia="仿宋_GB2312"/>
          <w:bCs/>
          <w:sz w:val="32"/>
          <w:szCs w:val="32"/>
        </w:rPr>
        <w:t>。</w:t>
      </w:r>
      <w:r>
        <w:rPr>
          <w:rFonts w:eastAsia="仿宋_GB2312"/>
          <w:kern w:val="0"/>
          <w:sz w:val="32"/>
          <w:szCs w:val="32"/>
        </w:rPr>
        <w:t>体积质量（体重）数据有类比条件的</w:t>
      </w:r>
      <w:r>
        <w:rPr>
          <w:rFonts w:eastAsia="仿宋_GB2312"/>
          <w:sz w:val="32"/>
          <w:szCs w:val="32"/>
        </w:rPr>
        <w:t>可类比确定。</w:t>
      </w:r>
    </w:p>
    <w:p>
      <w:pPr>
        <w:spacing w:line="536" w:lineRule="exact"/>
        <w:ind w:right="-105" w:rightChars="-50"/>
        <w:outlineLvl w:val="1"/>
        <w:rPr>
          <w:rFonts w:eastAsia="楷体_GB2312"/>
          <w:sz w:val="32"/>
          <w:szCs w:val="32"/>
        </w:rPr>
      </w:pPr>
      <w:bookmarkStart w:id="59" w:name="_Toc488762342"/>
      <w:r>
        <w:rPr>
          <w:rFonts w:eastAsia="楷体_GB2312"/>
          <w:sz w:val="32"/>
          <w:szCs w:val="32"/>
        </w:rPr>
        <w:t>10.4  资源储量估算表</w:t>
      </w:r>
      <w:bookmarkEnd w:id="59"/>
    </w:p>
    <w:p>
      <w:pPr>
        <w:widowControl/>
        <w:snapToGrid w:val="0"/>
        <w:spacing w:line="536" w:lineRule="exact"/>
        <w:ind w:right="-105" w:rightChars="-50" w:firstLine="616" w:firstLineChars="200"/>
        <w:rPr>
          <w:rFonts w:eastAsia="仿宋_GB2312"/>
          <w:spacing w:val="-6"/>
          <w:kern w:val="0"/>
          <w:sz w:val="32"/>
          <w:szCs w:val="32"/>
        </w:rPr>
      </w:pPr>
      <w:r>
        <w:rPr>
          <w:rFonts w:eastAsia="仿宋_GB2312"/>
          <w:spacing w:val="-6"/>
          <w:kern w:val="0"/>
          <w:sz w:val="32"/>
          <w:szCs w:val="32"/>
        </w:rPr>
        <w:t>依据地质可靠程度、可行性（类比）评价工作结果确定的经济意义，对勘查工作所求得的资源储量进行分类、估算。资源储量估算结果以表格的形式表示各类资源储量及其矿石质</w:t>
      </w:r>
      <w:r>
        <w:rPr>
          <w:rFonts w:hint="eastAsia" w:eastAsia="仿宋_GB2312"/>
          <w:spacing w:val="-6"/>
          <w:kern w:val="0"/>
          <w:sz w:val="32"/>
          <w:szCs w:val="32"/>
        </w:rPr>
        <w:t>量。</w:t>
      </w:r>
    </w:p>
    <w:p>
      <w:pPr>
        <w:widowControl/>
        <w:snapToGrid w:val="0"/>
        <w:spacing w:line="320" w:lineRule="exact"/>
        <w:jc w:val="center"/>
        <w:rPr>
          <w:kern w:val="0"/>
          <w:szCs w:val="21"/>
        </w:rPr>
      </w:pPr>
      <w:r>
        <w:rPr>
          <w:rFonts w:ascii="宋体" w:hAnsi="宋体" w:cs="仿宋_GB2312"/>
          <w:kern w:val="0"/>
          <w:szCs w:val="21"/>
        </w:rPr>
        <w:br w:type="page"/>
      </w:r>
      <w:r>
        <w:rPr>
          <w:rFonts w:hint="eastAsia" w:ascii="黑体" w:eastAsia="黑体"/>
          <w:kern w:val="0"/>
          <w:szCs w:val="21"/>
        </w:rPr>
        <w:t>附  录  A</w:t>
      </w:r>
    </w:p>
    <w:p>
      <w:pPr>
        <w:widowControl/>
        <w:snapToGrid w:val="0"/>
        <w:jc w:val="center"/>
        <w:outlineLvl w:val="0"/>
        <w:rPr>
          <w:rFonts w:hint="eastAsia" w:ascii="黑体" w:eastAsia="黑体"/>
          <w:kern w:val="0"/>
          <w:szCs w:val="21"/>
        </w:rPr>
      </w:pPr>
      <w:bookmarkStart w:id="60" w:name="_Toc488762343"/>
      <w:r>
        <w:rPr>
          <w:rFonts w:hint="eastAsia" w:ascii="黑体" w:eastAsia="黑体"/>
          <w:kern w:val="0"/>
          <w:szCs w:val="21"/>
        </w:rPr>
        <w:t>（规范性附录)</w:t>
      </w:r>
      <w:bookmarkEnd w:id="60"/>
    </w:p>
    <w:p>
      <w:pPr>
        <w:widowControl/>
        <w:snapToGrid w:val="0"/>
        <w:jc w:val="center"/>
        <w:outlineLvl w:val="0"/>
        <w:rPr>
          <w:kern w:val="0"/>
          <w:szCs w:val="21"/>
        </w:rPr>
      </w:pPr>
    </w:p>
    <w:p>
      <w:pPr>
        <w:widowControl/>
        <w:snapToGrid w:val="0"/>
        <w:jc w:val="center"/>
        <w:outlineLvl w:val="0"/>
        <w:rPr>
          <w:kern w:val="0"/>
          <w:szCs w:val="21"/>
        </w:rPr>
      </w:pPr>
      <w:bookmarkStart w:id="61" w:name="_Toc488762344"/>
      <w:r>
        <w:rPr>
          <w:rFonts w:hint="eastAsia" w:ascii="黑体" w:eastAsia="黑体"/>
          <w:kern w:val="0"/>
          <w:szCs w:val="21"/>
        </w:rPr>
        <w:t>固体矿产资源／储量分类</w:t>
      </w:r>
      <w:bookmarkEnd w:id="61"/>
    </w:p>
    <w:p>
      <w:pPr>
        <w:widowControl/>
        <w:jc w:val="center"/>
        <w:rPr>
          <w:kern w:val="0"/>
          <w:szCs w:val="21"/>
        </w:rPr>
      </w:pPr>
    </w:p>
    <w:p>
      <w:pPr>
        <w:widowControl/>
        <w:jc w:val="center"/>
        <w:rPr>
          <w:kern w:val="0"/>
          <w:szCs w:val="21"/>
        </w:rPr>
      </w:pPr>
      <w:r>
        <w:rPr>
          <w:rFonts w:eastAsia="黑体"/>
          <w:kern w:val="0"/>
          <w:szCs w:val="21"/>
        </w:rPr>
        <w:t>表 A.1  固</w:t>
      </w:r>
      <w:r>
        <w:rPr>
          <w:rFonts w:hint="eastAsia" w:ascii="黑体" w:eastAsia="黑体"/>
          <w:kern w:val="0"/>
          <w:szCs w:val="21"/>
        </w:rPr>
        <w:t>体矿产资源／储量分类简表</w:t>
      </w:r>
    </w:p>
    <w:tbl>
      <w:tblPr>
        <w:tblStyle w:val="12"/>
        <w:tblW w:w="852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2051"/>
        <w:gridCol w:w="2180"/>
        <w:gridCol w:w="2137"/>
        <w:gridCol w:w="215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97" w:hRule="atLeast"/>
          <w:jc w:val="center"/>
        </w:trPr>
        <w:tc>
          <w:tcPr>
            <w:tcW w:w="2051" w:type="dxa"/>
            <w:vMerge w:val="restart"/>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经济意义</w:t>
            </w:r>
          </w:p>
        </w:tc>
        <w:tc>
          <w:tcPr>
            <w:tcW w:w="6471" w:type="dxa"/>
            <w:gridSpan w:val="3"/>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地质可靠程度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97" w:hRule="atLeast"/>
          <w:jc w:val="center"/>
        </w:trPr>
        <w:tc>
          <w:tcPr>
            <w:tcW w:w="2051" w:type="dxa"/>
            <w:vMerge w:val="continue"/>
            <w:vAlign w:val="center"/>
          </w:tcPr>
          <w:p>
            <w:pPr>
              <w:widowControl/>
              <w:jc w:val="left"/>
              <w:rPr>
                <w:kern w:val="0"/>
                <w:szCs w:val="21"/>
              </w:rPr>
            </w:pPr>
          </w:p>
        </w:tc>
        <w:tc>
          <w:tcPr>
            <w:tcW w:w="4317" w:type="dxa"/>
            <w:gridSpan w:val="2"/>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查明矿产资源</w:t>
            </w:r>
          </w:p>
        </w:tc>
        <w:tc>
          <w:tcPr>
            <w:tcW w:w="2154" w:type="dxa"/>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潜在矿产资源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97" w:hRule="atLeast"/>
          <w:jc w:val="center"/>
        </w:trPr>
        <w:tc>
          <w:tcPr>
            <w:tcW w:w="2051" w:type="dxa"/>
            <w:vMerge w:val="continue"/>
            <w:vAlign w:val="center"/>
          </w:tcPr>
          <w:p>
            <w:pPr>
              <w:widowControl/>
              <w:jc w:val="left"/>
              <w:rPr>
                <w:kern w:val="0"/>
                <w:szCs w:val="21"/>
              </w:rPr>
            </w:pPr>
          </w:p>
        </w:tc>
        <w:tc>
          <w:tcPr>
            <w:tcW w:w="2180" w:type="dxa"/>
            <w:tcMar>
              <w:top w:w="0" w:type="dxa"/>
              <w:left w:w="108" w:type="dxa"/>
              <w:bottom w:w="0" w:type="dxa"/>
              <w:right w:w="108" w:type="dxa"/>
            </w:tcMar>
            <w:vAlign w:val="center"/>
          </w:tcPr>
          <w:p>
            <w:pPr>
              <w:widowControl/>
              <w:jc w:val="center"/>
              <w:rPr>
                <w:kern w:val="0"/>
                <w:szCs w:val="21"/>
              </w:rPr>
            </w:pPr>
            <w:r>
              <w:rPr>
                <w:rFonts w:hAnsi="宋体"/>
                <w:spacing w:val="2"/>
                <w:kern w:val="0"/>
                <w:sz w:val="18"/>
                <w:szCs w:val="18"/>
              </w:rPr>
              <w:t>控制的</w:t>
            </w:r>
          </w:p>
        </w:tc>
        <w:tc>
          <w:tcPr>
            <w:tcW w:w="2137" w:type="dxa"/>
            <w:tcMar>
              <w:top w:w="0" w:type="dxa"/>
              <w:left w:w="108" w:type="dxa"/>
              <w:bottom w:w="0" w:type="dxa"/>
              <w:right w:w="108" w:type="dxa"/>
            </w:tcMar>
            <w:vAlign w:val="center"/>
          </w:tcPr>
          <w:p>
            <w:pPr>
              <w:widowControl/>
              <w:jc w:val="center"/>
              <w:rPr>
                <w:kern w:val="0"/>
                <w:szCs w:val="21"/>
              </w:rPr>
            </w:pPr>
            <w:r>
              <w:rPr>
                <w:rFonts w:hAnsi="宋体"/>
                <w:spacing w:val="2"/>
                <w:kern w:val="0"/>
                <w:sz w:val="18"/>
                <w:szCs w:val="18"/>
              </w:rPr>
              <w:t>推断的</w:t>
            </w:r>
          </w:p>
        </w:tc>
        <w:tc>
          <w:tcPr>
            <w:tcW w:w="2154" w:type="dxa"/>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预测的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97" w:hRule="atLeast"/>
          <w:jc w:val="center"/>
        </w:trPr>
        <w:tc>
          <w:tcPr>
            <w:tcW w:w="2051" w:type="dxa"/>
            <w:vMerge w:val="restart"/>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经济的</w:t>
            </w:r>
          </w:p>
        </w:tc>
        <w:tc>
          <w:tcPr>
            <w:tcW w:w="2180" w:type="dxa"/>
            <w:tcMar>
              <w:top w:w="0" w:type="dxa"/>
              <w:left w:w="108" w:type="dxa"/>
              <w:bottom w:w="0" w:type="dxa"/>
              <w:right w:w="108" w:type="dxa"/>
            </w:tcMar>
            <w:vAlign w:val="center"/>
          </w:tcPr>
          <w:p>
            <w:pPr>
              <w:widowControl/>
              <w:jc w:val="center"/>
              <w:rPr>
                <w:kern w:val="0"/>
                <w:sz w:val="18"/>
                <w:szCs w:val="18"/>
              </w:rPr>
            </w:pPr>
            <w:r>
              <w:rPr>
                <w:rFonts w:hAnsi="宋体"/>
                <w:spacing w:val="2"/>
                <w:kern w:val="0"/>
                <w:sz w:val="18"/>
                <w:szCs w:val="18"/>
              </w:rPr>
              <w:t>预可采储量（</w:t>
            </w:r>
            <w:r>
              <w:rPr>
                <w:spacing w:val="2"/>
                <w:kern w:val="0"/>
                <w:sz w:val="18"/>
                <w:szCs w:val="18"/>
              </w:rPr>
              <w:t>122</w:t>
            </w:r>
            <w:r>
              <w:rPr>
                <w:rFonts w:hAnsi="宋体"/>
                <w:spacing w:val="2"/>
                <w:kern w:val="0"/>
                <w:sz w:val="18"/>
                <w:szCs w:val="18"/>
              </w:rPr>
              <w:t>）</w:t>
            </w:r>
          </w:p>
        </w:tc>
        <w:tc>
          <w:tcPr>
            <w:tcW w:w="2137" w:type="dxa"/>
            <w:vMerge w:val="restart"/>
            <w:tcMar>
              <w:top w:w="0" w:type="dxa"/>
              <w:left w:w="108" w:type="dxa"/>
              <w:bottom w:w="0" w:type="dxa"/>
              <w:right w:w="108" w:type="dxa"/>
            </w:tcMar>
            <w:vAlign w:val="center"/>
          </w:tcPr>
          <w:p>
            <w:pPr>
              <w:widowControl/>
              <w:jc w:val="center"/>
              <w:rPr>
                <w:kern w:val="0"/>
                <w:szCs w:val="21"/>
              </w:rPr>
            </w:pPr>
          </w:p>
        </w:tc>
        <w:tc>
          <w:tcPr>
            <w:tcW w:w="2154" w:type="dxa"/>
            <w:vMerge w:val="restart"/>
            <w:tcMar>
              <w:top w:w="0" w:type="dxa"/>
              <w:left w:w="108" w:type="dxa"/>
              <w:bottom w:w="0" w:type="dxa"/>
              <w:right w:w="108" w:type="dxa"/>
            </w:tcMar>
            <w:vAlign w:val="center"/>
          </w:tcPr>
          <w:p>
            <w:pPr>
              <w:widowControl/>
              <w:jc w:val="center"/>
              <w:rPr>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97" w:hRule="atLeast"/>
          <w:jc w:val="center"/>
        </w:trPr>
        <w:tc>
          <w:tcPr>
            <w:tcW w:w="2051" w:type="dxa"/>
            <w:vMerge w:val="continue"/>
            <w:vAlign w:val="center"/>
          </w:tcPr>
          <w:p>
            <w:pPr>
              <w:widowControl/>
              <w:jc w:val="left"/>
              <w:rPr>
                <w:kern w:val="0"/>
                <w:szCs w:val="21"/>
              </w:rPr>
            </w:pPr>
          </w:p>
        </w:tc>
        <w:tc>
          <w:tcPr>
            <w:tcW w:w="2180" w:type="dxa"/>
            <w:tcMar>
              <w:top w:w="0" w:type="dxa"/>
              <w:left w:w="108" w:type="dxa"/>
              <w:bottom w:w="0" w:type="dxa"/>
              <w:right w:w="108" w:type="dxa"/>
            </w:tcMar>
            <w:vAlign w:val="center"/>
          </w:tcPr>
          <w:p>
            <w:pPr>
              <w:widowControl/>
              <w:jc w:val="center"/>
              <w:rPr>
                <w:kern w:val="0"/>
                <w:szCs w:val="21"/>
              </w:rPr>
            </w:pPr>
            <w:r>
              <w:rPr>
                <w:rFonts w:hAnsi="宋体"/>
                <w:spacing w:val="2"/>
                <w:kern w:val="0"/>
                <w:sz w:val="18"/>
                <w:szCs w:val="18"/>
              </w:rPr>
              <w:t>基础储量（</w:t>
            </w:r>
            <w:r>
              <w:rPr>
                <w:spacing w:val="2"/>
                <w:kern w:val="0"/>
                <w:sz w:val="18"/>
                <w:szCs w:val="18"/>
              </w:rPr>
              <w:t>122b</w:t>
            </w:r>
            <w:r>
              <w:rPr>
                <w:rFonts w:hAnsi="宋体"/>
                <w:spacing w:val="2"/>
                <w:kern w:val="0"/>
                <w:sz w:val="18"/>
                <w:szCs w:val="18"/>
              </w:rPr>
              <w:t>）</w:t>
            </w:r>
          </w:p>
        </w:tc>
        <w:tc>
          <w:tcPr>
            <w:tcW w:w="2137" w:type="dxa"/>
            <w:vMerge w:val="continue"/>
            <w:tcMar>
              <w:top w:w="0" w:type="dxa"/>
              <w:left w:w="108" w:type="dxa"/>
              <w:bottom w:w="0" w:type="dxa"/>
              <w:right w:w="108" w:type="dxa"/>
            </w:tcMar>
            <w:vAlign w:val="center"/>
          </w:tcPr>
          <w:p>
            <w:pPr>
              <w:widowControl/>
              <w:jc w:val="center"/>
              <w:rPr>
                <w:kern w:val="0"/>
                <w:szCs w:val="21"/>
              </w:rPr>
            </w:pPr>
          </w:p>
        </w:tc>
        <w:tc>
          <w:tcPr>
            <w:tcW w:w="2154" w:type="dxa"/>
            <w:vMerge w:val="continue"/>
            <w:vAlign w:val="center"/>
          </w:tcPr>
          <w:p>
            <w:pPr>
              <w:widowControl/>
              <w:jc w:val="left"/>
              <w:rPr>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97" w:hRule="atLeast"/>
          <w:jc w:val="center"/>
        </w:trPr>
        <w:tc>
          <w:tcPr>
            <w:tcW w:w="2051" w:type="dxa"/>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内蕴经济的</w:t>
            </w:r>
          </w:p>
        </w:tc>
        <w:tc>
          <w:tcPr>
            <w:tcW w:w="2180" w:type="dxa"/>
            <w:tcMar>
              <w:top w:w="0" w:type="dxa"/>
              <w:left w:w="108" w:type="dxa"/>
              <w:bottom w:w="0" w:type="dxa"/>
              <w:right w:w="108" w:type="dxa"/>
            </w:tcMar>
            <w:vAlign w:val="center"/>
          </w:tcPr>
          <w:p>
            <w:pPr>
              <w:widowControl/>
              <w:jc w:val="center"/>
              <w:rPr>
                <w:rFonts w:hint="eastAsia"/>
                <w:kern w:val="0"/>
                <w:szCs w:val="21"/>
              </w:rPr>
            </w:pPr>
            <w:r>
              <w:rPr>
                <w:rFonts w:hint="eastAsia" w:hAnsi="宋体"/>
                <w:spacing w:val="2"/>
                <w:kern w:val="0"/>
                <w:sz w:val="18"/>
                <w:szCs w:val="18"/>
              </w:rPr>
              <w:t>资源量（332）</w:t>
            </w:r>
          </w:p>
        </w:tc>
        <w:tc>
          <w:tcPr>
            <w:tcW w:w="2137" w:type="dxa"/>
            <w:tcMar>
              <w:top w:w="0" w:type="dxa"/>
              <w:left w:w="108" w:type="dxa"/>
              <w:bottom w:w="0" w:type="dxa"/>
              <w:right w:w="108" w:type="dxa"/>
            </w:tcMar>
            <w:vAlign w:val="center"/>
          </w:tcPr>
          <w:p>
            <w:pPr>
              <w:widowControl/>
              <w:jc w:val="center"/>
              <w:rPr>
                <w:kern w:val="0"/>
                <w:szCs w:val="21"/>
              </w:rPr>
            </w:pPr>
            <w:r>
              <w:rPr>
                <w:rFonts w:hAnsi="宋体"/>
                <w:spacing w:val="2"/>
                <w:kern w:val="0"/>
                <w:sz w:val="18"/>
                <w:szCs w:val="18"/>
              </w:rPr>
              <w:t>资源量（</w:t>
            </w:r>
            <w:r>
              <w:rPr>
                <w:spacing w:val="2"/>
                <w:kern w:val="0"/>
                <w:sz w:val="18"/>
                <w:szCs w:val="18"/>
              </w:rPr>
              <w:t>333</w:t>
            </w:r>
            <w:r>
              <w:rPr>
                <w:rFonts w:hAnsi="宋体"/>
                <w:spacing w:val="2"/>
                <w:kern w:val="0"/>
                <w:sz w:val="18"/>
                <w:szCs w:val="18"/>
              </w:rPr>
              <w:t>）</w:t>
            </w:r>
          </w:p>
        </w:tc>
        <w:tc>
          <w:tcPr>
            <w:tcW w:w="2154" w:type="dxa"/>
            <w:tcMar>
              <w:top w:w="0" w:type="dxa"/>
              <w:left w:w="108" w:type="dxa"/>
              <w:bottom w:w="0" w:type="dxa"/>
              <w:right w:w="108" w:type="dxa"/>
            </w:tcMar>
            <w:vAlign w:val="center"/>
          </w:tcPr>
          <w:p>
            <w:pPr>
              <w:widowControl/>
              <w:jc w:val="center"/>
              <w:rPr>
                <w:kern w:val="0"/>
                <w:szCs w:val="21"/>
              </w:rPr>
            </w:pPr>
            <w:r>
              <w:rPr>
                <w:rFonts w:hint="eastAsia" w:ascii="宋体" w:hAnsi="宋体"/>
                <w:spacing w:val="2"/>
                <w:kern w:val="0"/>
                <w:sz w:val="18"/>
                <w:szCs w:val="18"/>
              </w:rPr>
              <w:t>资源量（334）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97" w:hRule="atLeast"/>
          <w:jc w:val="center"/>
        </w:trPr>
        <w:tc>
          <w:tcPr>
            <w:tcW w:w="8522" w:type="dxa"/>
            <w:gridSpan w:val="4"/>
            <w:tcMar>
              <w:top w:w="0" w:type="dxa"/>
              <w:left w:w="108" w:type="dxa"/>
              <w:bottom w:w="0" w:type="dxa"/>
              <w:right w:w="108" w:type="dxa"/>
            </w:tcMar>
            <w:vAlign w:val="center"/>
          </w:tcPr>
          <w:p>
            <w:pPr>
              <w:widowControl/>
              <w:ind w:firstLine="368"/>
              <w:rPr>
                <w:kern w:val="0"/>
                <w:szCs w:val="21"/>
              </w:rPr>
            </w:pPr>
            <w:r>
              <w:rPr>
                <w:rFonts w:hAnsi="宋体"/>
                <w:spacing w:val="2"/>
                <w:kern w:val="0"/>
                <w:sz w:val="18"/>
                <w:szCs w:val="18"/>
              </w:rPr>
              <w:t>注：表中所用编码（</w:t>
            </w:r>
            <w:r>
              <w:rPr>
                <w:spacing w:val="2"/>
                <w:kern w:val="0"/>
                <w:sz w:val="18"/>
                <w:szCs w:val="18"/>
              </w:rPr>
              <w:t>122</w:t>
            </w:r>
            <w:r>
              <w:rPr>
                <w:kern w:val="0"/>
                <w:szCs w:val="21"/>
              </w:rPr>
              <w:t>~</w:t>
            </w:r>
            <w:r>
              <w:rPr>
                <w:spacing w:val="2"/>
                <w:kern w:val="0"/>
                <w:sz w:val="18"/>
                <w:szCs w:val="18"/>
              </w:rPr>
              <w:t>334</w:t>
            </w:r>
            <w:r>
              <w:rPr>
                <w:rFonts w:hAnsi="宋体"/>
                <w:spacing w:val="2"/>
                <w:kern w:val="0"/>
                <w:sz w:val="18"/>
                <w:szCs w:val="18"/>
              </w:rPr>
              <w:t>），第</w:t>
            </w:r>
            <w:r>
              <w:rPr>
                <w:spacing w:val="2"/>
                <w:kern w:val="0"/>
                <w:sz w:val="18"/>
                <w:szCs w:val="18"/>
              </w:rPr>
              <w:t>1</w:t>
            </w:r>
            <w:r>
              <w:rPr>
                <w:rFonts w:hAnsi="宋体"/>
                <w:spacing w:val="2"/>
                <w:kern w:val="0"/>
                <w:sz w:val="18"/>
                <w:szCs w:val="18"/>
              </w:rPr>
              <w:t>位数表示经济意义，即</w:t>
            </w:r>
            <w:r>
              <w:rPr>
                <w:spacing w:val="2"/>
                <w:kern w:val="0"/>
                <w:sz w:val="18"/>
                <w:szCs w:val="18"/>
              </w:rPr>
              <w:t>1</w:t>
            </w:r>
            <w:r>
              <w:rPr>
                <w:rFonts w:hAnsi="宋体"/>
                <w:spacing w:val="2"/>
                <w:kern w:val="0"/>
                <w:sz w:val="18"/>
                <w:szCs w:val="18"/>
              </w:rPr>
              <w:t>＝经济的，</w:t>
            </w:r>
            <w:r>
              <w:rPr>
                <w:spacing w:val="2"/>
                <w:kern w:val="0"/>
                <w:sz w:val="18"/>
                <w:szCs w:val="18"/>
              </w:rPr>
              <w:t>3</w:t>
            </w:r>
            <w:r>
              <w:rPr>
                <w:rFonts w:hAnsi="宋体"/>
                <w:spacing w:val="2"/>
                <w:kern w:val="0"/>
                <w:sz w:val="18"/>
                <w:szCs w:val="18"/>
              </w:rPr>
              <w:t>＝内蕴经济的；第</w:t>
            </w:r>
            <w:r>
              <w:rPr>
                <w:spacing w:val="2"/>
                <w:kern w:val="0"/>
                <w:sz w:val="18"/>
                <w:szCs w:val="18"/>
              </w:rPr>
              <w:t>2</w:t>
            </w:r>
            <w:r>
              <w:rPr>
                <w:rFonts w:hAnsi="宋体"/>
                <w:spacing w:val="2"/>
                <w:kern w:val="0"/>
                <w:sz w:val="18"/>
                <w:szCs w:val="18"/>
              </w:rPr>
              <w:t>位数表示可行性评价阶段，即</w:t>
            </w:r>
            <w:r>
              <w:rPr>
                <w:spacing w:val="2"/>
                <w:kern w:val="0"/>
                <w:sz w:val="18"/>
                <w:szCs w:val="18"/>
              </w:rPr>
              <w:t>2</w:t>
            </w:r>
            <w:r>
              <w:rPr>
                <w:rFonts w:hAnsi="宋体"/>
                <w:spacing w:val="2"/>
                <w:kern w:val="0"/>
                <w:sz w:val="18"/>
                <w:szCs w:val="18"/>
              </w:rPr>
              <w:t>＝预可行性研究，</w:t>
            </w:r>
            <w:r>
              <w:rPr>
                <w:spacing w:val="2"/>
                <w:kern w:val="0"/>
                <w:sz w:val="18"/>
                <w:szCs w:val="18"/>
              </w:rPr>
              <w:t>3</w:t>
            </w:r>
            <w:r>
              <w:rPr>
                <w:rFonts w:hAnsi="宋体"/>
                <w:spacing w:val="2"/>
                <w:kern w:val="0"/>
                <w:sz w:val="18"/>
                <w:szCs w:val="18"/>
              </w:rPr>
              <w:t>＝概略研究；第</w:t>
            </w:r>
            <w:r>
              <w:rPr>
                <w:spacing w:val="2"/>
                <w:kern w:val="0"/>
                <w:sz w:val="18"/>
                <w:szCs w:val="18"/>
              </w:rPr>
              <w:t>3</w:t>
            </w:r>
            <w:r>
              <w:rPr>
                <w:rFonts w:hAnsi="宋体"/>
                <w:spacing w:val="2"/>
                <w:kern w:val="0"/>
                <w:sz w:val="18"/>
                <w:szCs w:val="18"/>
              </w:rPr>
              <w:t>位数表示地质可靠程度，即</w:t>
            </w:r>
            <w:r>
              <w:rPr>
                <w:spacing w:val="2"/>
                <w:kern w:val="0"/>
                <w:sz w:val="18"/>
                <w:szCs w:val="18"/>
              </w:rPr>
              <w:t>2</w:t>
            </w:r>
            <w:r>
              <w:rPr>
                <w:rFonts w:hAnsi="宋体"/>
                <w:spacing w:val="2"/>
                <w:kern w:val="0"/>
                <w:sz w:val="18"/>
                <w:szCs w:val="18"/>
              </w:rPr>
              <w:t>＝控制的，</w:t>
            </w:r>
            <w:r>
              <w:rPr>
                <w:spacing w:val="2"/>
                <w:kern w:val="0"/>
                <w:sz w:val="18"/>
                <w:szCs w:val="18"/>
              </w:rPr>
              <w:t>3</w:t>
            </w:r>
            <w:r>
              <w:rPr>
                <w:rFonts w:hAnsi="宋体"/>
                <w:spacing w:val="2"/>
                <w:kern w:val="0"/>
                <w:sz w:val="18"/>
                <w:szCs w:val="18"/>
              </w:rPr>
              <w:t>＝推断的，</w:t>
            </w:r>
            <w:r>
              <w:rPr>
                <w:spacing w:val="2"/>
                <w:kern w:val="0"/>
                <w:sz w:val="18"/>
                <w:szCs w:val="18"/>
              </w:rPr>
              <w:t>4</w:t>
            </w:r>
            <w:r>
              <w:rPr>
                <w:rFonts w:hAnsi="宋体"/>
                <w:spacing w:val="2"/>
                <w:kern w:val="0"/>
                <w:sz w:val="18"/>
                <w:szCs w:val="18"/>
              </w:rPr>
              <w:t>＝预测的；</w:t>
            </w:r>
            <w:r>
              <w:rPr>
                <w:spacing w:val="2"/>
                <w:kern w:val="0"/>
                <w:sz w:val="18"/>
                <w:szCs w:val="18"/>
              </w:rPr>
              <w:t>b</w:t>
            </w:r>
            <w:r>
              <w:rPr>
                <w:rFonts w:hAnsi="宋体"/>
                <w:spacing w:val="2"/>
                <w:kern w:val="0"/>
                <w:sz w:val="18"/>
                <w:szCs w:val="18"/>
              </w:rPr>
              <w:t>＝未扣除设计、采矿损失的可采储量。</w:t>
            </w:r>
          </w:p>
        </w:tc>
      </w:tr>
    </w:tbl>
    <w:p>
      <w:pPr>
        <w:ind w:firstLine="360" w:firstLineChars="200"/>
        <w:rPr>
          <w:rFonts w:hint="eastAsia"/>
          <w:sz w:val="18"/>
          <w:szCs w:val="18"/>
        </w:rPr>
      </w:pPr>
      <w:r>
        <w:rPr>
          <w:rFonts w:hint="eastAsia" w:ascii="宋体" w:hAnsi="宋体" w:cs="黑体"/>
          <w:bCs/>
          <w:sz w:val="18"/>
          <w:szCs w:val="18"/>
        </w:rPr>
        <w:t>引自</w:t>
      </w:r>
      <w:r>
        <w:rPr>
          <w:sz w:val="18"/>
          <w:szCs w:val="18"/>
        </w:rPr>
        <w:t>GB/T 17766-1999</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napToGrid w:val="0"/>
        <w:jc w:val="center"/>
        <w:outlineLvl w:val="0"/>
        <w:rPr>
          <w:rFonts w:ascii="黑体" w:eastAsia="黑体"/>
          <w:kern w:val="0"/>
          <w:szCs w:val="21"/>
        </w:rPr>
      </w:pPr>
      <w:bookmarkStart w:id="62" w:name="_Toc488762345"/>
      <w:r>
        <w:br w:type="page"/>
      </w:r>
      <w:r>
        <w:rPr>
          <w:rFonts w:hint="eastAsia" w:ascii="黑体" w:eastAsia="黑体"/>
          <w:kern w:val="0"/>
          <w:szCs w:val="21"/>
        </w:rPr>
        <w:t>附  录  B</w:t>
      </w:r>
      <w:bookmarkEnd w:id="62"/>
    </w:p>
    <w:p>
      <w:pPr>
        <w:widowControl/>
        <w:snapToGrid w:val="0"/>
        <w:jc w:val="center"/>
        <w:outlineLvl w:val="0"/>
        <w:rPr>
          <w:rFonts w:hint="eastAsia" w:ascii="黑体" w:eastAsia="黑体"/>
          <w:kern w:val="0"/>
          <w:szCs w:val="21"/>
        </w:rPr>
      </w:pPr>
      <w:bookmarkStart w:id="63" w:name="_Toc488762346"/>
      <w:r>
        <w:rPr>
          <w:rFonts w:hint="eastAsia" w:ascii="黑体" w:eastAsia="黑体"/>
          <w:kern w:val="0"/>
          <w:szCs w:val="21"/>
        </w:rPr>
        <w:t>（资料性附录）</w:t>
      </w:r>
      <w:bookmarkEnd w:id="63"/>
    </w:p>
    <w:p>
      <w:pPr>
        <w:widowControl/>
        <w:snapToGrid w:val="0"/>
        <w:jc w:val="center"/>
        <w:outlineLvl w:val="0"/>
        <w:rPr>
          <w:rFonts w:ascii="黑体" w:eastAsia="黑体"/>
          <w:kern w:val="0"/>
          <w:szCs w:val="21"/>
        </w:rPr>
      </w:pPr>
    </w:p>
    <w:p>
      <w:pPr>
        <w:widowControl/>
        <w:snapToGrid w:val="0"/>
        <w:jc w:val="center"/>
        <w:outlineLvl w:val="0"/>
        <w:rPr>
          <w:rFonts w:ascii="黑体" w:eastAsia="黑体"/>
          <w:kern w:val="0"/>
          <w:szCs w:val="21"/>
        </w:rPr>
      </w:pPr>
      <w:bookmarkStart w:id="64" w:name="_Toc488762347"/>
      <w:r>
        <w:rPr>
          <w:rFonts w:hint="eastAsia" w:ascii="黑体" w:eastAsia="黑体"/>
          <w:kern w:val="0"/>
          <w:szCs w:val="21"/>
        </w:rPr>
        <w:t>勘查类型及勘查工程间距</w:t>
      </w:r>
      <w:bookmarkEnd w:id="64"/>
    </w:p>
    <w:p>
      <w:pPr>
        <w:spacing w:before="156" w:beforeLines="50" w:after="156" w:afterLines="50" w:line="320" w:lineRule="exact"/>
        <w:rPr>
          <w:rFonts w:eastAsia="黑体"/>
        </w:rPr>
      </w:pPr>
      <w:r>
        <w:rPr>
          <w:rFonts w:eastAsia="黑体"/>
        </w:rPr>
        <w:t xml:space="preserve">B.1  </w:t>
      </w:r>
      <w:r>
        <w:rPr>
          <w:rFonts w:hAnsi="黑体" w:eastAsia="黑体"/>
        </w:rPr>
        <w:t>勘查类型划分</w:t>
      </w:r>
    </w:p>
    <w:p>
      <w:pPr>
        <w:snapToGrid w:val="0"/>
        <w:spacing w:line="320" w:lineRule="exact"/>
        <w:jc w:val="left"/>
        <w:rPr>
          <w:kern w:val="0"/>
          <w:szCs w:val="21"/>
        </w:rPr>
      </w:pPr>
      <w:r>
        <w:rPr>
          <w:rFonts w:eastAsia="黑体"/>
          <w:bCs/>
          <w:szCs w:val="21"/>
        </w:rPr>
        <w:t>B.1.1</w:t>
      </w:r>
      <w:r>
        <w:rPr>
          <w:rFonts w:eastAsia="黑体"/>
          <w:sz w:val="30"/>
          <w:szCs w:val="30"/>
        </w:rPr>
        <w:t xml:space="preserve"> </w:t>
      </w:r>
      <w:r>
        <w:rPr>
          <w:rFonts w:eastAsia="仿宋_GB2312"/>
          <w:sz w:val="30"/>
          <w:szCs w:val="30"/>
        </w:rPr>
        <w:t xml:space="preserve"> </w:t>
      </w:r>
      <w:r>
        <w:rPr>
          <w:rFonts w:hAnsi="宋体"/>
          <w:kern w:val="0"/>
          <w:szCs w:val="21"/>
        </w:rPr>
        <w:t>主要</w:t>
      </w:r>
      <w:r>
        <w:rPr>
          <w:rFonts w:hAnsi="宋体"/>
          <w:szCs w:val="21"/>
        </w:rPr>
        <w:t>矿体</w:t>
      </w:r>
      <w:r>
        <w:rPr>
          <w:rFonts w:hAnsi="宋体"/>
          <w:kern w:val="0"/>
          <w:szCs w:val="21"/>
        </w:rPr>
        <w:t>规模</w:t>
      </w:r>
    </w:p>
    <w:p>
      <w:pPr>
        <w:snapToGrid w:val="0"/>
        <w:spacing w:line="320" w:lineRule="exact"/>
        <w:ind w:firstLine="420" w:firstLineChars="200"/>
        <w:rPr>
          <w:kern w:val="0"/>
          <w:szCs w:val="21"/>
        </w:rPr>
      </w:pPr>
      <w:r>
        <w:rPr>
          <w:kern w:val="0"/>
          <w:szCs w:val="21"/>
        </w:rPr>
        <w:t>a</w:t>
      </w:r>
      <w:r>
        <w:rPr>
          <w:rFonts w:hAnsi="宋体"/>
          <w:kern w:val="0"/>
          <w:szCs w:val="21"/>
        </w:rPr>
        <w:t>）</w:t>
      </w:r>
      <w:r>
        <w:rPr>
          <w:kern w:val="0"/>
          <w:szCs w:val="21"/>
        </w:rPr>
        <w:t xml:space="preserve"> </w:t>
      </w:r>
      <w:r>
        <w:rPr>
          <w:rFonts w:hAnsi="宋体"/>
          <w:kern w:val="0"/>
          <w:szCs w:val="21"/>
        </w:rPr>
        <w:t>大型：沿走向</w:t>
      </w:r>
      <w:r>
        <w:rPr>
          <w:kern w:val="0"/>
          <w:szCs w:val="21"/>
        </w:rPr>
        <w:t>大于1000m，倾向延伸大于500m。</w:t>
      </w:r>
    </w:p>
    <w:p>
      <w:pPr>
        <w:snapToGrid w:val="0"/>
        <w:spacing w:line="320" w:lineRule="exact"/>
        <w:ind w:firstLine="420" w:firstLineChars="200"/>
        <w:rPr>
          <w:kern w:val="0"/>
          <w:szCs w:val="21"/>
        </w:rPr>
      </w:pPr>
      <w:r>
        <w:rPr>
          <w:szCs w:val="21"/>
        </w:rPr>
        <w:t>b</w:t>
      </w:r>
      <w:r>
        <w:rPr>
          <w:kern w:val="0"/>
          <w:szCs w:val="21"/>
        </w:rPr>
        <w:t xml:space="preserve">） </w:t>
      </w:r>
      <w:r>
        <w:rPr>
          <w:szCs w:val="21"/>
        </w:rPr>
        <w:t>中</w:t>
      </w:r>
      <w:r>
        <w:rPr>
          <w:kern w:val="0"/>
          <w:szCs w:val="21"/>
        </w:rPr>
        <w:t>型：沿走向</w:t>
      </w:r>
      <w:r>
        <w:rPr>
          <w:szCs w:val="21"/>
        </w:rPr>
        <w:t>500</w:t>
      </w:r>
      <w:r>
        <w:rPr>
          <w:kern w:val="0"/>
          <w:szCs w:val="21"/>
        </w:rPr>
        <w:t>m~1000</w:t>
      </w:r>
      <w:r>
        <w:rPr>
          <w:szCs w:val="21"/>
        </w:rPr>
        <w:t>m</w:t>
      </w:r>
      <w:r>
        <w:rPr>
          <w:kern w:val="0"/>
          <w:szCs w:val="21"/>
        </w:rPr>
        <w:t>，倾向延伸200m~500m。</w:t>
      </w:r>
    </w:p>
    <w:p>
      <w:pPr>
        <w:snapToGrid w:val="0"/>
        <w:spacing w:line="320" w:lineRule="exact"/>
        <w:ind w:firstLine="420" w:firstLineChars="200"/>
        <w:rPr>
          <w:kern w:val="0"/>
          <w:szCs w:val="21"/>
        </w:rPr>
      </w:pPr>
      <w:r>
        <w:rPr>
          <w:kern w:val="0"/>
          <w:szCs w:val="21"/>
        </w:rPr>
        <w:t xml:space="preserve">c） 小型：沿走向小于500m，倾向延伸小于200m。     </w:t>
      </w:r>
    </w:p>
    <w:p>
      <w:pPr>
        <w:snapToGrid w:val="0"/>
        <w:spacing w:line="320" w:lineRule="exact"/>
        <w:jc w:val="left"/>
        <w:rPr>
          <w:szCs w:val="21"/>
        </w:rPr>
      </w:pPr>
      <w:r>
        <w:rPr>
          <w:bCs/>
          <w:szCs w:val="21"/>
        </w:rPr>
        <w:t>B.1.2</w:t>
      </w:r>
      <w:r>
        <w:rPr>
          <w:b/>
          <w:bCs/>
          <w:szCs w:val="21"/>
        </w:rPr>
        <w:t xml:space="preserve">  </w:t>
      </w:r>
      <w:r>
        <w:rPr>
          <w:b/>
          <w:bCs/>
        </w:rPr>
        <w:t xml:space="preserve"> </w:t>
      </w:r>
      <w:r>
        <w:rPr>
          <w:szCs w:val="21"/>
        </w:rPr>
        <w:t>矿体内部复杂程度</w:t>
      </w:r>
    </w:p>
    <w:p>
      <w:pPr>
        <w:tabs>
          <w:tab w:val="left" w:pos="3990"/>
        </w:tabs>
        <w:snapToGrid w:val="0"/>
        <w:spacing w:line="320" w:lineRule="exact"/>
        <w:ind w:firstLine="420" w:firstLineChars="200"/>
        <w:jc w:val="left"/>
        <w:rPr>
          <w:szCs w:val="21"/>
        </w:rPr>
      </w:pPr>
      <w:r>
        <w:rPr>
          <w:kern w:val="0"/>
          <w:szCs w:val="21"/>
        </w:rPr>
        <w:t>a） 简单</w:t>
      </w:r>
      <w:r>
        <w:rPr>
          <w:szCs w:val="21"/>
        </w:rPr>
        <w:t>：矿石质量变化均匀</w:t>
      </w:r>
      <w:r>
        <w:rPr>
          <w:kern w:val="0"/>
          <w:szCs w:val="21"/>
        </w:rPr>
        <w:t>，</w:t>
      </w:r>
      <w:r>
        <w:rPr>
          <w:szCs w:val="21"/>
        </w:rPr>
        <w:t>无或有极少量不连续夹石；</w:t>
      </w:r>
    </w:p>
    <w:p>
      <w:pPr>
        <w:tabs>
          <w:tab w:val="left" w:pos="3990"/>
        </w:tabs>
        <w:snapToGrid w:val="0"/>
        <w:spacing w:line="320" w:lineRule="exact"/>
        <w:ind w:firstLine="420" w:firstLineChars="200"/>
        <w:jc w:val="left"/>
        <w:rPr>
          <w:szCs w:val="21"/>
        </w:rPr>
      </w:pPr>
      <w:r>
        <w:rPr>
          <w:szCs w:val="21"/>
        </w:rPr>
        <w:t>b</w:t>
      </w:r>
      <w:r>
        <w:rPr>
          <w:kern w:val="0"/>
          <w:szCs w:val="21"/>
        </w:rPr>
        <w:t>） 中等</w:t>
      </w:r>
      <w:r>
        <w:rPr>
          <w:szCs w:val="21"/>
        </w:rPr>
        <w:t>：矿石质量变化较均匀，有少量不连续夹石；</w:t>
      </w:r>
    </w:p>
    <w:p>
      <w:pPr>
        <w:tabs>
          <w:tab w:val="left" w:pos="3990"/>
        </w:tabs>
        <w:snapToGrid w:val="0"/>
        <w:spacing w:line="320" w:lineRule="exact"/>
        <w:ind w:firstLine="420" w:firstLineChars="200"/>
        <w:jc w:val="left"/>
        <w:rPr>
          <w:szCs w:val="21"/>
        </w:rPr>
      </w:pPr>
      <w:r>
        <w:rPr>
          <w:kern w:val="0"/>
          <w:szCs w:val="21"/>
        </w:rPr>
        <w:t>c） 复杂</w:t>
      </w:r>
      <w:r>
        <w:rPr>
          <w:szCs w:val="21"/>
        </w:rPr>
        <w:t>：矿石质量变化不均匀，有较多不连续夹石。</w:t>
      </w:r>
    </w:p>
    <w:p>
      <w:pPr>
        <w:snapToGrid w:val="0"/>
        <w:spacing w:line="320" w:lineRule="exact"/>
        <w:jc w:val="left"/>
        <w:rPr>
          <w:bCs/>
          <w:szCs w:val="21"/>
        </w:rPr>
      </w:pPr>
      <w:r>
        <w:rPr>
          <w:bCs/>
          <w:szCs w:val="21"/>
        </w:rPr>
        <w:t>B.1.3</w:t>
      </w:r>
      <w:r>
        <w:rPr>
          <w:b/>
          <w:bCs/>
          <w:szCs w:val="21"/>
        </w:rPr>
        <w:t xml:space="preserve">  </w:t>
      </w:r>
      <w:r>
        <w:rPr>
          <w:b/>
          <w:bCs/>
          <w:sz w:val="30"/>
          <w:szCs w:val="30"/>
        </w:rPr>
        <w:t xml:space="preserve"> </w:t>
      </w:r>
      <w:r>
        <w:rPr>
          <w:bCs/>
          <w:szCs w:val="21"/>
        </w:rPr>
        <w:t>矿体厚度稳定性</w:t>
      </w:r>
    </w:p>
    <w:p>
      <w:pPr>
        <w:snapToGrid w:val="0"/>
        <w:spacing w:line="320" w:lineRule="exact"/>
        <w:ind w:firstLine="420" w:firstLineChars="200"/>
        <w:rPr>
          <w:szCs w:val="21"/>
        </w:rPr>
      </w:pPr>
      <w:r>
        <w:rPr>
          <w:kern w:val="0"/>
          <w:szCs w:val="21"/>
        </w:rPr>
        <w:t xml:space="preserve">a） </w:t>
      </w:r>
      <w:r>
        <w:rPr>
          <w:szCs w:val="21"/>
        </w:rPr>
        <w:t>稳定：厚度变化小或变化有规律，厚度变化系数＜40%；</w:t>
      </w:r>
    </w:p>
    <w:p>
      <w:pPr>
        <w:snapToGrid w:val="0"/>
        <w:spacing w:line="320" w:lineRule="exact"/>
        <w:ind w:firstLine="420" w:firstLineChars="200"/>
        <w:rPr>
          <w:szCs w:val="21"/>
        </w:rPr>
      </w:pPr>
      <w:r>
        <w:rPr>
          <w:szCs w:val="21"/>
        </w:rPr>
        <w:t>b</w:t>
      </w:r>
      <w:r>
        <w:rPr>
          <w:kern w:val="0"/>
          <w:szCs w:val="21"/>
        </w:rPr>
        <w:t xml:space="preserve">） </w:t>
      </w:r>
      <w:r>
        <w:rPr>
          <w:szCs w:val="21"/>
        </w:rPr>
        <w:t>较稳定：厚度总体变化不大，局部变化较大，厚度变化系数40%</w:t>
      </w:r>
      <w:r>
        <w:rPr>
          <w:kern w:val="0"/>
          <w:szCs w:val="21"/>
        </w:rPr>
        <w:t>~</w:t>
      </w:r>
      <w:r>
        <w:rPr>
          <w:szCs w:val="21"/>
        </w:rPr>
        <w:t>70%；</w:t>
      </w:r>
    </w:p>
    <w:p>
      <w:pPr>
        <w:snapToGrid w:val="0"/>
        <w:spacing w:line="320" w:lineRule="exact"/>
        <w:ind w:firstLine="420" w:firstLineChars="200"/>
        <w:rPr>
          <w:sz w:val="30"/>
          <w:szCs w:val="30"/>
        </w:rPr>
      </w:pPr>
      <w:r>
        <w:rPr>
          <w:kern w:val="0"/>
          <w:szCs w:val="21"/>
        </w:rPr>
        <w:t xml:space="preserve">c） </w:t>
      </w:r>
      <w:r>
        <w:rPr>
          <w:szCs w:val="21"/>
        </w:rPr>
        <w:t>不稳定：厚度变化大，变化无规律，厚度变化系数＞70%。</w:t>
      </w:r>
    </w:p>
    <w:p>
      <w:pPr>
        <w:snapToGrid w:val="0"/>
        <w:spacing w:line="320" w:lineRule="exact"/>
        <w:rPr>
          <w:szCs w:val="21"/>
        </w:rPr>
      </w:pPr>
      <w:r>
        <w:rPr>
          <w:bCs/>
          <w:szCs w:val="21"/>
        </w:rPr>
        <w:t xml:space="preserve">B.1.4 </w:t>
      </w:r>
      <w:r>
        <w:rPr>
          <w:b/>
          <w:bCs/>
          <w:szCs w:val="21"/>
        </w:rPr>
        <w:t xml:space="preserve"> </w:t>
      </w:r>
      <w:r>
        <w:rPr>
          <w:kern w:val="0"/>
          <w:szCs w:val="21"/>
        </w:rPr>
        <w:t xml:space="preserve"> </w:t>
      </w:r>
      <w:r>
        <w:rPr>
          <w:szCs w:val="21"/>
        </w:rPr>
        <w:t>矿体</w:t>
      </w:r>
      <w:r>
        <w:rPr>
          <w:kern w:val="0"/>
          <w:szCs w:val="21"/>
        </w:rPr>
        <w:t>破坏程度</w:t>
      </w:r>
    </w:p>
    <w:p>
      <w:pPr>
        <w:snapToGrid w:val="0"/>
        <w:spacing w:line="320" w:lineRule="exact"/>
        <w:ind w:left="840" w:leftChars="200" w:hanging="420" w:hangingChars="200"/>
        <w:jc w:val="left"/>
        <w:rPr>
          <w:kern w:val="0"/>
          <w:szCs w:val="21"/>
        </w:rPr>
      </w:pPr>
      <w:r>
        <w:rPr>
          <w:kern w:val="0"/>
          <w:szCs w:val="21"/>
        </w:rPr>
        <w:t xml:space="preserve">a） </w:t>
      </w:r>
      <w:r>
        <w:rPr>
          <w:szCs w:val="21"/>
        </w:rPr>
        <w:t>轻微：矿体呈单斜或开阔的向、背斜产出，断裂</w:t>
      </w:r>
      <w:r>
        <w:rPr>
          <w:kern w:val="0"/>
          <w:szCs w:val="21"/>
        </w:rPr>
        <w:t>和岩浆岩</w:t>
      </w:r>
      <w:r>
        <w:rPr>
          <w:rFonts w:hAnsi="宋体"/>
          <w:kern w:val="0"/>
          <w:szCs w:val="21"/>
        </w:rPr>
        <w:t>不发育，矿体未受到影响和破坏，或只受到轻微影响和破坏。</w:t>
      </w:r>
    </w:p>
    <w:p>
      <w:pPr>
        <w:snapToGrid w:val="0"/>
        <w:spacing w:line="320" w:lineRule="exact"/>
        <w:ind w:firstLine="420" w:firstLineChars="200"/>
        <w:jc w:val="left"/>
        <w:rPr>
          <w:kern w:val="0"/>
          <w:szCs w:val="21"/>
        </w:rPr>
      </w:pPr>
      <w:r>
        <w:rPr>
          <w:szCs w:val="21"/>
        </w:rPr>
        <w:t>b</w:t>
      </w:r>
      <w:r>
        <w:rPr>
          <w:rFonts w:hAnsi="宋体"/>
          <w:kern w:val="0"/>
          <w:szCs w:val="21"/>
        </w:rPr>
        <w:t>）</w:t>
      </w:r>
      <w:r>
        <w:rPr>
          <w:kern w:val="0"/>
          <w:szCs w:val="21"/>
        </w:rPr>
        <w:t xml:space="preserve"> </w:t>
      </w:r>
      <w:r>
        <w:rPr>
          <w:rFonts w:hAnsi="宋体"/>
          <w:kern w:val="0"/>
          <w:szCs w:val="21"/>
        </w:rPr>
        <w:t>中等：</w:t>
      </w:r>
      <w:r>
        <w:rPr>
          <w:rFonts w:hAnsi="宋体"/>
          <w:szCs w:val="21"/>
        </w:rPr>
        <w:t>矿体局部受较紧密的褶曲影响，断裂</w:t>
      </w:r>
      <w:r>
        <w:rPr>
          <w:rFonts w:hAnsi="宋体"/>
          <w:kern w:val="0"/>
          <w:szCs w:val="21"/>
        </w:rPr>
        <w:t>和岩浆岩较发育，矿体受到一定破坏。</w:t>
      </w:r>
    </w:p>
    <w:p>
      <w:pPr>
        <w:snapToGrid w:val="0"/>
        <w:spacing w:line="320" w:lineRule="exact"/>
        <w:ind w:firstLine="420" w:firstLineChars="200"/>
        <w:jc w:val="left"/>
        <w:rPr>
          <w:kern w:val="0"/>
          <w:szCs w:val="21"/>
        </w:rPr>
      </w:pPr>
      <w:r>
        <w:rPr>
          <w:kern w:val="0"/>
          <w:szCs w:val="21"/>
        </w:rPr>
        <w:t>c</w:t>
      </w:r>
      <w:r>
        <w:rPr>
          <w:rFonts w:hAnsi="宋体"/>
          <w:kern w:val="0"/>
          <w:szCs w:val="21"/>
        </w:rPr>
        <w:t>）</w:t>
      </w:r>
      <w:r>
        <w:rPr>
          <w:kern w:val="0"/>
          <w:szCs w:val="21"/>
        </w:rPr>
        <w:t xml:space="preserve"> </w:t>
      </w:r>
      <w:r>
        <w:rPr>
          <w:rFonts w:hAnsi="宋体"/>
          <w:kern w:val="0"/>
          <w:szCs w:val="21"/>
        </w:rPr>
        <w:t>严重：</w:t>
      </w:r>
      <w:r>
        <w:rPr>
          <w:rFonts w:hAnsi="宋体"/>
          <w:szCs w:val="21"/>
        </w:rPr>
        <w:t>矿体褶曲紧密复杂，断裂</w:t>
      </w:r>
      <w:r>
        <w:rPr>
          <w:rFonts w:hAnsi="宋体"/>
          <w:kern w:val="0"/>
          <w:szCs w:val="21"/>
        </w:rPr>
        <w:t>和岩浆岩发育，矿体受到强烈破坏。</w:t>
      </w:r>
    </w:p>
    <w:p>
      <w:pPr>
        <w:spacing w:before="156" w:beforeLines="50" w:after="156" w:afterLines="50" w:line="320" w:lineRule="exact"/>
        <w:rPr>
          <w:rFonts w:eastAsia="黑体"/>
        </w:rPr>
      </w:pPr>
      <w:r>
        <w:rPr>
          <w:rFonts w:eastAsia="黑体"/>
        </w:rPr>
        <w:t xml:space="preserve"> B.2  </w:t>
      </w:r>
      <w:r>
        <w:rPr>
          <w:rFonts w:hAnsi="黑体" w:eastAsia="黑体"/>
        </w:rPr>
        <w:t>勘查类型见表</w:t>
      </w:r>
      <w:r>
        <w:rPr>
          <w:rFonts w:eastAsia="黑体"/>
        </w:rPr>
        <w:t>B.1</w:t>
      </w:r>
    </w:p>
    <w:p>
      <w:pPr>
        <w:widowControl/>
        <w:snapToGrid w:val="0"/>
        <w:jc w:val="center"/>
        <w:outlineLvl w:val="0"/>
        <w:rPr>
          <w:rFonts w:eastAsia="黑体"/>
        </w:rPr>
      </w:pPr>
      <w:bookmarkStart w:id="65" w:name="_Toc488762348"/>
      <w:r>
        <w:rPr>
          <w:rFonts w:eastAsia="黑体"/>
        </w:rPr>
        <w:t>表B.1   勘查类型</w:t>
      </w:r>
      <w:bookmarkEnd w:id="65"/>
    </w:p>
    <w:tbl>
      <w:tblPr>
        <w:tblStyle w:val="12"/>
        <w:tblW w:w="872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3"/>
        <w:gridCol w:w="1372"/>
        <w:gridCol w:w="2058"/>
        <w:gridCol w:w="2227"/>
        <w:gridCol w:w="1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213" w:type="dxa"/>
            <w:tcBorders>
              <w:left w:val="single" w:color="auto" w:sz="4" w:space="0"/>
            </w:tcBorders>
            <w:vAlign w:val="center"/>
          </w:tcPr>
          <w:p>
            <w:pPr>
              <w:snapToGrid w:val="0"/>
              <w:jc w:val="center"/>
              <w:rPr>
                <w:rFonts w:ascii="宋体" w:hAnsi="宋体" w:cs="仿宋_GB2312"/>
                <w:sz w:val="18"/>
                <w:szCs w:val="18"/>
              </w:rPr>
            </w:pPr>
            <w:r>
              <w:rPr>
                <w:rFonts w:hint="eastAsia" w:ascii="宋体" w:hAnsi="宋体" w:cs="仿宋_GB2312"/>
                <w:sz w:val="18"/>
                <w:szCs w:val="18"/>
              </w:rPr>
              <w:t>勘查类型</w:t>
            </w:r>
          </w:p>
        </w:tc>
        <w:tc>
          <w:tcPr>
            <w:tcW w:w="1372" w:type="dxa"/>
            <w:tcBorders>
              <w:right w:val="single" w:color="auto" w:sz="4" w:space="0"/>
            </w:tcBorders>
            <w:vAlign w:val="center"/>
          </w:tcPr>
          <w:p>
            <w:pPr>
              <w:snapToGrid w:val="0"/>
              <w:jc w:val="center"/>
              <w:rPr>
                <w:rFonts w:ascii="宋体" w:hAnsi="宋体" w:cs="仿宋_GB2312"/>
                <w:sz w:val="18"/>
                <w:szCs w:val="18"/>
              </w:rPr>
            </w:pPr>
            <w:r>
              <w:rPr>
                <w:rFonts w:hint="eastAsia" w:ascii="宋体" w:hAnsi="宋体" w:cs="仿宋_GB2312"/>
                <w:sz w:val="18"/>
                <w:szCs w:val="18"/>
              </w:rPr>
              <w:t>主要矿体</w:t>
            </w:r>
            <w:r>
              <w:rPr>
                <w:rFonts w:hint="eastAsia" w:ascii="宋体" w:hAnsi="宋体" w:cs="宋体"/>
                <w:kern w:val="0"/>
                <w:sz w:val="18"/>
                <w:szCs w:val="18"/>
              </w:rPr>
              <w:t>规模</w:t>
            </w:r>
          </w:p>
        </w:tc>
        <w:tc>
          <w:tcPr>
            <w:tcW w:w="2058" w:type="dxa"/>
            <w:tcBorders>
              <w:left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cs="仿宋_GB2312"/>
                <w:sz w:val="18"/>
                <w:szCs w:val="18"/>
              </w:rPr>
              <w:t>矿体</w:t>
            </w:r>
            <w:r>
              <w:rPr>
                <w:rFonts w:hint="eastAsia" w:ascii="宋体" w:hAnsi="宋体"/>
                <w:sz w:val="18"/>
                <w:szCs w:val="18"/>
              </w:rPr>
              <w:t>内部复杂程度</w:t>
            </w:r>
          </w:p>
        </w:tc>
        <w:tc>
          <w:tcPr>
            <w:tcW w:w="2227" w:type="dxa"/>
            <w:tcBorders>
              <w:left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cs="宋体"/>
                <w:kern w:val="0"/>
                <w:sz w:val="18"/>
                <w:szCs w:val="18"/>
              </w:rPr>
              <w:t>矿体厚度</w:t>
            </w:r>
            <w:r>
              <w:rPr>
                <w:rFonts w:hint="eastAsia" w:ascii="宋体" w:hAnsi="宋体" w:cs="仿宋_GB2312"/>
                <w:bCs/>
                <w:sz w:val="18"/>
                <w:szCs w:val="18"/>
              </w:rPr>
              <w:t>稳定性</w:t>
            </w:r>
          </w:p>
        </w:tc>
        <w:tc>
          <w:tcPr>
            <w:tcW w:w="1851" w:type="dxa"/>
            <w:tcBorders>
              <w:left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sz w:val="18"/>
                <w:szCs w:val="18"/>
              </w:rPr>
              <w:t>矿体破坏程度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213" w:type="dxa"/>
            <w:tcBorders>
              <w:left w:val="single" w:color="auto" w:sz="4" w:space="0"/>
            </w:tcBorders>
            <w:vAlign w:val="center"/>
          </w:tcPr>
          <w:p>
            <w:pPr>
              <w:snapToGrid w:val="0"/>
              <w:jc w:val="center"/>
              <w:rPr>
                <w:rFonts w:ascii="宋体" w:hAnsi="宋体"/>
                <w:color w:val="0D0D0D"/>
                <w:sz w:val="18"/>
                <w:szCs w:val="18"/>
              </w:rPr>
            </w:pPr>
            <w:r>
              <w:rPr>
                <w:rFonts w:hint="eastAsia" w:ascii="宋体" w:hAnsi="宋体"/>
                <w:color w:val="0D0D0D"/>
                <w:sz w:val="18"/>
                <w:szCs w:val="18"/>
              </w:rPr>
              <w:t>Ⅰ</w:t>
            </w:r>
          </w:p>
        </w:tc>
        <w:tc>
          <w:tcPr>
            <w:tcW w:w="1372" w:type="dxa"/>
            <w:vAlign w:val="center"/>
          </w:tcPr>
          <w:p>
            <w:pPr>
              <w:snapToGrid w:val="0"/>
              <w:jc w:val="center"/>
              <w:rPr>
                <w:rFonts w:ascii="宋体" w:hAnsi="宋体" w:cs="仿宋_GB2312"/>
                <w:sz w:val="18"/>
                <w:szCs w:val="18"/>
              </w:rPr>
            </w:pPr>
            <w:r>
              <w:rPr>
                <w:rFonts w:hint="eastAsia" w:ascii="宋体" w:hAnsi="宋体" w:cs="宋体"/>
                <w:kern w:val="0"/>
                <w:sz w:val="18"/>
                <w:szCs w:val="18"/>
              </w:rPr>
              <w:t>大-</w:t>
            </w:r>
            <w:r>
              <w:rPr>
                <w:rFonts w:hint="eastAsia" w:ascii="宋体" w:hAnsi="宋体" w:cs="仿宋_GB2312"/>
                <w:sz w:val="18"/>
                <w:szCs w:val="18"/>
              </w:rPr>
              <w:t>中</w:t>
            </w:r>
            <w:r>
              <w:rPr>
                <w:rFonts w:hint="eastAsia" w:ascii="宋体" w:hAnsi="宋体" w:cs="宋体"/>
                <w:kern w:val="0"/>
                <w:sz w:val="18"/>
                <w:szCs w:val="18"/>
              </w:rPr>
              <w:t>型</w:t>
            </w:r>
          </w:p>
        </w:tc>
        <w:tc>
          <w:tcPr>
            <w:tcW w:w="2058" w:type="dxa"/>
            <w:vAlign w:val="center"/>
          </w:tcPr>
          <w:p>
            <w:pPr>
              <w:snapToGrid w:val="0"/>
              <w:jc w:val="center"/>
              <w:rPr>
                <w:rFonts w:ascii="宋体" w:hAnsi="宋体" w:cs="仿宋_GB2312"/>
                <w:sz w:val="18"/>
                <w:szCs w:val="18"/>
              </w:rPr>
            </w:pPr>
            <w:r>
              <w:rPr>
                <w:rFonts w:hint="eastAsia" w:ascii="宋体" w:hAnsi="宋体" w:cs="宋体"/>
                <w:kern w:val="0"/>
                <w:sz w:val="18"/>
                <w:szCs w:val="18"/>
              </w:rPr>
              <w:t>简单</w:t>
            </w:r>
          </w:p>
        </w:tc>
        <w:tc>
          <w:tcPr>
            <w:tcW w:w="2227" w:type="dxa"/>
            <w:tcBorders>
              <w:top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sz w:val="18"/>
                <w:szCs w:val="18"/>
              </w:rPr>
              <w:t>稳定</w:t>
            </w:r>
          </w:p>
        </w:tc>
        <w:tc>
          <w:tcPr>
            <w:tcW w:w="1851" w:type="dxa"/>
            <w:tcBorders>
              <w:top w:val="single" w:color="auto" w:sz="4" w:space="0"/>
              <w:left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cs="宋体"/>
                <w:kern w:val="0"/>
                <w:sz w:val="18"/>
                <w:szCs w:val="18"/>
              </w:rPr>
              <w:t>轻微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213" w:type="dxa"/>
            <w:tcBorders>
              <w:left w:val="single" w:color="auto" w:sz="4" w:space="0"/>
            </w:tcBorders>
            <w:vAlign w:val="center"/>
          </w:tcPr>
          <w:p>
            <w:pPr>
              <w:snapToGrid w:val="0"/>
              <w:jc w:val="center"/>
              <w:rPr>
                <w:rFonts w:ascii="宋体" w:hAnsi="宋体"/>
                <w:color w:val="0D0D0D"/>
                <w:sz w:val="18"/>
                <w:szCs w:val="18"/>
              </w:rPr>
            </w:pPr>
            <w:r>
              <w:rPr>
                <w:rFonts w:hint="eastAsia" w:ascii="宋体" w:hAnsi="宋体"/>
                <w:color w:val="0D0D0D"/>
                <w:sz w:val="18"/>
                <w:szCs w:val="18"/>
              </w:rPr>
              <w:t>Ⅱ</w:t>
            </w:r>
          </w:p>
        </w:tc>
        <w:tc>
          <w:tcPr>
            <w:tcW w:w="1372" w:type="dxa"/>
            <w:vAlign w:val="center"/>
          </w:tcPr>
          <w:p>
            <w:pPr>
              <w:snapToGrid w:val="0"/>
              <w:jc w:val="center"/>
              <w:rPr>
                <w:rFonts w:ascii="宋体" w:hAnsi="宋体" w:cs="仿宋_GB2312"/>
                <w:sz w:val="18"/>
                <w:szCs w:val="18"/>
              </w:rPr>
            </w:pPr>
            <w:r>
              <w:rPr>
                <w:rFonts w:hint="eastAsia" w:ascii="宋体" w:hAnsi="宋体" w:cs="仿宋_GB2312"/>
                <w:sz w:val="18"/>
                <w:szCs w:val="18"/>
              </w:rPr>
              <w:t>中</w:t>
            </w:r>
            <w:r>
              <w:rPr>
                <w:rFonts w:hint="eastAsia" w:ascii="宋体" w:hAnsi="宋体" w:cs="宋体"/>
                <w:kern w:val="0"/>
                <w:sz w:val="18"/>
                <w:szCs w:val="18"/>
              </w:rPr>
              <w:t>-小型</w:t>
            </w:r>
          </w:p>
        </w:tc>
        <w:tc>
          <w:tcPr>
            <w:tcW w:w="2058" w:type="dxa"/>
            <w:vAlign w:val="center"/>
          </w:tcPr>
          <w:p>
            <w:pPr>
              <w:snapToGrid w:val="0"/>
              <w:jc w:val="center"/>
              <w:rPr>
                <w:rFonts w:ascii="宋体" w:hAnsi="宋体" w:cs="仿宋_GB2312"/>
                <w:sz w:val="18"/>
                <w:szCs w:val="18"/>
              </w:rPr>
            </w:pPr>
            <w:r>
              <w:rPr>
                <w:rFonts w:hint="eastAsia" w:ascii="宋体" w:hAnsi="宋体" w:cs="宋体"/>
                <w:kern w:val="0"/>
                <w:sz w:val="18"/>
                <w:szCs w:val="18"/>
              </w:rPr>
              <w:t>简单-中等</w:t>
            </w:r>
          </w:p>
        </w:tc>
        <w:tc>
          <w:tcPr>
            <w:tcW w:w="2227" w:type="dxa"/>
            <w:tcBorders>
              <w:top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sz w:val="18"/>
                <w:szCs w:val="18"/>
              </w:rPr>
              <w:t>较稳定</w:t>
            </w:r>
          </w:p>
        </w:tc>
        <w:tc>
          <w:tcPr>
            <w:tcW w:w="1851" w:type="dxa"/>
            <w:tcBorders>
              <w:top w:val="single" w:color="auto" w:sz="4" w:space="0"/>
              <w:left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cs="宋体"/>
                <w:kern w:val="0"/>
                <w:sz w:val="18"/>
                <w:szCs w:val="18"/>
              </w:rPr>
              <w:t>中等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213" w:type="dxa"/>
            <w:tcBorders>
              <w:left w:val="single" w:color="auto" w:sz="4" w:space="0"/>
            </w:tcBorders>
            <w:vAlign w:val="center"/>
          </w:tcPr>
          <w:p>
            <w:pPr>
              <w:snapToGrid w:val="0"/>
              <w:jc w:val="center"/>
              <w:rPr>
                <w:rFonts w:ascii="宋体" w:hAnsi="宋体"/>
                <w:color w:val="0D0D0D"/>
                <w:sz w:val="18"/>
                <w:szCs w:val="18"/>
              </w:rPr>
            </w:pPr>
            <w:r>
              <w:rPr>
                <w:rFonts w:hint="eastAsia" w:ascii="宋体" w:hAnsi="宋体"/>
                <w:color w:val="0D0D0D"/>
                <w:sz w:val="18"/>
                <w:szCs w:val="18"/>
              </w:rPr>
              <w:t>Ⅲ</w:t>
            </w:r>
          </w:p>
        </w:tc>
        <w:tc>
          <w:tcPr>
            <w:tcW w:w="1372" w:type="dxa"/>
            <w:vAlign w:val="center"/>
          </w:tcPr>
          <w:p>
            <w:pPr>
              <w:snapToGrid w:val="0"/>
              <w:jc w:val="center"/>
              <w:rPr>
                <w:rFonts w:ascii="宋体" w:hAnsi="宋体" w:cs="仿宋_GB2312"/>
                <w:sz w:val="18"/>
                <w:szCs w:val="18"/>
              </w:rPr>
            </w:pPr>
            <w:r>
              <w:rPr>
                <w:rFonts w:hint="eastAsia" w:ascii="宋体" w:hAnsi="宋体" w:cs="宋体"/>
                <w:kern w:val="0"/>
                <w:sz w:val="18"/>
                <w:szCs w:val="18"/>
              </w:rPr>
              <w:t>小型</w:t>
            </w:r>
          </w:p>
        </w:tc>
        <w:tc>
          <w:tcPr>
            <w:tcW w:w="2058" w:type="dxa"/>
            <w:vAlign w:val="center"/>
          </w:tcPr>
          <w:p>
            <w:pPr>
              <w:snapToGrid w:val="0"/>
              <w:jc w:val="center"/>
              <w:rPr>
                <w:rFonts w:ascii="宋体" w:hAnsi="宋体" w:cs="仿宋_GB2312"/>
                <w:sz w:val="18"/>
                <w:szCs w:val="18"/>
              </w:rPr>
            </w:pPr>
            <w:r>
              <w:rPr>
                <w:rFonts w:hint="eastAsia" w:ascii="宋体" w:hAnsi="宋体" w:cs="宋体"/>
                <w:kern w:val="0"/>
                <w:sz w:val="18"/>
                <w:szCs w:val="18"/>
              </w:rPr>
              <w:t>复杂</w:t>
            </w:r>
          </w:p>
        </w:tc>
        <w:tc>
          <w:tcPr>
            <w:tcW w:w="2227" w:type="dxa"/>
            <w:tcBorders>
              <w:top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sz w:val="18"/>
                <w:szCs w:val="18"/>
              </w:rPr>
              <w:t>不稳定</w:t>
            </w:r>
          </w:p>
        </w:tc>
        <w:tc>
          <w:tcPr>
            <w:tcW w:w="1851" w:type="dxa"/>
            <w:tcBorders>
              <w:top w:val="single" w:color="auto" w:sz="4" w:space="0"/>
              <w:left w:val="single" w:color="auto" w:sz="4" w:space="0"/>
              <w:right w:val="single" w:color="auto" w:sz="4" w:space="0"/>
            </w:tcBorders>
            <w:vAlign w:val="center"/>
          </w:tcPr>
          <w:p>
            <w:pPr>
              <w:snapToGrid w:val="0"/>
              <w:jc w:val="center"/>
              <w:rPr>
                <w:rFonts w:ascii="宋体" w:hAnsi="宋体" w:cs="仿宋_GB2312"/>
                <w:sz w:val="18"/>
                <w:szCs w:val="18"/>
              </w:rPr>
            </w:pPr>
            <w:r>
              <w:rPr>
                <w:rFonts w:hint="eastAsia" w:ascii="宋体" w:hAnsi="宋体" w:cs="宋体"/>
                <w:kern w:val="0"/>
                <w:sz w:val="18"/>
                <w:szCs w:val="18"/>
              </w:rPr>
              <w:t>严重</w:t>
            </w:r>
          </w:p>
        </w:tc>
      </w:tr>
    </w:tbl>
    <w:p>
      <w:pPr>
        <w:spacing w:before="156" w:beforeLines="50" w:after="156" w:afterLines="50" w:line="400" w:lineRule="exact"/>
        <w:rPr>
          <w:rFonts w:eastAsia="黑体"/>
        </w:rPr>
      </w:pPr>
      <w:r>
        <w:rPr>
          <w:rFonts w:eastAsia="黑体"/>
        </w:rPr>
        <w:t xml:space="preserve">B.3  </w:t>
      </w:r>
      <w:r>
        <w:rPr>
          <w:rFonts w:hAnsi="黑体" w:eastAsia="黑体"/>
        </w:rPr>
        <w:t>勘查工程参考间距</w:t>
      </w:r>
      <w:r>
        <w:rPr>
          <w:rFonts w:hAnsi="黑体" w:eastAsia="黑体"/>
          <w:szCs w:val="21"/>
        </w:rPr>
        <w:t>见表</w:t>
      </w:r>
      <w:r>
        <w:rPr>
          <w:rFonts w:eastAsia="黑体"/>
          <w:bCs/>
          <w:szCs w:val="21"/>
        </w:rPr>
        <w:t>B</w:t>
      </w:r>
      <w:r>
        <w:rPr>
          <w:rFonts w:eastAsia="黑体"/>
          <w:szCs w:val="21"/>
        </w:rPr>
        <w:t>.2</w:t>
      </w:r>
    </w:p>
    <w:p>
      <w:pPr>
        <w:widowControl/>
        <w:snapToGrid w:val="0"/>
        <w:jc w:val="center"/>
        <w:outlineLvl w:val="0"/>
        <w:rPr>
          <w:rFonts w:eastAsia="黑体"/>
          <w:kern w:val="0"/>
          <w:szCs w:val="21"/>
        </w:rPr>
      </w:pPr>
      <w:bookmarkStart w:id="66" w:name="_Toc488762349"/>
      <w:r>
        <w:rPr>
          <w:rFonts w:eastAsia="黑体"/>
        </w:rPr>
        <w:t>表</w:t>
      </w:r>
      <w:r>
        <w:rPr>
          <w:rFonts w:eastAsia="黑体"/>
          <w:bCs/>
          <w:szCs w:val="21"/>
        </w:rPr>
        <w:t>B</w:t>
      </w:r>
      <w:r>
        <w:rPr>
          <w:rFonts w:eastAsia="黑体"/>
          <w:szCs w:val="21"/>
        </w:rPr>
        <w:t xml:space="preserve">.2   </w:t>
      </w:r>
      <w:r>
        <w:rPr>
          <w:rFonts w:eastAsia="黑体"/>
          <w:kern w:val="0"/>
          <w:szCs w:val="21"/>
        </w:rPr>
        <w:t>勘查工程参考间距</w:t>
      </w:r>
      <w:bookmarkEnd w:id="66"/>
    </w:p>
    <w:tbl>
      <w:tblPr>
        <w:tblStyle w:val="12"/>
        <w:tblW w:w="8721" w:type="dxa"/>
        <w:jc w:val="center"/>
        <w:tblInd w:w="0" w:type="dxa"/>
        <w:tblLayout w:type="fixed"/>
        <w:tblCellMar>
          <w:top w:w="0" w:type="dxa"/>
          <w:left w:w="0" w:type="dxa"/>
          <w:bottom w:w="0" w:type="dxa"/>
          <w:right w:w="0" w:type="dxa"/>
        </w:tblCellMar>
      </w:tblPr>
      <w:tblGrid>
        <w:gridCol w:w="3122"/>
        <w:gridCol w:w="2747"/>
        <w:gridCol w:w="2852"/>
      </w:tblGrid>
      <w:tr>
        <w:tblPrEx>
          <w:tblLayout w:type="fixed"/>
          <w:tblCellMar>
            <w:top w:w="0" w:type="dxa"/>
            <w:left w:w="0" w:type="dxa"/>
            <w:bottom w:w="0" w:type="dxa"/>
            <w:right w:w="0" w:type="dxa"/>
          </w:tblCellMar>
        </w:tblPrEx>
        <w:trPr>
          <w:cantSplit/>
          <w:trHeight w:val="341" w:hRule="atLeast"/>
          <w:jc w:val="center"/>
        </w:trPr>
        <w:tc>
          <w:tcPr>
            <w:tcW w:w="3122"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Ansi="宋体"/>
                <w:spacing w:val="1"/>
                <w:kern w:val="0"/>
                <w:sz w:val="18"/>
                <w:szCs w:val="18"/>
              </w:rPr>
              <w:t>勘查类型</w:t>
            </w:r>
          </w:p>
        </w:tc>
        <w:tc>
          <w:tcPr>
            <w:tcW w:w="5599"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Ansi="宋体"/>
                <w:spacing w:val="1"/>
                <w:kern w:val="0"/>
                <w:sz w:val="18"/>
                <w:szCs w:val="18"/>
              </w:rPr>
              <w:t>控制的工程间距</w:t>
            </w:r>
            <w:r>
              <w:rPr>
                <w:spacing w:val="1"/>
                <w:kern w:val="0"/>
                <w:sz w:val="18"/>
                <w:szCs w:val="18"/>
              </w:rPr>
              <w:t>m</w:t>
            </w:r>
          </w:p>
        </w:tc>
      </w:tr>
      <w:tr>
        <w:tblPrEx>
          <w:tblLayout w:type="fixed"/>
          <w:tblCellMar>
            <w:top w:w="0" w:type="dxa"/>
            <w:left w:w="0" w:type="dxa"/>
            <w:bottom w:w="0" w:type="dxa"/>
            <w:right w:w="0" w:type="dxa"/>
          </w:tblCellMar>
        </w:tblPrEx>
        <w:trPr>
          <w:cantSplit/>
          <w:trHeight w:val="341" w:hRule="atLeast"/>
          <w:jc w:val="center"/>
        </w:trPr>
        <w:tc>
          <w:tcPr>
            <w:tcW w:w="312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kern w:val="0"/>
                <w:szCs w:val="21"/>
              </w:rPr>
            </w:pPr>
          </w:p>
        </w:tc>
        <w:tc>
          <w:tcPr>
            <w:tcW w:w="2747"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Ansi="宋体"/>
                <w:spacing w:val="1"/>
                <w:kern w:val="0"/>
                <w:sz w:val="18"/>
                <w:szCs w:val="18"/>
              </w:rPr>
              <w:t>沿走向</w:t>
            </w:r>
          </w:p>
        </w:tc>
        <w:tc>
          <w:tcPr>
            <w:tcW w:w="28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Ansi="宋体"/>
                <w:spacing w:val="1"/>
                <w:kern w:val="0"/>
                <w:sz w:val="18"/>
                <w:szCs w:val="18"/>
              </w:rPr>
              <w:t>沿倾向</w:t>
            </w:r>
          </w:p>
        </w:tc>
      </w:tr>
      <w:tr>
        <w:tblPrEx>
          <w:tblLayout w:type="fixed"/>
          <w:tblCellMar>
            <w:top w:w="0" w:type="dxa"/>
            <w:left w:w="0" w:type="dxa"/>
            <w:bottom w:w="0" w:type="dxa"/>
            <w:right w:w="0" w:type="dxa"/>
          </w:tblCellMar>
        </w:tblPrEx>
        <w:trPr>
          <w:trHeight w:val="341" w:hRule="atLeast"/>
          <w:jc w:val="center"/>
        </w:trPr>
        <w:tc>
          <w:tcPr>
            <w:tcW w:w="312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Ansi="宋体"/>
                <w:spacing w:val="1"/>
                <w:kern w:val="0"/>
                <w:sz w:val="18"/>
                <w:szCs w:val="18"/>
              </w:rPr>
              <w:t>Ⅰ</w:t>
            </w:r>
          </w:p>
        </w:tc>
        <w:tc>
          <w:tcPr>
            <w:tcW w:w="2747"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spacing w:val="1"/>
                <w:kern w:val="0"/>
                <w:sz w:val="18"/>
                <w:szCs w:val="18"/>
              </w:rPr>
              <w:t>500</w:t>
            </w:r>
            <w:r>
              <w:rPr>
                <w:kern w:val="0"/>
                <w:szCs w:val="21"/>
              </w:rPr>
              <w:t>~</w:t>
            </w:r>
            <w:r>
              <w:rPr>
                <w:spacing w:val="1"/>
                <w:kern w:val="0"/>
                <w:sz w:val="18"/>
                <w:szCs w:val="18"/>
              </w:rPr>
              <w:t>1000</w:t>
            </w:r>
          </w:p>
        </w:tc>
        <w:tc>
          <w:tcPr>
            <w:tcW w:w="285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spacing w:val="1"/>
                <w:kern w:val="0"/>
                <w:sz w:val="18"/>
                <w:szCs w:val="18"/>
              </w:rPr>
              <w:t>200</w:t>
            </w:r>
            <w:r>
              <w:rPr>
                <w:kern w:val="0"/>
                <w:szCs w:val="21"/>
              </w:rPr>
              <w:t>~</w:t>
            </w:r>
            <w:r>
              <w:rPr>
                <w:spacing w:val="1"/>
                <w:kern w:val="0"/>
                <w:sz w:val="18"/>
                <w:szCs w:val="18"/>
              </w:rPr>
              <w:t>300</w:t>
            </w:r>
          </w:p>
        </w:tc>
      </w:tr>
      <w:tr>
        <w:tblPrEx>
          <w:tblLayout w:type="fixed"/>
          <w:tblCellMar>
            <w:top w:w="0" w:type="dxa"/>
            <w:left w:w="0" w:type="dxa"/>
            <w:bottom w:w="0" w:type="dxa"/>
            <w:right w:w="0" w:type="dxa"/>
          </w:tblCellMar>
        </w:tblPrEx>
        <w:trPr>
          <w:trHeight w:val="341" w:hRule="atLeast"/>
          <w:jc w:val="center"/>
        </w:trPr>
        <w:tc>
          <w:tcPr>
            <w:tcW w:w="312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Ansi="宋体"/>
                <w:spacing w:val="1"/>
                <w:kern w:val="0"/>
                <w:sz w:val="18"/>
                <w:szCs w:val="18"/>
              </w:rPr>
              <w:t>Ⅱ</w:t>
            </w:r>
          </w:p>
        </w:tc>
        <w:tc>
          <w:tcPr>
            <w:tcW w:w="2747"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spacing w:val="1"/>
                <w:kern w:val="0"/>
                <w:sz w:val="18"/>
                <w:szCs w:val="18"/>
              </w:rPr>
              <w:t>200</w:t>
            </w:r>
            <w:r>
              <w:rPr>
                <w:kern w:val="0"/>
                <w:szCs w:val="21"/>
              </w:rPr>
              <w:t>~</w:t>
            </w:r>
            <w:r>
              <w:rPr>
                <w:spacing w:val="1"/>
                <w:kern w:val="0"/>
                <w:sz w:val="18"/>
                <w:szCs w:val="18"/>
              </w:rPr>
              <w:t>500</w:t>
            </w:r>
          </w:p>
        </w:tc>
        <w:tc>
          <w:tcPr>
            <w:tcW w:w="285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spacing w:val="1"/>
                <w:kern w:val="0"/>
                <w:sz w:val="18"/>
                <w:szCs w:val="18"/>
              </w:rPr>
              <w:t>100</w:t>
            </w:r>
            <w:r>
              <w:rPr>
                <w:kern w:val="0"/>
                <w:szCs w:val="21"/>
              </w:rPr>
              <w:t>~</w:t>
            </w:r>
            <w:r>
              <w:rPr>
                <w:spacing w:val="1"/>
                <w:kern w:val="0"/>
                <w:sz w:val="18"/>
                <w:szCs w:val="18"/>
              </w:rPr>
              <w:t>200</w:t>
            </w:r>
          </w:p>
        </w:tc>
      </w:tr>
      <w:tr>
        <w:tblPrEx>
          <w:tblLayout w:type="fixed"/>
          <w:tblCellMar>
            <w:top w:w="0" w:type="dxa"/>
            <w:left w:w="0" w:type="dxa"/>
            <w:bottom w:w="0" w:type="dxa"/>
            <w:right w:w="0" w:type="dxa"/>
          </w:tblCellMar>
        </w:tblPrEx>
        <w:trPr>
          <w:trHeight w:val="341" w:hRule="atLeast"/>
          <w:jc w:val="center"/>
        </w:trPr>
        <w:tc>
          <w:tcPr>
            <w:tcW w:w="312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spacing w:val="1"/>
                <w:kern w:val="0"/>
                <w:sz w:val="18"/>
                <w:szCs w:val="18"/>
              </w:rPr>
            </w:pPr>
            <w:r>
              <w:rPr>
                <w:rFonts w:hAnsi="宋体"/>
                <w:color w:val="0D0D0D"/>
                <w:sz w:val="18"/>
                <w:szCs w:val="18"/>
              </w:rPr>
              <w:t>Ⅲ</w:t>
            </w:r>
          </w:p>
        </w:tc>
        <w:tc>
          <w:tcPr>
            <w:tcW w:w="2747"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spacing w:val="1"/>
                <w:kern w:val="0"/>
                <w:sz w:val="18"/>
                <w:szCs w:val="18"/>
              </w:rPr>
            </w:pPr>
            <w:r>
              <w:rPr>
                <w:spacing w:val="1"/>
                <w:kern w:val="0"/>
                <w:sz w:val="18"/>
                <w:szCs w:val="18"/>
              </w:rPr>
              <w:t>100</w:t>
            </w:r>
            <w:r>
              <w:rPr>
                <w:kern w:val="0"/>
                <w:szCs w:val="21"/>
              </w:rPr>
              <w:t>~</w:t>
            </w:r>
            <w:r>
              <w:rPr>
                <w:spacing w:val="1"/>
                <w:kern w:val="0"/>
                <w:sz w:val="18"/>
                <w:szCs w:val="18"/>
              </w:rPr>
              <w:t>200</w:t>
            </w:r>
          </w:p>
        </w:tc>
        <w:tc>
          <w:tcPr>
            <w:tcW w:w="285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spacing w:val="1"/>
                <w:kern w:val="0"/>
                <w:sz w:val="18"/>
                <w:szCs w:val="18"/>
              </w:rPr>
            </w:pPr>
            <w:r>
              <w:rPr>
                <w:spacing w:val="1"/>
                <w:kern w:val="0"/>
                <w:sz w:val="18"/>
                <w:szCs w:val="18"/>
              </w:rPr>
              <w:t>50</w:t>
            </w:r>
            <w:r>
              <w:rPr>
                <w:kern w:val="0"/>
                <w:szCs w:val="21"/>
              </w:rPr>
              <w:t>~</w:t>
            </w:r>
            <w:r>
              <w:rPr>
                <w:spacing w:val="1"/>
                <w:kern w:val="0"/>
                <w:sz w:val="18"/>
                <w:szCs w:val="18"/>
              </w:rPr>
              <w:t>100</w:t>
            </w:r>
          </w:p>
        </w:tc>
      </w:tr>
      <w:tr>
        <w:tblPrEx>
          <w:tblLayout w:type="fixed"/>
          <w:tblCellMar>
            <w:top w:w="0" w:type="dxa"/>
            <w:left w:w="0" w:type="dxa"/>
            <w:bottom w:w="0" w:type="dxa"/>
            <w:right w:w="0" w:type="dxa"/>
          </w:tblCellMar>
        </w:tblPrEx>
        <w:trPr>
          <w:trHeight w:val="341" w:hRule="atLeast"/>
          <w:jc w:val="center"/>
        </w:trPr>
        <w:tc>
          <w:tcPr>
            <w:tcW w:w="8721" w:type="dxa"/>
            <w:gridSpan w:val="3"/>
            <w:tcBorders>
              <w:top w:val="nil"/>
              <w:left w:val="single" w:color="auto" w:sz="8" w:space="0"/>
              <w:bottom w:val="single" w:color="auto" w:sz="8" w:space="0"/>
              <w:right w:val="single" w:color="auto" w:sz="4" w:space="0"/>
            </w:tcBorders>
            <w:tcMar>
              <w:top w:w="0" w:type="dxa"/>
              <w:left w:w="108" w:type="dxa"/>
              <w:bottom w:w="0" w:type="dxa"/>
              <w:right w:w="108" w:type="dxa"/>
            </w:tcMar>
            <w:vAlign w:val="center"/>
          </w:tcPr>
          <w:p>
            <w:pPr>
              <w:widowControl/>
              <w:ind w:firstLine="364"/>
              <w:rPr>
                <w:spacing w:val="1"/>
                <w:kern w:val="0"/>
                <w:sz w:val="18"/>
                <w:szCs w:val="18"/>
              </w:rPr>
            </w:pPr>
            <w:r>
              <w:rPr>
                <w:rFonts w:hAnsi="宋体"/>
                <w:spacing w:val="1"/>
                <w:kern w:val="0"/>
                <w:sz w:val="18"/>
                <w:szCs w:val="18"/>
              </w:rPr>
              <w:t>注</w:t>
            </w:r>
            <w:r>
              <w:rPr>
                <w:spacing w:val="1"/>
                <w:kern w:val="0"/>
                <w:sz w:val="18"/>
                <w:szCs w:val="18"/>
              </w:rPr>
              <w:t>1</w:t>
            </w:r>
            <w:r>
              <w:rPr>
                <w:rFonts w:hAnsi="宋体"/>
                <w:spacing w:val="1"/>
                <w:kern w:val="0"/>
                <w:sz w:val="18"/>
                <w:szCs w:val="18"/>
              </w:rPr>
              <w:t>：表中勘查间距设为区间值，以适应同一矿床不同矿体、同一矿体不同地段或过渡勘查类型。各勘查类型偏简单时可取上限，反之取下限。</w:t>
            </w:r>
          </w:p>
          <w:p>
            <w:pPr>
              <w:widowControl/>
              <w:ind w:firstLine="364"/>
              <w:rPr>
                <w:spacing w:val="1"/>
                <w:kern w:val="0"/>
                <w:sz w:val="18"/>
                <w:szCs w:val="18"/>
              </w:rPr>
            </w:pPr>
            <w:r>
              <w:rPr>
                <w:rFonts w:hAnsi="宋体"/>
                <w:spacing w:val="1"/>
                <w:kern w:val="0"/>
                <w:sz w:val="18"/>
                <w:szCs w:val="18"/>
              </w:rPr>
              <w:t>注</w:t>
            </w:r>
            <w:r>
              <w:rPr>
                <w:spacing w:val="1"/>
                <w:kern w:val="0"/>
                <w:sz w:val="18"/>
                <w:szCs w:val="18"/>
              </w:rPr>
              <w:t>2</w:t>
            </w:r>
            <w:r>
              <w:rPr>
                <w:rFonts w:hAnsi="宋体"/>
                <w:spacing w:val="1"/>
                <w:kern w:val="0"/>
                <w:sz w:val="18"/>
                <w:szCs w:val="18"/>
              </w:rPr>
              <w:t>：表中勘查间距是山坡式露天开采方式的参考值，沿倾向工程间距参考值较小。</w:t>
            </w:r>
          </w:p>
          <w:p>
            <w:pPr>
              <w:widowControl/>
              <w:ind w:firstLine="364"/>
              <w:rPr>
                <w:kern w:val="0"/>
                <w:szCs w:val="21"/>
              </w:rPr>
            </w:pPr>
            <w:r>
              <w:rPr>
                <w:rFonts w:hAnsi="宋体"/>
                <w:spacing w:val="1"/>
                <w:kern w:val="0"/>
                <w:sz w:val="18"/>
                <w:szCs w:val="18"/>
              </w:rPr>
              <w:t>注</w:t>
            </w:r>
            <w:r>
              <w:rPr>
                <w:spacing w:val="1"/>
                <w:kern w:val="0"/>
                <w:sz w:val="18"/>
                <w:szCs w:val="18"/>
              </w:rPr>
              <w:t>3</w:t>
            </w:r>
            <w:r>
              <w:rPr>
                <w:rFonts w:hAnsi="宋体"/>
                <w:spacing w:val="1"/>
                <w:kern w:val="0"/>
                <w:sz w:val="18"/>
                <w:szCs w:val="18"/>
              </w:rPr>
              <w:t>：提供开采设计的，小型矿床或勘查范围过小时，勘查</w:t>
            </w:r>
            <w:r>
              <w:rPr>
                <w:rFonts w:hint="eastAsia" w:ascii="宋体" w:hAnsi="宋体"/>
                <w:spacing w:val="1"/>
                <w:kern w:val="0"/>
                <w:sz w:val="18"/>
                <w:szCs w:val="18"/>
              </w:rPr>
              <w:t>线应不少于三条。</w:t>
            </w:r>
          </w:p>
        </w:tc>
      </w:tr>
    </w:tbl>
    <w:p>
      <w:pPr>
        <w:widowControl/>
        <w:snapToGrid w:val="0"/>
        <w:jc w:val="center"/>
        <w:outlineLvl w:val="0"/>
        <w:rPr>
          <w:rFonts w:hint="eastAsia" w:ascii="黑体" w:eastAsia="黑体"/>
          <w:kern w:val="0"/>
          <w:szCs w:val="21"/>
        </w:rPr>
      </w:pPr>
    </w:p>
    <w:p>
      <w:pPr>
        <w:widowControl/>
        <w:snapToGrid w:val="0"/>
        <w:jc w:val="center"/>
        <w:outlineLvl w:val="0"/>
        <w:rPr>
          <w:rFonts w:ascii="黑体" w:eastAsia="黑体"/>
          <w:kern w:val="0"/>
          <w:szCs w:val="21"/>
        </w:rPr>
      </w:pPr>
      <w:bookmarkStart w:id="67" w:name="_Toc488762350"/>
      <w:r>
        <w:rPr>
          <w:rFonts w:hint="eastAsia" w:ascii="黑体" w:eastAsia="黑体"/>
          <w:kern w:val="0"/>
          <w:szCs w:val="21"/>
        </w:rPr>
        <w:t>附  录  C</w:t>
      </w:r>
      <w:bookmarkEnd w:id="67"/>
    </w:p>
    <w:p>
      <w:pPr>
        <w:widowControl/>
        <w:snapToGrid w:val="0"/>
        <w:jc w:val="center"/>
        <w:outlineLvl w:val="0"/>
        <w:rPr>
          <w:rFonts w:hint="eastAsia" w:ascii="黑体" w:eastAsia="黑体"/>
          <w:kern w:val="0"/>
          <w:szCs w:val="21"/>
        </w:rPr>
      </w:pPr>
      <w:bookmarkStart w:id="68" w:name="_Toc488762351"/>
      <w:r>
        <w:rPr>
          <w:rFonts w:hint="eastAsia" w:ascii="黑体" w:eastAsia="黑体"/>
          <w:kern w:val="0"/>
          <w:szCs w:val="21"/>
        </w:rPr>
        <w:t>（资料性附录)</w:t>
      </w:r>
      <w:bookmarkEnd w:id="68"/>
    </w:p>
    <w:p>
      <w:pPr>
        <w:widowControl/>
        <w:snapToGrid w:val="0"/>
        <w:jc w:val="center"/>
        <w:outlineLvl w:val="0"/>
        <w:rPr>
          <w:rFonts w:ascii="黑体" w:eastAsia="黑体"/>
          <w:kern w:val="0"/>
          <w:szCs w:val="21"/>
        </w:rPr>
      </w:pPr>
    </w:p>
    <w:p>
      <w:pPr>
        <w:widowControl/>
        <w:snapToGrid w:val="0"/>
        <w:jc w:val="center"/>
        <w:outlineLvl w:val="0"/>
        <w:rPr>
          <w:rFonts w:hint="eastAsia" w:ascii="黑体" w:eastAsia="黑体"/>
          <w:kern w:val="0"/>
          <w:szCs w:val="21"/>
        </w:rPr>
      </w:pPr>
      <w:bookmarkStart w:id="69" w:name="_Toc488762352"/>
      <w:r>
        <w:rPr>
          <w:rFonts w:hint="eastAsia" w:ascii="黑体" w:eastAsia="黑体"/>
          <w:kern w:val="0"/>
          <w:szCs w:val="21"/>
        </w:rPr>
        <w:t>资源储量规模划分标准</w:t>
      </w:r>
      <w:bookmarkEnd w:id="69"/>
    </w:p>
    <w:p>
      <w:pPr>
        <w:widowControl/>
        <w:jc w:val="center"/>
        <w:rPr>
          <w:rFonts w:hint="eastAsia"/>
          <w:kern w:val="0"/>
          <w:szCs w:val="21"/>
        </w:rPr>
      </w:pPr>
    </w:p>
    <w:p>
      <w:pPr>
        <w:widowControl/>
        <w:rPr>
          <w:rFonts w:hint="eastAsia" w:hAnsi="宋体" w:cs="黑体"/>
          <w:szCs w:val="21"/>
        </w:rPr>
      </w:pPr>
      <w:r>
        <w:rPr>
          <w:rFonts w:hint="eastAsia" w:hAnsi="宋体" w:cs="黑体"/>
          <w:szCs w:val="21"/>
        </w:rPr>
        <w:t>资源储量规模</w:t>
      </w:r>
      <w:r>
        <w:rPr>
          <w:rFonts w:hint="eastAsia" w:hAnsi="宋体" w:cs="黑体"/>
          <w:bCs/>
          <w:szCs w:val="21"/>
        </w:rPr>
        <w:t>划分见</w:t>
      </w:r>
      <w:r>
        <w:rPr>
          <w:rFonts w:hint="eastAsia" w:hAnsi="宋体" w:cs="黑体"/>
          <w:szCs w:val="21"/>
        </w:rPr>
        <w:t>表</w:t>
      </w:r>
      <w:r>
        <w:rPr>
          <w:rFonts w:hint="eastAsia" w:hAnsi="宋体" w:cs="黑体"/>
          <w:bCs/>
          <w:szCs w:val="21"/>
        </w:rPr>
        <w:t>C</w:t>
      </w:r>
      <w:r>
        <w:rPr>
          <w:rFonts w:hint="eastAsia" w:hAnsi="宋体" w:cs="黑体"/>
          <w:szCs w:val="21"/>
        </w:rPr>
        <w:t>.1。</w:t>
      </w:r>
    </w:p>
    <w:p>
      <w:pPr>
        <w:widowControl/>
        <w:snapToGrid w:val="0"/>
        <w:jc w:val="center"/>
        <w:outlineLvl w:val="0"/>
        <w:rPr>
          <w:rFonts w:eastAsia="黑体"/>
          <w:kern w:val="0"/>
          <w:szCs w:val="21"/>
        </w:rPr>
      </w:pPr>
      <w:bookmarkStart w:id="70" w:name="_Toc488762353"/>
      <w:r>
        <w:rPr>
          <w:rFonts w:eastAsia="黑体"/>
        </w:rPr>
        <w:t>表</w:t>
      </w:r>
      <w:r>
        <w:rPr>
          <w:rFonts w:eastAsia="黑体"/>
          <w:bCs/>
          <w:szCs w:val="21"/>
        </w:rPr>
        <w:t>C</w:t>
      </w:r>
      <w:r>
        <w:rPr>
          <w:rFonts w:eastAsia="黑体"/>
          <w:szCs w:val="21"/>
        </w:rPr>
        <w:t xml:space="preserve">.1   </w:t>
      </w:r>
      <w:r>
        <w:rPr>
          <w:rFonts w:eastAsia="黑体"/>
          <w:kern w:val="0"/>
          <w:szCs w:val="21"/>
        </w:rPr>
        <w:t>资源储量规模划分</w:t>
      </w:r>
      <w:bookmarkEnd w:id="70"/>
    </w:p>
    <w:tbl>
      <w:tblPr>
        <w:tblStyle w:val="12"/>
        <w:tblW w:w="8522" w:type="dxa"/>
        <w:jc w:val="center"/>
        <w:tblInd w:w="0" w:type="dxa"/>
        <w:tblLayout w:type="fixed"/>
        <w:tblCellMar>
          <w:top w:w="0" w:type="dxa"/>
          <w:left w:w="0" w:type="dxa"/>
          <w:bottom w:w="0" w:type="dxa"/>
          <w:right w:w="0" w:type="dxa"/>
        </w:tblCellMar>
      </w:tblPr>
      <w:tblGrid>
        <w:gridCol w:w="1999"/>
        <w:gridCol w:w="1529"/>
        <w:gridCol w:w="1681"/>
        <w:gridCol w:w="1379"/>
        <w:gridCol w:w="1934"/>
      </w:tblGrid>
      <w:tr>
        <w:tblPrEx>
          <w:tblLayout w:type="fixed"/>
          <w:tblCellMar>
            <w:top w:w="0" w:type="dxa"/>
            <w:left w:w="0" w:type="dxa"/>
            <w:bottom w:w="0" w:type="dxa"/>
            <w:right w:w="0" w:type="dxa"/>
          </w:tblCellMar>
        </w:tblPrEx>
        <w:trPr>
          <w:cantSplit/>
          <w:trHeight w:val="397" w:hRule="atLeast"/>
          <w:jc w:val="center"/>
        </w:trPr>
        <w:tc>
          <w:tcPr>
            <w:tcW w:w="1999"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ind w:left="-106" w:hanging="1"/>
              <w:jc w:val="center"/>
              <w:rPr>
                <w:kern w:val="0"/>
                <w:szCs w:val="21"/>
              </w:rPr>
            </w:pPr>
            <w:r>
              <w:rPr>
                <w:rFonts w:hint="eastAsia" w:ascii="宋体" w:hAnsi="宋体"/>
                <w:kern w:val="0"/>
                <w:sz w:val="18"/>
                <w:szCs w:val="18"/>
              </w:rPr>
              <w:t>矿种</w:t>
            </w:r>
          </w:p>
        </w:tc>
        <w:tc>
          <w:tcPr>
            <w:tcW w:w="1529"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ascii="宋体" w:hAnsi="宋体"/>
                <w:kern w:val="0"/>
                <w:sz w:val="18"/>
                <w:szCs w:val="18"/>
              </w:rPr>
            </w:pPr>
            <w:r>
              <w:rPr>
                <w:rFonts w:hint="eastAsia" w:ascii="宋体" w:hAnsi="宋体"/>
                <w:kern w:val="0"/>
                <w:sz w:val="18"/>
                <w:szCs w:val="18"/>
              </w:rPr>
              <w:t>矿石</w:t>
            </w:r>
          </w:p>
          <w:p>
            <w:pPr>
              <w:widowControl/>
              <w:jc w:val="center"/>
              <w:rPr>
                <w:kern w:val="0"/>
                <w:szCs w:val="21"/>
              </w:rPr>
            </w:pPr>
            <w:r>
              <w:rPr>
                <w:rFonts w:hint="eastAsia" w:ascii="宋体" w:hAnsi="宋体"/>
                <w:kern w:val="0"/>
                <w:sz w:val="18"/>
                <w:szCs w:val="18"/>
              </w:rPr>
              <w:t>计量单位</w:t>
            </w:r>
          </w:p>
        </w:tc>
        <w:tc>
          <w:tcPr>
            <w:tcW w:w="4994"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hint="eastAsia"/>
                <w:kern w:val="0"/>
                <w:szCs w:val="21"/>
              </w:rPr>
            </w:pPr>
            <w:r>
              <w:rPr>
                <w:rFonts w:hint="eastAsia" w:ascii="宋体" w:hAnsi="宋体"/>
                <w:kern w:val="0"/>
                <w:sz w:val="18"/>
                <w:szCs w:val="18"/>
              </w:rPr>
              <w:t>规模</w:t>
            </w:r>
          </w:p>
        </w:tc>
      </w:tr>
      <w:tr>
        <w:tblPrEx>
          <w:tblLayout w:type="fixed"/>
          <w:tblCellMar>
            <w:top w:w="0" w:type="dxa"/>
            <w:left w:w="0" w:type="dxa"/>
            <w:bottom w:w="0" w:type="dxa"/>
            <w:right w:w="0" w:type="dxa"/>
          </w:tblCellMar>
        </w:tblPrEx>
        <w:trPr>
          <w:cantSplit/>
          <w:trHeight w:val="397" w:hRule="atLeast"/>
          <w:jc w:val="center"/>
        </w:trPr>
        <w:tc>
          <w:tcPr>
            <w:tcW w:w="1999"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kern w:val="0"/>
                <w:szCs w:val="21"/>
              </w:rPr>
            </w:pPr>
          </w:p>
        </w:tc>
        <w:tc>
          <w:tcPr>
            <w:tcW w:w="1529" w:type="dxa"/>
            <w:vMerge w:val="continue"/>
            <w:tcBorders>
              <w:top w:val="single" w:color="auto" w:sz="8" w:space="0"/>
              <w:left w:val="nil"/>
              <w:bottom w:val="single" w:color="auto" w:sz="8" w:space="0"/>
              <w:right w:val="single" w:color="auto" w:sz="8" w:space="0"/>
            </w:tcBorders>
            <w:vAlign w:val="center"/>
          </w:tcPr>
          <w:p>
            <w:pPr>
              <w:widowControl/>
              <w:jc w:val="left"/>
              <w:rPr>
                <w:kern w:val="0"/>
                <w:szCs w:val="21"/>
              </w:rPr>
            </w:pPr>
          </w:p>
        </w:tc>
        <w:tc>
          <w:tcPr>
            <w:tcW w:w="16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int="eastAsia" w:ascii="宋体" w:hAnsi="宋体"/>
                <w:kern w:val="0"/>
                <w:sz w:val="18"/>
                <w:szCs w:val="18"/>
              </w:rPr>
              <w:t>大</w:t>
            </w:r>
            <w:r>
              <w:rPr>
                <w:kern w:val="0"/>
                <w:sz w:val="18"/>
                <w:szCs w:val="18"/>
              </w:rPr>
              <w:t xml:space="preserve"> </w:t>
            </w:r>
            <w:r>
              <w:rPr>
                <w:rFonts w:hint="eastAsia" w:ascii="宋体" w:hAnsi="宋体"/>
                <w:kern w:val="0"/>
                <w:sz w:val="18"/>
                <w:szCs w:val="18"/>
              </w:rPr>
              <w:t>型</w:t>
            </w:r>
          </w:p>
        </w:tc>
        <w:tc>
          <w:tcPr>
            <w:tcW w:w="137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int="eastAsia" w:ascii="宋体" w:hAnsi="宋体"/>
                <w:kern w:val="0"/>
                <w:sz w:val="18"/>
                <w:szCs w:val="18"/>
              </w:rPr>
              <w:t>中</w:t>
            </w:r>
            <w:r>
              <w:rPr>
                <w:kern w:val="0"/>
                <w:sz w:val="18"/>
                <w:szCs w:val="18"/>
              </w:rPr>
              <w:t xml:space="preserve"> </w:t>
            </w:r>
            <w:r>
              <w:rPr>
                <w:rFonts w:hint="eastAsia" w:ascii="宋体" w:hAnsi="宋体"/>
                <w:kern w:val="0"/>
                <w:sz w:val="18"/>
                <w:szCs w:val="18"/>
              </w:rPr>
              <w:t>型</w:t>
            </w:r>
          </w:p>
        </w:tc>
        <w:tc>
          <w:tcPr>
            <w:tcW w:w="193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ind w:left="-107" w:firstLine="108"/>
              <w:jc w:val="center"/>
              <w:rPr>
                <w:kern w:val="0"/>
                <w:szCs w:val="21"/>
              </w:rPr>
            </w:pPr>
            <w:r>
              <w:rPr>
                <w:rFonts w:hint="eastAsia" w:ascii="宋体" w:hAnsi="宋体"/>
                <w:kern w:val="0"/>
                <w:sz w:val="18"/>
                <w:szCs w:val="18"/>
              </w:rPr>
              <w:t>小</w:t>
            </w:r>
            <w:r>
              <w:rPr>
                <w:kern w:val="0"/>
                <w:sz w:val="18"/>
                <w:szCs w:val="18"/>
              </w:rPr>
              <w:t xml:space="preserve"> </w:t>
            </w:r>
            <w:r>
              <w:rPr>
                <w:rFonts w:hint="eastAsia" w:ascii="宋体" w:hAnsi="宋体"/>
                <w:kern w:val="0"/>
                <w:sz w:val="18"/>
                <w:szCs w:val="18"/>
              </w:rPr>
              <w:t>型</w:t>
            </w:r>
          </w:p>
        </w:tc>
      </w:tr>
      <w:tr>
        <w:tblPrEx>
          <w:tblLayout w:type="fixed"/>
          <w:tblCellMar>
            <w:top w:w="0" w:type="dxa"/>
            <w:left w:w="0" w:type="dxa"/>
            <w:bottom w:w="0" w:type="dxa"/>
            <w:right w:w="0" w:type="dxa"/>
          </w:tblCellMar>
        </w:tblPrEx>
        <w:trPr>
          <w:trHeight w:val="397" w:hRule="atLeast"/>
          <w:jc w:val="center"/>
        </w:trPr>
        <w:tc>
          <w:tcPr>
            <w:tcW w:w="199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int="eastAsia" w:ascii="宋体" w:hAnsi="宋体"/>
                <w:kern w:val="0"/>
                <w:sz w:val="18"/>
                <w:szCs w:val="18"/>
              </w:rPr>
              <w:t>炭质页岩</w:t>
            </w:r>
          </w:p>
        </w:tc>
        <w:tc>
          <w:tcPr>
            <w:tcW w:w="152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szCs w:val="21"/>
              </w:rPr>
              <w:t>10</w:t>
            </w:r>
            <w:r>
              <w:rPr>
                <w:szCs w:val="21"/>
                <w:vertAlign w:val="superscript"/>
              </w:rPr>
              <w:t>4</w:t>
            </w:r>
            <w:r>
              <w:rPr>
                <w:szCs w:val="21"/>
              </w:rPr>
              <w:t>t</w:t>
            </w:r>
          </w:p>
        </w:tc>
        <w:tc>
          <w:tcPr>
            <w:tcW w:w="16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int="eastAsia" w:ascii="宋体" w:hAnsi="宋体"/>
                <w:kern w:val="0"/>
                <w:sz w:val="18"/>
                <w:szCs w:val="18"/>
              </w:rPr>
              <w:t>≥</w:t>
            </w:r>
            <w:r>
              <w:rPr>
                <w:rFonts w:hint="eastAsia"/>
                <w:kern w:val="0"/>
                <w:sz w:val="18"/>
                <w:szCs w:val="18"/>
              </w:rPr>
              <w:t>2</w:t>
            </w:r>
            <w:r>
              <w:rPr>
                <w:kern w:val="0"/>
                <w:sz w:val="18"/>
                <w:szCs w:val="18"/>
              </w:rPr>
              <w:t>000</w:t>
            </w:r>
          </w:p>
        </w:tc>
        <w:tc>
          <w:tcPr>
            <w:tcW w:w="137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int="eastAsia"/>
                <w:kern w:val="0"/>
                <w:sz w:val="18"/>
                <w:szCs w:val="18"/>
              </w:rPr>
              <w:t>2</w:t>
            </w:r>
            <w:r>
              <w:rPr>
                <w:kern w:val="0"/>
                <w:sz w:val="18"/>
                <w:szCs w:val="18"/>
              </w:rPr>
              <w:t>00</w:t>
            </w:r>
            <w:r>
              <w:rPr>
                <w:rFonts w:hint="eastAsia"/>
                <w:kern w:val="0"/>
                <w:szCs w:val="21"/>
              </w:rPr>
              <w:t>~</w:t>
            </w:r>
            <w:r>
              <w:rPr>
                <w:rFonts w:hint="eastAsia"/>
                <w:kern w:val="0"/>
                <w:sz w:val="18"/>
                <w:szCs w:val="18"/>
              </w:rPr>
              <w:t>2</w:t>
            </w:r>
            <w:r>
              <w:rPr>
                <w:kern w:val="0"/>
                <w:sz w:val="18"/>
                <w:szCs w:val="18"/>
              </w:rPr>
              <w:t>000</w:t>
            </w:r>
          </w:p>
        </w:tc>
        <w:tc>
          <w:tcPr>
            <w:tcW w:w="193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kern w:val="0"/>
                <w:szCs w:val="21"/>
              </w:rPr>
            </w:pPr>
            <w:r>
              <w:rPr>
                <w:rFonts w:hint="eastAsia" w:ascii="宋体" w:hAnsi="宋体"/>
                <w:kern w:val="0"/>
                <w:sz w:val="18"/>
                <w:szCs w:val="18"/>
              </w:rPr>
              <w:t>≤</w:t>
            </w:r>
            <w:r>
              <w:rPr>
                <w:rFonts w:hint="eastAsia"/>
                <w:kern w:val="0"/>
                <w:sz w:val="18"/>
                <w:szCs w:val="18"/>
              </w:rPr>
              <w:t>200</w:t>
            </w:r>
          </w:p>
        </w:tc>
      </w:tr>
    </w:tbl>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hint="eastAsia" w:ascii="黑体" w:eastAsia="黑体"/>
          <w:kern w:val="0"/>
          <w:szCs w:val="21"/>
        </w:rPr>
      </w:pPr>
    </w:p>
    <w:p>
      <w:pPr>
        <w:widowControl/>
        <w:snapToGrid w:val="0"/>
        <w:jc w:val="center"/>
        <w:outlineLvl w:val="0"/>
        <w:rPr>
          <w:rFonts w:ascii="黑体" w:eastAsia="黑体"/>
          <w:kern w:val="0"/>
          <w:szCs w:val="21"/>
        </w:rPr>
      </w:pPr>
      <w:bookmarkStart w:id="71" w:name="_Toc488762354"/>
      <w:r>
        <w:rPr>
          <w:rFonts w:hint="eastAsia" w:ascii="黑体" w:eastAsia="黑体"/>
          <w:kern w:val="0"/>
          <w:szCs w:val="21"/>
        </w:rPr>
        <w:t>附  录  D</w:t>
      </w:r>
      <w:bookmarkEnd w:id="71"/>
    </w:p>
    <w:p>
      <w:pPr>
        <w:widowControl/>
        <w:snapToGrid w:val="0"/>
        <w:jc w:val="center"/>
        <w:outlineLvl w:val="0"/>
        <w:rPr>
          <w:rFonts w:hint="eastAsia" w:ascii="黑体" w:eastAsia="黑体"/>
          <w:kern w:val="0"/>
          <w:szCs w:val="21"/>
        </w:rPr>
      </w:pPr>
      <w:bookmarkStart w:id="72" w:name="_Toc488762355"/>
      <w:r>
        <w:rPr>
          <w:rFonts w:hint="eastAsia" w:ascii="黑体" w:eastAsia="黑体"/>
          <w:kern w:val="0"/>
          <w:szCs w:val="21"/>
        </w:rPr>
        <w:t>（资料性附录)</w:t>
      </w:r>
      <w:bookmarkEnd w:id="72"/>
    </w:p>
    <w:p>
      <w:pPr>
        <w:widowControl/>
        <w:snapToGrid w:val="0"/>
        <w:jc w:val="center"/>
        <w:outlineLvl w:val="0"/>
        <w:rPr>
          <w:rFonts w:ascii="黑体" w:eastAsia="黑体"/>
          <w:kern w:val="0"/>
          <w:szCs w:val="21"/>
        </w:rPr>
      </w:pPr>
    </w:p>
    <w:p>
      <w:pPr>
        <w:widowControl/>
        <w:snapToGrid w:val="0"/>
        <w:jc w:val="center"/>
        <w:outlineLvl w:val="0"/>
        <w:rPr>
          <w:rFonts w:hint="eastAsia" w:ascii="黑体" w:eastAsia="黑体"/>
          <w:kern w:val="0"/>
          <w:szCs w:val="21"/>
        </w:rPr>
      </w:pPr>
      <w:bookmarkStart w:id="73" w:name="_Toc488762356"/>
      <w:r>
        <w:rPr>
          <w:rFonts w:hint="eastAsia" w:ascii="黑体" w:eastAsia="黑体"/>
          <w:kern w:val="0"/>
          <w:szCs w:val="21"/>
        </w:rPr>
        <w:t>一般工业指标</w:t>
      </w:r>
      <w:bookmarkEnd w:id="73"/>
    </w:p>
    <w:p>
      <w:pPr>
        <w:widowControl/>
        <w:snapToGrid w:val="0"/>
        <w:jc w:val="center"/>
        <w:outlineLvl w:val="0"/>
        <w:rPr>
          <w:rFonts w:ascii="黑体" w:eastAsia="黑体"/>
          <w:kern w:val="0"/>
          <w:szCs w:val="21"/>
        </w:rPr>
      </w:pPr>
    </w:p>
    <w:p>
      <w:pPr>
        <w:widowControl/>
        <w:spacing w:line="360" w:lineRule="auto"/>
        <w:outlineLvl w:val="1"/>
        <w:rPr>
          <w:rFonts w:eastAsia="黑体"/>
          <w:b/>
          <w:kern w:val="0"/>
          <w:szCs w:val="21"/>
        </w:rPr>
      </w:pPr>
      <w:bookmarkStart w:id="74" w:name="_Toc488762357"/>
      <w:r>
        <w:rPr>
          <w:rFonts w:eastAsia="黑体"/>
          <w:b/>
          <w:kern w:val="0"/>
          <w:szCs w:val="21"/>
        </w:rPr>
        <w:t>D.1  主要化学成分与物理性能一般要求见表D.1。</w:t>
      </w:r>
      <w:bookmarkEnd w:id="74"/>
    </w:p>
    <w:p>
      <w:pPr>
        <w:widowControl/>
        <w:snapToGrid w:val="0"/>
        <w:spacing w:line="360" w:lineRule="auto"/>
        <w:jc w:val="center"/>
        <w:rPr>
          <w:rFonts w:hint="eastAsia" w:ascii="黑体" w:eastAsia="黑体"/>
          <w:kern w:val="0"/>
          <w:szCs w:val="21"/>
        </w:rPr>
      </w:pPr>
      <w:r>
        <w:rPr>
          <w:rFonts w:eastAsia="黑体"/>
          <w:kern w:val="0"/>
          <w:szCs w:val="21"/>
        </w:rPr>
        <w:t xml:space="preserve">表D.1 </w:t>
      </w:r>
      <w:r>
        <w:rPr>
          <w:rFonts w:hint="eastAsia" w:ascii="黑体" w:eastAsia="黑体"/>
          <w:kern w:val="0"/>
          <w:szCs w:val="21"/>
        </w:rPr>
        <w:t xml:space="preserve"> 主要化学成分和物理性能一般要求</w:t>
      </w:r>
    </w:p>
    <w:tbl>
      <w:tblPr>
        <w:tblStyle w:val="12"/>
        <w:tblW w:w="103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732"/>
        <w:gridCol w:w="731"/>
        <w:gridCol w:w="770"/>
        <w:gridCol w:w="1026"/>
        <w:gridCol w:w="1648"/>
        <w:gridCol w:w="805"/>
        <w:gridCol w:w="805"/>
        <w:gridCol w:w="756"/>
        <w:gridCol w:w="1168"/>
        <w:gridCol w:w="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1286" w:type="dxa"/>
            <w:vMerge w:val="restart"/>
            <w:vAlign w:val="center"/>
          </w:tcPr>
          <w:p>
            <w:pPr>
              <w:widowControl/>
              <w:snapToGrid w:val="0"/>
              <w:jc w:val="center"/>
              <w:rPr>
                <w:kern w:val="0"/>
                <w:sz w:val="18"/>
                <w:szCs w:val="18"/>
              </w:rPr>
            </w:pPr>
            <w:r>
              <w:rPr>
                <w:rFonts w:hAnsi="宋体"/>
                <w:kern w:val="0"/>
                <w:sz w:val="18"/>
                <w:szCs w:val="18"/>
              </w:rPr>
              <w:t>用途</w:t>
            </w:r>
          </w:p>
        </w:tc>
        <w:tc>
          <w:tcPr>
            <w:tcW w:w="2233" w:type="dxa"/>
            <w:gridSpan w:val="3"/>
            <w:vMerge w:val="restart"/>
            <w:vAlign w:val="center"/>
          </w:tcPr>
          <w:p>
            <w:pPr>
              <w:widowControl/>
              <w:snapToGrid w:val="0"/>
              <w:jc w:val="center"/>
              <w:rPr>
                <w:kern w:val="0"/>
                <w:sz w:val="18"/>
                <w:szCs w:val="18"/>
              </w:rPr>
            </w:pPr>
            <w:r>
              <w:rPr>
                <w:rFonts w:hAnsi="宋体"/>
                <w:spacing w:val="2"/>
                <w:kern w:val="0"/>
                <w:sz w:val="18"/>
                <w:szCs w:val="18"/>
              </w:rPr>
              <w:t>化学成分质量分数（</w:t>
            </w:r>
            <w:r>
              <w:rPr>
                <w:spacing w:val="2"/>
                <w:kern w:val="0"/>
                <w:sz w:val="18"/>
                <w:szCs w:val="18"/>
              </w:rPr>
              <w:t>%</w:t>
            </w:r>
            <w:r>
              <w:rPr>
                <w:rFonts w:hAnsi="宋体"/>
                <w:spacing w:val="2"/>
                <w:kern w:val="0"/>
                <w:sz w:val="18"/>
                <w:szCs w:val="18"/>
              </w:rPr>
              <w:t>）</w:t>
            </w:r>
          </w:p>
        </w:tc>
        <w:tc>
          <w:tcPr>
            <w:tcW w:w="1026" w:type="dxa"/>
            <w:vMerge w:val="restart"/>
            <w:vAlign w:val="center"/>
          </w:tcPr>
          <w:p>
            <w:pPr>
              <w:widowControl/>
              <w:snapToGrid w:val="0"/>
              <w:jc w:val="center"/>
              <w:rPr>
                <w:spacing w:val="2"/>
                <w:kern w:val="0"/>
                <w:sz w:val="18"/>
                <w:szCs w:val="18"/>
              </w:rPr>
            </w:pPr>
            <w:r>
              <w:rPr>
                <w:rFonts w:hAnsi="宋体"/>
                <w:spacing w:val="2"/>
                <w:kern w:val="0"/>
                <w:sz w:val="18"/>
                <w:szCs w:val="18"/>
              </w:rPr>
              <w:t>碳酸盐质</w:t>
            </w:r>
          </w:p>
          <w:p>
            <w:pPr>
              <w:widowControl/>
              <w:snapToGrid w:val="0"/>
              <w:jc w:val="center"/>
              <w:rPr>
                <w:kern w:val="0"/>
                <w:sz w:val="18"/>
                <w:szCs w:val="18"/>
              </w:rPr>
            </w:pPr>
            <w:r>
              <w:rPr>
                <w:rFonts w:hAnsi="宋体"/>
                <w:spacing w:val="2"/>
                <w:kern w:val="0"/>
                <w:sz w:val="18"/>
                <w:szCs w:val="18"/>
              </w:rPr>
              <w:t>颗粒</w:t>
            </w:r>
          </w:p>
        </w:tc>
        <w:tc>
          <w:tcPr>
            <w:tcW w:w="1648" w:type="dxa"/>
            <w:vMerge w:val="restart"/>
            <w:vAlign w:val="center"/>
          </w:tcPr>
          <w:p>
            <w:pPr>
              <w:widowControl/>
              <w:snapToGrid w:val="0"/>
              <w:jc w:val="center"/>
              <w:rPr>
                <w:kern w:val="0"/>
                <w:sz w:val="18"/>
                <w:szCs w:val="18"/>
              </w:rPr>
            </w:pPr>
            <w:r>
              <w:rPr>
                <w:rFonts w:hAnsi="宋体"/>
                <w:kern w:val="0"/>
                <w:sz w:val="18"/>
                <w:szCs w:val="18"/>
              </w:rPr>
              <w:t>发热量</w:t>
            </w:r>
          </w:p>
          <w:p>
            <w:pPr>
              <w:widowControl/>
              <w:snapToGrid w:val="0"/>
              <w:jc w:val="center"/>
              <w:rPr>
                <w:kern w:val="0"/>
                <w:sz w:val="18"/>
                <w:szCs w:val="18"/>
              </w:rPr>
            </w:pPr>
            <w:r>
              <w:rPr>
                <w:rFonts w:hAnsi="宋体"/>
                <w:kern w:val="0"/>
                <w:sz w:val="18"/>
                <w:szCs w:val="18"/>
              </w:rPr>
              <w:t>（</w:t>
            </w:r>
            <w:r>
              <w:rPr>
                <w:kern w:val="0"/>
                <w:sz w:val="18"/>
                <w:szCs w:val="18"/>
              </w:rPr>
              <w:t>MJ/kg</w:t>
            </w:r>
            <w:r>
              <w:rPr>
                <w:rFonts w:hAnsi="宋体"/>
                <w:kern w:val="0"/>
                <w:sz w:val="18"/>
                <w:szCs w:val="18"/>
              </w:rPr>
              <w:t>）</w:t>
            </w:r>
          </w:p>
        </w:tc>
        <w:tc>
          <w:tcPr>
            <w:tcW w:w="805" w:type="dxa"/>
            <w:vMerge w:val="restart"/>
            <w:vAlign w:val="center"/>
          </w:tcPr>
          <w:p>
            <w:pPr>
              <w:widowControl/>
              <w:snapToGrid w:val="0"/>
              <w:jc w:val="center"/>
              <w:rPr>
                <w:kern w:val="0"/>
                <w:sz w:val="18"/>
                <w:szCs w:val="18"/>
              </w:rPr>
            </w:pPr>
            <w:r>
              <w:rPr>
                <w:rFonts w:hAnsi="宋体"/>
                <w:kern w:val="0"/>
                <w:sz w:val="18"/>
                <w:szCs w:val="18"/>
              </w:rPr>
              <w:t>硅酸率</w:t>
            </w:r>
          </w:p>
          <w:p>
            <w:pPr>
              <w:widowControl/>
              <w:snapToGrid w:val="0"/>
              <w:jc w:val="center"/>
              <w:rPr>
                <w:kern w:val="0"/>
                <w:sz w:val="18"/>
                <w:szCs w:val="18"/>
              </w:rPr>
            </w:pPr>
            <w:r>
              <w:rPr>
                <w:rFonts w:hAnsi="宋体"/>
                <w:kern w:val="0"/>
                <w:sz w:val="18"/>
                <w:szCs w:val="18"/>
              </w:rPr>
              <w:t>（</w:t>
            </w:r>
            <w:r>
              <w:rPr>
                <w:kern w:val="0"/>
                <w:sz w:val="18"/>
                <w:szCs w:val="18"/>
              </w:rPr>
              <w:t>SM</w:t>
            </w:r>
            <w:r>
              <w:rPr>
                <w:rFonts w:hAnsi="宋体"/>
                <w:kern w:val="0"/>
                <w:sz w:val="18"/>
                <w:szCs w:val="18"/>
              </w:rPr>
              <w:t>）</w:t>
            </w:r>
          </w:p>
        </w:tc>
        <w:tc>
          <w:tcPr>
            <w:tcW w:w="805" w:type="dxa"/>
            <w:vMerge w:val="restart"/>
            <w:vAlign w:val="center"/>
          </w:tcPr>
          <w:p>
            <w:pPr>
              <w:widowControl/>
              <w:snapToGrid w:val="0"/>
              <w:jc w:val="center"/>
              <w:rPr>
                <w:kern w:val="0"/>
                <w:sz w:val="18"/>
                <w:szCs w:val="18"/>
              </w:rPr>
            </w:pPr>
            <w:r>
              <w:rPr>
                <w:rFonts w:hAnsi="宋体"/>
                <w:kern w:val="0"/>
                <w:sz w:val="18"/>
                <w:szCs w:val="18"/>
              </w:rPr>
              <w:t>铝氧率</w:t>
            </w:r>
          </w:p>
          <w:p>
            <w:pPr>
              <w:widowControl/>
              <w:snapToGrid w:val="0"/>
              <w:jc w:val="center"/>
              <w:rPr>
                <w:kern w:val="0"/>
                <w:sz w:val="18"/>
                <w:szCs w:val="18"/>
              </w:rPr>
            </w:pPr>
            <w:r>
              <w:rPr>
                <w:rFonts w:hAnsi="宋体"/>
                <w:kern w:val="0"/>
                <w:sz w:val="18"/>
                <w:szCs w:val="18"/>
              </w:rPr>
              <w:t>（</w:t>
            </w:r>
            <w:r>
              <w:rPr>
                <w:kern w:val="0"/>
                <w:sz w:val="18"/>
                <w:szCs w:val="18"/>
              </w:rPr>
              <w:t>AM</w:t>
            </w:r>
            <w:r>
              <w:rPr>
                <w:rFonts w:hAnsi="宋体"/>
                <w:kern w:val="0"/>
                <w:sz w:val="18"/>
                <w:szCs w:val="18"/>
              </w:rPr>
              <w:t>）</w:t>
            </w:r>
          </w:p>
        </w:tc>
        <w:tc>
          <w:tcPr>
            <w:tcW w:w="2497" w:type="dxa"/>
            <w:gridSpan w:val="3"/>
            <w:vAlign w:val="center"/>
          </w:tcPr>
          <w:p>
            <w:pPr>
              <w:widowControl/>
              <w:snapToGrid w:val="0"/>
              <w:jc w:val="center"/>
              <w:rPr>
                <w:spacing w:val="2"/>
                <w:kern w:val="0"/>
                <w:sz w:val="18"/>
                <w:szCs w:val="18"/>
              </w:rPr>
            </w:pPr>
            <w:r>
              <w:rPr>
                <w:rFonts w:hAnsi="宋体"/>
                <w:spacing w:val="2"/>
                <w:kern w:val="0"/>
                <w:sz w:val="18"/>
                <w:szCs w:val="18"/>
              </w:rPr>
              <w:t>化学成分质量分数（</w:t>
            </w:r>
            <w:r>
              <w:rPr>
                <w:spacing w:val="2"/>
                <w:kern w:val="0"/>
                <w:sz w:val="18"/>
                <w:szCs w:val="18"/>
              </w:rPr>
              <w:t>%</w:t>
            </w:r>
            <w:r>
              <w:rPr>
                <w:rFonts w:hAnsi="宋体"/>
                <w:spacing w:val="2"/>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286" w:type="dxa"/>
            <w:vMerge w:val="continue"/>
            <w:vAlign w:val="center"/>
          </w:tcPr>
          <w:p>
            <w:pPr>
              <w:widowControl/>
              <w:snapToGrid w:val="0"/>
              <w:jc w:val="center"/>
              <w:rPr>
                <w:kern w:val="0"/>
                <w:sz w:val="18"/>
                <w:szCs w:val="18"/>
              </w:rPr>
            </w:pPr>
          </w:p>
        </w:tc>
        <w:tc>
          <w:tcPr>
            <w:tcW w:w="2233" w:type="dxa"/>
            <w:gridSpan w:val="3"/>
            <w:vMerge w:val="continue"/>
            <w:vAlign w:val="center"/>
          </w:tcPr>
          <w:p>
            <w:pPr>
              <w:widowControl/>
              <w:snapToGrid w:val="0"/>
              <w:jc w:val="center"/>
              <w:rPr>
                <w:spacing w:val="2"/>
                <w:kern w:val="0"/>
                <w:sz w:val="18"/>
                <w:szCs w:val="18"/>
              </w:rPr>
            </w:pPr>
          </w:p>
        </w:tc>
        <w:tc>
          <w:tcPr>
            <w:tcW w:w="1026" w:type="dxa"/>
            <w:vMerge w:val="continue"/>
            <w:vAlign w:val="center"/>
          </w:tcPr>
          <w:p>
            <w:pPr>
              <w:widowControl/>
              <w:snapToGrid w:val="0"/>
              <w:jc w:val="center"/>
              <w:rPr>
                <w:spacing w:val="2"/>
                <w:kern w:val="0"/>
                <w:sz w:val="18"/>
                <w:szCs w:val="18"/>
              </w:rPr>
            </w:pPr>
          </w:p>
        </w:tc>
        <w:tc>
          <w:tcPr>
            <w:tcW w:w="1648" w:type="dxa"/>
            <w:vMerge w:val="continue"/>
            <w:vAlign w:val="center"/>
          </w:tcPr>
          <w:p>
            <w:pPr>
              <w:widowControl/>
              <w:snapToGrid w:val="0"/>
              <w:jc w:val="center"/>
              <w:rPr>
                <w:kern w:val="0"/>
                <w:sz w:val="18"/>
                <w:szCs w:val="18"/>
              </w:rPr>
            </w:pPr>
          </w:p>
        </w:tc>
        <w:tc>
          <w:tcPr>
            <w:tcW w:w="805" w:type="dxa"/>
            <w:vMerge w:val="continue"/>
            <w:vAlign w:val="center"/>
          </w:tcPr>
          <w:p>
            <w:pPr>
              <w:widowControl/>
              <w:snapToGrid w:val="0"/>
              <w:jc w:val="center"/>
              <w:rPr>
                <w:kern w:val="0"/>
                <w:sz w:val="18"/>
                <w:szCs w:val="18"/>
              </w:rPr>
            </w:pPr>
          </w:p>
        </w:tc>
        <w:tc>
          <w:tcPr>
            <w:tcW w:w="805" w:type="dxa"/>
            <w:vMerge w:val="continue"/>
            <w:vAlign w:val="center"/>
          </w:tcPr>
          <w:p>
            <w:pPr>
              <w:widowControl/>
              <w:snapToGrid w:val="0"/>
              <w:jc w:val="center"/>
              <w:rPr>
                <w:kern w:val="0"/>
                <w:sz w:val="18"/>
                <w:szCs w:val="18"/>
              </w:rPr>
            </w:pPr>
          </w:p>
        </w:tc>
        <w:tc>
          <w:tcPr>
            <w:tcW w:w="756" w:type="dxa"/>
            <w:vMerge w:val="restart"/>
            <w:vAlign w:val="center"/>
          </w:tcPr>
          <w:p>
            <w:pPr>
              <w:snapToGrid w:val="0"/>
              <w:jc w:val="center"/>
              <w:rPr>
                <w:kern w:val="0"/>
                <w:sz w:val="18"/>
                <w:szCs w:val="18"/>
              </w:rPr>
            </w:pPr>
            <w:r>
              <w:rPr>
                <w:kern w:val="0"/>
                <w:sz w:val="18"/>
                <w:szCs w:val="18"/>
              </w:rPr>
              <w:t>MgO</w:t>
            </w:r>
          </w:p>
        </w:tc>
        <w:tc>
          <w:tcPr>
            <w:tcW w:w="1168" w:type="dxa"/>
            <w:vMerge w:val="restart"/>
            <w:vAlign w:val="center"/>
          </w:tcPr>
          <w:p>
            <w:pPr>
              <w:snapToGrid w:val="0"/>
              <w:jc w:val="center"/>
              <w:rPr>
                <w:kern w:val="0"/>
                <w:sz w:val="18"/>
                <w:szCs w:val="18"/>
              </w:rPr>
            </w:pPr>
            <w:r>
              <w:rPr>
                <w:kern w:val="0"/>
                <w:sz w:val="18"/>
                <w:szCs w:val="18"/>
              </w:rPr>
              <w:t>K</w:t>
            </w:r>
            <w:r>
              <w:rPr>
                <w:spacing w:val="2"/>
                <w:kern w:val="0"/>
                <w:sz w:val="18"/>
                <w:szCs w:val="18"/>
                <w:vertAlign w:val="subscript"/>
              </w:rPr>
              <w:t>2</w:t>
            </w:r>
            <w:r>
              <w:rPr>
                <w:kern w:val="0"/>
                <w:sz w:val="18"/>
                <w:szCs w:val="18"/>
              </w:rPr>
              <w:t>O+Na</w:t>
            </w:r>
            <w:r>
              <w:rPr>
                <w:spacing w:val="2"/>
                <w:kern w:val="0"/>
                <w:sz w:val="18"/>
                <w:szCs w:val="18"/>
                <w:vertAlign w:val="subscript"/>
              </w:rPr>
              <w:t>2</w:t>
            </w:r>
            <w:r>
              <w:rPr>
                <w:kern w:val="0"/>
                <w:sz w:val="18"/>
                <w:szCs w:val="18"/>
              </w:rPr>
              <w:t>O</w:t>
            </w:r>
          </w:p>
        </w:tc>
        <w:tc>
          <w:tcPr>
            <w:tcW w:w="573" w:type="dxa"/>
            <w:vMerge w:val="restart"/>
            <w:vAlign w:val="center"/>
          </w:tcPr>
          <w:p>
            <w:pPr>
              <w:snapToGrid w:val="0"/>
              <w:jc w:val="center"/>
              <w:rPr>
                <w:kern w:val="0"/>
                <w:sz w:val="18"/>
                <w:szCs w:val="18"/>
              </w:rPr>
            </w:pPr>
            <w:r>
              <w:rPr>
                <w:kern w:val="0"/>
                <w:sz w:val="18"/>
                <w:szCs w:val="18"/>
              </w:rPr>
              <w:t>SO</w:t>
            </w:r>
            <w:r>
              <w:rPr>
                <w:spacing w:val="2"/>
                <w:kern w:val="0"/>
                <w:sz w:val="18"/>
                <w:szCs w:val="18"/>
                <w:vertAlign w:val="sub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286" w:type="dxa"/>
            <w:vMerge w:val="continue"/>
            <w:vAlign w:val="center"/>
          </w:tcPr>
          <w:p>
            <w:pPr>
              <w:widowControl/>
              <w:snapToGrid w:val="0"/>
              <w:jc w:val="center"/>
              <w:rPr>
                <w:kern w:val="0"/>
                <w:sz w:val="18"/>
                <w:szCs w:val="18"/>
              </w:rPr>
            </w:pPr>
          </w:p>
        </w:tc>
        <w:tc>
          <w:tcPr>
            <w:tcW w:w="732" w:type="dxa"/>
            <w:vAlign w:val="center"/>
          </w:tcPr>
          <w:p>
            <w:pPr>
              <w:widowControl/>
              <w:jc w:val="center"/>
              <w:rPr>
                <w:color w:val="000000"/>
                <w:kern w:val="0"/>
                <w:sz w:val="18"/>
                <w:szCs w:val="18"/>
              </w:rPr>
            </w:pPr>
            <w:r>
              <w:rPr>
                <w:color w:val="000000"/>
                <w:spacing w:val="2"/>
                <w:kern w:val="0"/>
                <w:sz w:val="18"/>
                <w:szCs w:val="18"/>
              </w:rPr>
              <w:t>CaO</w:t>
            </w:r>
          </w:p>
        </w:tc>
        <w:tc>
          <w:tcPr>
            <w:tcW w:w="731" w:type="dxa"/>
            <w:vAlign w:val="center"/>
          </w:tcPr>
          <w:p>
            <w:pPr>
              <w:widowControl/>
              <w:jc w:val="center"/>
              <w:rPr>
                <w:kern w:val="0"/>
                <w:sz w:val="18"/>
                <w:szCs w:val="18"/>
              </w:rPr>
            </w:pPr>
            <w:r>
              <w:rPr>
                <w:spacing w:val="2"/>
                <w:kern w:val="0"/>
                <w:sz w:val="18"/>
                <w:szCs w:val="18"/>
              </w:rPr>
              <w:t>Fe</w:t>
            </w:r>
            <w:r>
              <w:rPr>
                <w:spacing w:val="2"/>
                <w:kern w:val="0"/>
                <w:sz w:val="18"/>
                <w:szCs w:val="18"/>
                <w:vertAlign w:val="subscript"/>
              </w:rPr>
              <w:t>2</w:t>
            </w:r>
            <w:r>
              <w:rPr>
                <w:spacing w:val="2"/>
                <w:kern w:val="0"/>
                <w:sz w:val="18"/>
                <w:szCs w:val="18"/>
              </w:rPr>
              <w:t>O</w:t>
            </w:r>
            <w:r>
              <w:rPr>
                <w:spacing w:val="2"/>
                <w:kern w:val="0"/>
                <w:sz w:val="18"/>
                <w:szCs w:val="18"/>
                <w:vertAlign w:val="subscript"/>
              </w:rPr>
              <w:t>3</w:t>
            </w:r>
          </w:p>
        </w:tc>
        <w:tc>
          <w:tcPr>
            <w:tcW w:w="770" w:type="dxa"/>
            <w:vAlign w:val="center"/>
          </w:tcPr>
          <w:p>
            <w:pPr>
              <w:widowControl/>
              <w:jc w:val="center"/>
              <w:rPr>
                <w:kern w:val="0"/>
                <w:sz w:val="18"/>
                <w:szCs w:val="18"/>
              </w:rPr>
            </w:pPr>
            <w:r>
              <w:rPr>
                <w:rFonts w:hAnsi="宋体"/>
                <w:kern w:val="0"/>
                <w:sz w:val="18"/>
                <w:szCs w:val="18"/>
              </w:rPr>
              <w:t>全硫</w:t>
            </w:r>
          </w:p>
        </w:tc>
        <w:tc>
          <w:tcPr>
            <w:tcW w:w="1026" w:type="dxa"/>
            <w:vMerge w:val="continue"/>
            <w:vAlign w:val="center"/>
          </w:tcPr>
          <w:p>
            <w:pPr>
              <w:widowControl/>
              <w:jc w:val="center"/>
              <w:rPr>
                <w:kern w:val="0"/>
                <w:sz w:val="18"/>
                <w:szCs w:val="18"/>
              </w:rPr>
            </w:pPr>
          </w:p>
        </w:tc>
        <w:tc>
          <w:tcPr>
            <w:tcW w:w="1648" w:type="dxa"/>
            <w:vMerge w:val="continue"/>
            <w:vAlign w:val="center"/>
          </w:tcPr>
          <w:p>
            <w:pPr>
              <w:widowControl/>
              <w:jc w:val="center"/>
              <w:rPr>
                <w:kern w:val="0"/>
                <w:sz w:val="18"/>
                <w:szCs w:val="18"/>
                <w:u w:val="single"/>
              </w:rPr>
            </w:pPr>
          </w:p>
        </w:tc>
        <w:tc>
          <w:tcPr>
            <w:tcW w:w="805" w:type="dxa"/>
            <w:vMerge w:val="continue"/>
            <w:vAlign w:val="center"/>
          </w:tcPr>
          <w:p>
            <w:pPr>
              <w:widowControl/>
              <w:jc w:val="center"/>
              <w:rPr>
                <w:kern w:val="0"/>
                <w:sz w:val="18"/>
                <w:szCs w:val="18"/>
                <w:u w:val="single"/>
              </w:rPr>
            </w:pPr>
          </w:p>
        </w:tc>
        <w:tc>
          <w:tcPr>
            <w:tcW w:w="805" w:type="dxa"/>
            <w:vMerge w:val="continue"/>
            <w:vAlign w:val="center"/>
          </w:tcPr>
          <w:p>
            <w:pPr>
              <w:widowControl/>
              <w:jc w:val="center"/>
              <w:rPr>
                <w:kern w:val="0"/>
                <w:sz w:val="18"/>
                <w:szCs w:val="18"/>
                <w:u w:val="single"/>
              </w:rPr>
            </w:pPr>
          </w:p>
        </w:tc>
        <w:tc>
          <w:tcPr>
            <w:tcW w:w="756" w:type="dxa"/>
            <w:vMerge w:val="continue"/>
            <w:vAlign w:val="center"/>
          </w:tcPr>
          <w:p>
            <w:pPr>
              <w:widowControl/>
              <w:jc w:val="center"/>
              <w:rPr>
                <w:kern w:val="0"/>
                <w:sz w:val="18"/>
                <w:szCs w:val="18"/>
                <w:u w:val="single"/>
              </w:rPr>
            </w:pPr>
          </w:p>
        </w:tc>
        <w:tc>
          <w:tcPr>
            <w:tcW w:w="1168" w:type="dxa"/>
            <w:vMerge w:val="continue"/>
            <w:vAlign w:val="center"/>
          </w:tcPr>
          <w:p>
            <w:pPr>
              <w:widowControl/>
              <w:jc w:val="center"/>
              <w:rPr>
                <w:kern w:val="0"/>
                <w:sz w:val="18"/>
                <w:szCs w:val="18"/>
                <w:u w:val="single"/>
              </w:rPr>
            </w:pPr>
          </w:p>
        </w:tc>
        <w:tc>
          <w:tcPr>
            <w:tcW w:w="573" w:type="dxa"/>
            <w:vMerge w:val="continue"/>
            <w:vAlign w:val="center"/>
          </w:tcPr>
          <w:p>
            <w:pPr>
              <w:widowControl/>
              <w:jc w:val="center"/>
              <w:rPr>
                <w:kern w:val="0"/>
                <w:sz w:val="18"/>
                <w:szCs w:val="1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286" w:type="dxa"/>
            <w:vAlign w:val="center"/>
          </w:tcPr>
          <w:p>
            <w:pPr>
              <w:widowControl/>
              <w:snapToGrid w:val="0"/>
              <w:jc w:val="center"/>
              <w:rPr>
                <w:kern w:val="0"/>
                <w:sz w:val="18"/>
                <w:szCs w:val="18"/>
              </w:rPr>
            </w:pPr>
            <w:r>
              <w:rPr>
                <w:rFonts w:hAnsi="宋体"/>
                <w:spacing w:val="2"/>
                <w:kern w:val="0"/>
                <w:sz w:val="18"/>
                <w:szCs w:val="18"/>
              </w:rPr>
              <w:t>砖瓦原料用</w:t>
            </w:r>
          </w:p>
        </w:tc>
        <w:tc>
          <w:tcPr>
            <w:tcW w:w="732" w:type="dxa"/>
            <w:vAlign w:val="center"/>
          </w:tcPr>
          <w:p>
            <w:pPr>
              <w:widowControl/>
              <w:jc w:val="center"/>
              <w:rPr>
                <w:color w:val="000000"/>
                <w:kern w:val="0"/>
                <w:sz w:val="18"/>
                <w:szCs w:val="18"/>
              </w:rPr>
            </w:pPr>
            <w:r>
              <w:rPr>
                <w:rFonts w:ascii="宋体" w:hAnsi="宋体"/>
                <w:color w:val="000000"/>
                <w:spacing w:val="2"/>
                <w:kern w:val="0"/>
                <w:sz w:val="18"/>
                <w:szCs w:val="18"/>
              </w:rPr>
              <w:t>≤</w:t>
            </w:r>
            <w:r>
              <w:rPr>
                <w:color w:val="000000"/>
                <w:spacing w:val="2"/>
                <w:kern w:val="0"/>
                <w:sz w:val="18"/>
                <w:szCs w:val="18"/>
              </w:rPr>
              <w:t>15</w:t>
            </w:r>
          </w:p>
        </w:tc>
        <w:tc>
          <w:tcPr>
            <w:tcW w:w="731" w:type="dxa"/>
            <w:vAlign w:val="center"/>
          </w:tcPr>
          <w:p>
            <w:pPr>
              <w:widowControl/>
              <w:jc w:val="center"/>
              <w:rPr>
                <w:kern w:val="0"/>
                <w:sz w:val="18"/>
                <w:szCs w:val="18"/>
              </w:rPr>
            </w:pPr>
            <w:r>
              <w:rPr>
                <w:rFonts w:hAnsi="宋体"/>
                <w:kern w:val="0"/>
                <w:sz w:val="18"/>
                <w:szCs w:val="18"/>
              </w:rPr>
              <w:t>＜</w:t>
            </w:r>
            <w:r>
              <w:rPr>
                <w:spacing w:val="2"/>
                <w:kern w:val="0"/>
                <w:sz w:val="18"/>
                <w:szCs w:val="18"/>
              </w:rPr>
              <w:t>10</w:t>
            </w:r>
          </w:p>
        </w:tc>
        <w:tc>
          <w:tcPr>
            <w:tcW w:w="770" w:type="dxa"/>
            <w:vAlign w:val="center"/>
          </w:tcPr>
          <w:p>
            <w:pPr>
              <w:widowControl/>
              <w:jc w:val="center"/>
              <w:rPr>
                <w:kern w:val="0"/>
                <w:sz w:val="18"/>
                <w:szCs w:val="18"/>
              </w:rPr>
            </w:pPr>
            <w:r>
              <w:rPr>
                <w:rFonts w:ascii="宋体" w:hAnsi="宋体"/>
                <w:kern w:val="0"/>
                <w:sz w:val="18"/>
                <w:szCs w:val="18"/>
              </w:rPr>
              <w:t>≤</w:t>
            </w:r>
            <w:r>
              <w:rPr>
                <w:kern w:val="0"/>
                <w:sz w:val="18"/>
                <w:szCs w:val="18"/>
              </w:rPr>
              <w:t>3</w:t>
            </w:r>
          </w:p>
        </w:tc>
        <w:tc>
          <w:tcPr>
            <w:tcW w:w="1026" w:type="dxa"/>
            <w:vAlign w:val="center"/>
          </w:tcPr>
          <w:p>
            <w:pPr>
              <w:widowControl/>
              <w:snapToGrid w:val="0"/>
              <w:jc w:val="center"/>
              <w:rPr>
                <w:kern w:val="0"/>
                <w:sz w:val="18"/>
                <w:szCs w:val="18"/>
              </w:rPr>
            </w:pPr>
            <w:r>
              <w:rPr>
                <w:rFonts w:hAnsi="宋体"/>
                <w:kern w:val="0"/>
                <w:sz w:val="18"/>
                <w:szCs w:val="18"/>
              </w:rPr>
              <w:t>不允许</w:t>
            </w:r>
          </w:p>
        </w:tc>
        <w:tc>
          <w:tcPr>
            <w:tcW w:w="1648" w:type="dxa"/>
            <w:vAlign w:val="center"/>
          </w:tcPr>
          <w:p>
            <w:pPr>
              <w:widowControl/>
              <w:jc w:val="center"/>
              <w:rPr>
                <w:kern w:val="0"/>
                <w:sz w:val="18"/>
                <w:szCs w:val="18"/>
              </w:rPr>
            </w:pPr>
            <w:r>
              <w:rPr>
                <w:rFonts w:hAnsi="宋体"/>
                <w:kern w:val="0"/>
                <w:sz w:val="18"/>
                <w:szCs w:val="18"/>
              </w:rPr>
              <w:t>不规定</w:t>
            </w:r>
          </w:p>
        </w:tc>
        <w:tc>
          <w:tcPr>
            <w:tcW w:w="805" w:type="dxa"/>
            <w:vAlign w:val="center"/>
          </w:tcPr>
          <w:p>
            <w:pPr>
              <w:widowControl/>
              <w:jc w:val="center"/>
              <w:rPr>
                <w:kern w:val="0"/>
                <w:sz w:val="18"/>
                <w:szCs w:val="18"/>
              </w:rPr>
            </w:pPr>
          </w:p>
        </w:tc>
        <w:tc>
          <w:tcPr>
            <w:tcW w:w="805" w:type="dxa"/>
            <w:vAlign w:val="center"/>
          </w:tcPr>
          <w:p>
            <w:pPr>
              <w:widowControl/>
              <w:jc w:val="center"/>
              <w:rPr>
                <w:kern w:val="0"/>
                <w:sz w:val="18"/>
                <w:szCs w:val="18"/>
              </w:rPr>
            </w:pPr>
          </w:p>
        </w:tc>
        <w:tc>
          <w:tcPr>
            <w:tcW w:w="756" w:type="dxa"/>
            <w:vAlign w:val="center"/>
          </w:tcPr>
          <w:p>
            <w:pPr>
              <w:widowControl/>
              <w:jc w:val="center"/>
              <w:rPr>
                <w:kern w:val="0"/>
                <w:sz w:val="18"/>
                <w:szCs w:val="18"/>
              </w:rPr>
            </w:pPr>
          </w:p>
        </w:tc>
        <w:tc>
          <w:tcPr>
            <w:tcW w:w="1168" w:type="dxa"/>
            <w:vAlign w:val="center"/>
          </w:tcPr>
          <w:p>
            <w:pPr>
              <w:widowControl/>
              <w:jc w:val="center"/>
              <w:rPr>
                <w:kern w:val="0"/>
                <w:sz w:val="18"/>
                <w:szCs w:val="18"/>
              </w:rPr>
            </w:pPr>
          </w:p>
        </w:tc>
        <w:tc>
          <w:tcPr>
            <w:tcW w:w="573"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286" w:type="dxa"/>
            <w:vAlign w:val="center"/>
          </w:tcPr>
          <w:p>
            <w:pPr>
              <w:widowControl/>
              <w:snapToGrid w:val="0"/>
              <w:jc w:val="center"/>
              <w:rPr>
                <w:kern w:val="0"/>
                <w:sz w:val="18"/>
                <w:szCs w:val="18"/>
              </w:rPr>
            </w:pPr>
            <w:r>
              <w:rPr>
                <w:rFonts w:hAnsi="宋体"/>
                <w:kern w:val="0"/>
                <w:sz w:val="18"/>
                <w:szCs w:val="18"/>
              </w:rPr>
              <w:t>辅助燃料用</w:t>
            </w:r>
          </w:p>
        </w:tc>
        <w:tc>
          <w:tcPr>
            <w:tcW w:w="732" w:type="dxa"/>
            <w:vAlign w:val="center"/>
          </w:tcPr>
          <w:p>
            <w:pPr>
              <w:widowControl/>
              <w:jc w:val="center"/>
              <w:rPr>
                <w:color w:val="0000FF"/>
                <w:kern w:val="0"/>
                <w:sz w:val="18"/>
                <w:szCs w:val="18"/>
              </w:rPr>
            </w:pPr>
          </w:p>
        </w:tc>
        <w:tc>
          <w:tcPr>
            <w:tcW w:w="731" w:type="dxa"/>
            <w:vAlign w:val="center"/>
          </w:tcPr>
          <w:p>
            <w:pPr>
              <w:widowControl/>
              <w:jc w:val="center"/>
              <w:rPr>
                <w:kern w:val="0"/>
                <w:sz w:val="18"/>
                <w:szCs w:val="18"/>
              </w:rPr>
            </w:pPr>
          </w:p>
        </w:tc>
        <w:tc>
          <w:tcPr>
            <w:tcW w:w="770" w:type="dxa"/>
            <w:vAlign w:val="center"/>
          </w:tcPr>
          <w:p>
            <w:pPr>
              <w:widowControl/>
              <w:jc w:val="center"/>
              <w:rPr>
                <w:spacing w:val="2"/>
                <w:kern w:val="0"/>
                <w:sz w:val="18"/>
                <w:szCs w:val="18"/>
              </w:rPr>
            </w:pPr>
            <w:r>
              <w:rPr>
                <w:rFonts w:ascii="宋体" w:hAnsi="宋体"/>
                <w:kern w:val="0"/>
                <w:sz w:val="18"/>
                <w:szCs w:val="18"/>
              </w:rPr>
              <w:t>≤</w:t>
            </w:r>
            <w:r>
              <w:rPr>
                <w:kern w:val="0"/>
                <w:sz w:val="18"/>
                <w:szCs w:val="18"/>
              </w:rPr>
              <w:t>3</w:t>
            </w:r>
          </w:p>
        </w:tc>
        <w:tc>
          <w:tcPr>
            <w:tcW w:w="1026" w:type="dxa"/>
            <w:vAlign w:val="center"/>
          </w:tcPr>
          <w:p>
            <w:pPr>
              <w:widowControl/>
              <w:snapToGrid w:val="0"/>
              <w:jc w:val="center"/>
              <w:rPr>
                <w:kern w:val="0"/>
                <w:sz w:val="18"/>
                <w:szCs w:val="18"/>
              </w:rPr>
            </w:pPr>
          </w:p>
        </w:tc>
        <w:tc>
          <w:tcPr>
            <w:tcW w:w="1648" w:type="dxa"/>
            <w:vAlign w:val="center"/>
          </w:tcPr>
          <w:p>
            <w:pPr>
              <w:widowControl/>
              <w:jc w:val="center"/>
              <w:rPr>
                <w:spacing w:val="2"/>
                <w:kern w:val="0"/>
                <w:sz w:val="18"/>
                <w:szCs w:val="18"/>
              </w:rPr>
            </w:pPr>
            <w:r>
              <w:rPr>
                <w:kern w:val="0"/>
                <w:sz w:val="18"/>
                <w:szCs w:val="18"/>
              </w:rPr>
              <w:t>3.3</w:t>
            </w:r>
            <w:r>
              <w:rPr>
                <w:rFonts w:ascii="宋体" w:hAnsi="宋体"/>
                <w:kern w:val="0"/>
                <w:sz w:val="18"/>
                <w:szCs w:val="18"/>
              </w:rPr>
              <w:t>≤</w:t>
            </w:r>
            <w:r>
              <w:rPr>
                <w:kern w:val="0"/>
                <w:sz w:val="18"/>
                <w:szCs w:val="18"/>
              </w:rPr>
              <w:t>Qnet,d</w:t>
            </w:r>
            <w:r>
              <w:rPr>
                <w:rFonts w:hAnsi="宋体"/>
                <w:kern w:val="0"/>
                <w:sz w:val="18"/>
                <w:szCs w:val="18"/>
              </w:rPr>
              <w:t>＜</w:t>
            </w:r>
            <w:r>
              <w:rPr>
                <w:kern w:val="0"/>
                <w:sz w:val="18"/>
                <w:szCs w:val="18"/>
              </w:rPr>
              <w:t>10</w:t>
            </w:r>
          </w:p>
        </w:tc>
        <w:tc>
          <w:tcPr>
            <w:tcW w:w="805" w:type="dxa"/>
            <w:vAlign w:val="center"/>
          </w:tcPr>
          <w:p>
            <w:pPr>
              <w:widowControl/>
              <w:jc w:val="center"/>
              <w:rPr>
                <w:spacing w:val="2"/>
                <w:kern w:val="0"/>
                <w:sz w:val="18"/>
                <w:szCs w:val="18"/>
              </w:rPr>
            </w:pPr>
          </w:p>
        </w:tc>
        <w:tc>
          <w:tcPr>
            <w:tcW w:w="805" w:type="dxa"/>
            <w:vAlign w:val="center"/>
          </w:tcPr>
          <w:p>
            <w:pPr>
              <w:widowControl/>
              <w:jc w:val="center"/>
              <w:rPr>
                <w:spacing w:val="2"/>
                <w:kern w:val="0"/>
                <w:sz w:val="18"/>
                <w:szCs w:val="18"/>
              </w:rPr>
            </w:pPr>
          </w:p>
        </w:tc>
        <w:tc>
          <w:tcPr>
            <w:tcW w:w="756" w:type="dxa"/>
            <w:vAlign w:val="center"/>
          </w:tcPr>
          <w:p>
            <w:pPr>
              <w:widowControl/>
              <w:jc w:val="center"/>
              <w:rPr>
                <w:spacing w:val="2"/>
                <w:kern w:val="0"/>
                <w:sz w:val="18"/>
                <w:szCs w:val="18"/>
              </w:rPr>
            </w:pPr>
          </w:p>
          <w:p>
            <w:pPr>
              <w:widowControl/>
              <w:jc w:val="center"/>
              <w:rPr>
                <w:spacing w:val="2"/>
                <w:kern w:val="0"/>
                <w:sz w:val="18"/>
                <w:szCs w:val="18"/>
              </w:rPr>
            </w:pPr>
          </w:p>
        </w:tc>
        <w:tc>
          <w:tcPr>
            <w:tcW w:w="1168" w:type="dxa"/>
            <w:vAlign w:val="center"/>
          </w:tcPr>
          <w:p>
            <w:pPr>
              <w:widowControl/>
              <w:jc w:val="center"/>
              <w:rPr>
                <w:spacing w:val="2"/>
                <w:kern w:val="0"/>
                <w:sz w:val="18"/>
                <w:szCs w:val="18"/>
              </w:rPr>
            </w:pPr>
          </w:p>
        </w:tc>
        <w:tc>
          <w:tcPr>
            <w:tcW w:w="573" w:type="dxa"/>
            <w:vAlign w:val="center"/>
          </w:tcPr>
          <w:p>
            <w:pPr>
              <w:widowControl/>
              <w:jc w:val="center"/>
              <w:rPr>
                <w:spacing w:val="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286" w:type="dxa"/>
            <w:vAlign w:val="center"/>
          </w:tcPr>
          <w:p>
            <w:pPr>
              <w:widowControl/>
              <w:snapToGrid w:val="0"/>
              <w:jc w:val="center"/>
              <w:rPr>
                <w:kern w:val="0"/>
                <w:sz w:val="18"/>
                <w:szCs w:val="18"/>
              </w:rPr>
            </w:pPr>
            <w:r>
              <w:rPr>
                <w:rFonts w:hAnsi="宋体"/>
                <w:kern w:val="0"/>
                <w:sz w:val="18"/>
                <w:szCs w:val="18"/>
              </w:rPr>
              <w:t>水泥配料用</w:t>
            </w:r>
          </w:p>
        </w:tc>
        <w:tc>
          <w:tcPr>
            <w:tcW w:w="732" w:type="dxa"/>
            <w:vAlign w:val="center"/>
          </w:tcPr>
          <w:p>
            <w:pPr>
              <w:widowControl/>
              <w:jc w:val="center"/>
              <w:rPr>
                <w:color w:val="0000FF"/>
                <w:kern w:val="0"/>
                <w:sz w:val="18"/>
                <w:szCs w:val="18"/>
              </w:rPr>
            </w:pPr>
          </w:p>
        </w:tc>
        <w:tc>
          <w:tcPr>
            <w:tcW w:w="731" w:type="dxa"/>
            <w:vAlign w:val="center"/>
          </w:tcPr>
          <w:p>
            <w:pPr>
              <w:widowControl/>
              <w:jc w:val="center"/>
              <w:rPr>
                <w:kern w:val="0"/>
                <w:sz w:val="18"/>
                <w:szCs w:val="18"/>
              </w:rPr>
            </w:pPr>
          </w:p>
        </w:tc>
        <w:tc>
          <w:tcPr>
            <w:tcW w:w="770" w:type="dxa"/>
            <w:vAlign w:val="center"/>
          </w:tcPr>
          <w:p>
            <w:pPr>
              <w:widowControl/>
              <w:jc w:val="center"/>
              <w:rPr>
                <w:kern w:val="0"/>
                <w:sz w:val="18"/>
                <w:szCs w:val="18"/>
              </w:rPr>
            </w:pPr>
          </w:p>
        </w:tc>
        <w:tc>
          <w:tcPr>
            <w:tcW w:w="1026" w:type="dxa"/>
            <w:vAlign w:val="center"/>
          </w:tcPr>
          <w:p>
            <w:pPr>
              <w:widowControl/>
              <w:snapToGrid w:val="0"/>
              <w:jc w:val="center"/>
              <w:rPr>
                <w:kern w:val="0"/>
                <w:sz w:val="18"/>
                <w:szCs w:val="18"/>
              </w:rPr>
            </w:pPr>
          </w:p>
        </w:tc>
        <w:tc>
          <w:tcPr>
            <w:tcW w:w="1648" w:type="dxa"/>
            <w:vAlign w:val="center"/>
          </w:tcPr>
          <w:p>
            <w:pPr>
              <w:widowControl/>
              <w:jc w:val="center"/>
              <w:rPr>
                <w:kern w:val="0"/>
                <w:sz w:val="18"/>
                <w:szCs w:val="18"/>
              </w:rPr>
            </w:pPr>
          </w:p>
        </w:tc>
        <w:tc>
          <w:tcPr>
            <w:tcW w:w="805" w:type="dxa"/>
            <w:vAlign w:val="center"/>
          </w:tcPr>
          <w:p>
            <w:pPr>
              <w:widowControl/>
              <w:jc w:val="center"/>
              <w:rPr>
                <w:kern w:val="0"/>
                <w:sz w:val="18"/>
                <w:szCs w:val="18"/>
              </w:rPr>
            </w:pPr>
            <w:r>
              <w:rPr>
                <w:kern w:val="0"/>
                <w:sz w:val="18"/>
                <w:szCs w:val="18"/>
              </w:rPr>
              <w:t>2</w:t>
            </w:r>
            <w:r>
              <w:rPr>
                <w:kern w:val="0"/>
                <w:szCs w:val="21"/>
              </w:rPr>
              <w:t>~</w:t>
            </w:r>
            <w:r>
              <w:rPr>
                <w:kern w:val="0"/>
                <w:sz w:val="18"/>
                <w:szCs w:val="18"/>
              </w:rPr>
              <w:t>3</w:t>
            </w:r>
          </w:p>
        </w:tc>
        <w:tc>
          <w:tcPr>
            <w:tcW w:w="805" w:type="dxa"/>
            <w:vAlign w:val="center"/>
          </w:tcPr>
          <w:p>
            <w:pPr>
              <w:widowControl/>
              <w:jc w:val="center"/>
              <w:rPr>
                <w:kern w:val="0"/>
                <w:sz w:val="18"/>
                <w:szCs w:val="18"/>
              </w:rPr>
            </w:pPr>
            <w:r>
              <w:rPr>
                <w:rFonts w:hAnsi="宋体"/>
                <w:kern w:val="0"/>
                <w:sz w:val="18"/>
                <w:szCs w:val="18"/>
              </w:rPr>
              <w:t>不限</w:t>
            </w:r>
          </w:p>
        </w:tc>
        <w:tc>
          <w:tcPr>
            <w:tcW w:w="756" w:type="dxa"/>
            <w:vAlign w:val="center"/>
          </w:tcPr>
          <w:p>
            <w:pPr>
              <w:widowControl/>
              <w:jc w:val="center"/>
              <w:rPr>
                <w:kern w:val="0"/>
                <w:sz w:val="18"/>
                <w:szCs w:val="18"/>
              </w:rPr>
            </w:pPr>
            <w:r>
              <w:rPr>
                <w:rFonts w:ascii="宋体" w:hAnsi="宋体"/>
                <w:kern w:val="0"/>
                <w:sz w:val="18"/>
                <w:szCs w:val="18"/>
              </w:rPr>
              <w:t>≤</w:t>
            </w:r>
            <w:r>
              <w:rPr>
                <w:kern w:val="0"/>
                <w:sz w:val="18"/>
                <w:szCs w:val="18"/>
              </w:rPr>
              <w:t>3</w:t>
            </w:r>
          </w:p>
        </w:tc>
        <w:tc>
          <w:tcPr>
            <w:tcW w:w="1168" w:type="dxa"/>
            <w:vAlign w:val="center"/>
          </w:tcPr>
          <w:p>
            <w:pPr>
              <w:widowControl/>
              <w:jc w:val="center"/>
              <w:rPr>
                <w:kern w:val="0"/>
                <w:sz w:val="18"/>
                <w:szCs w:val="18"/>
              </w:rPr>
            </w:pPr>
            <w:r>
              <w:rPr>
                <w:rFonts w:ascii="宋体" w:hAnsi="宋体"/>
                <w:kern w:val="0"/>
                <w:sz w:val="18"/>
                <w:szCs w:val="18"/>
              </w:rPr>
              <w:t>≤</w:t>
            </w:r>
            <w:r>
              <w:rPr>
                <w:kern w:val="0"/>
                <w:sz w:val="18"/>
                <w:szCs w:val="18"/>
              </w:rPr>
              <w:t>4</w:t>
            </w:r>
          </w:p>
        </w:tc>
        <w:tc>
          <w:tcPr>
            <w:tcW w:w="573" w:type="dxa"/>
            <w:vAlign w:val="center"/>
          </w:tcPr>
          <w:p>
            <w:pPr>
              <w:widowControl/>
              <w:jc w:val="center"/>
              <w:rPr>
                <w:kern w:val="0"/>
                <w:sz w:val="18"/>
                <w:szCs w:val="18"/>
              </w:rPr>
            </w:pPr>
            <w:r>
              <w:rPr>
                <w:rFonts w:ascii="宋体" w:hAnsi="宋体"/>
                <w:kern w:val="0"/>
                <w:sz w:val="18"/>
                <w:szCs w:val="18"/>
              </w:rPr>
              <w:t>≤</w:t>
            </w:r>
            <w:r>
              <w:rPr>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0300" w:type="dxa"/>
            <w:gridSpan w:val="11"/>
            <w:vAlign w:val="center"/>
          </w:tcPr>
          <w:p>
            <w:pPr>
              <w:widowControl/>
              <w:ind w:firstLine="364"/>
              <w:rPr>
                <w:rFonts w:hint="eastAsia" w:ascii="宋体" w:hAnsi="宋体"/>
                <w:spacing w:val="1"/>
                <w:kern w:val="0"/>
                <w:sz w:val="18"/>
                <w:szCs w:val="18"/>
              </w:rPr>
            </w:pPr>
            <w:r>
              <w:rPr>
                <w:rFonts w:hint="eastAsia" w:ascii="宋体" w:hAnsi="宋体"/>
                <w:spacing w:val="1"/>
                <w:kern w:val="0"/>
                <w:sz w:val="18"/>
                <w:szCs w:val="18"/>
              </w:rPr>
              <w:t>注1：表中列出的是主要化学成分与物理性能参考要求，能否工业利用，必须以工业试验或生产结果证实。</w:t>
            </w:r>
          </w:p>
          <w:p>
            <w:pPr>
              <w:widowControl/>
              <w:ind w:firstLine="364"/>
              <w:rPr>
                <w:rFonts w:hint="eastAsia" w:ascii="宋体" w:hAnsi="宋体"/>
                <w:kern w:val="0"/>
                <w:sz w:val="18"/>
                <w:szCs w:val="18"/>
              </w:rPr>
            </w:pPr>
            <w:r>
              <w:rPr>
                <w:rFonts w:hint="eastAsia" w:ascii="宋体" w:hAnsi="宋体"/>
                <w:spacing w:val="1"/>
                <w:kern w:val="0"/>
                <w:sz w:val="18"/>
                <w:szCs w:val="18"/>
              </w:rPr>
              <w:t>注2：表中未列出的化学成分与物理性能要求，应根据矿石用途或客户要求确定。</w:t>
            </w:r>
          </w:p>
        </w:tc>
      </w:tr>
    </w:tbl>
    <w:p>
      <w:pPr>
        <w:widowControl/>
        <w:snapToGrid w:val="0"/>
        <w:spacing w:line="360" w:lineRule="auto"/>
        <w:jc w:val="center"/>
        <w:rPr>
          <w:kern w:val="0"/>
          <w:szCs w:val="21"/>
        </w:rPr>
      </w:pPr>
    </w:p>
    <w:p>
      <w:pPr>
        <w:widowControl/>
        <w:spacing w:line="360" w:lineRule="auto"/>
        <w:outlineLvl w:val="1"/>
        <w:rPr>
          <w:rFonts w:eastAsia="黑体"/>
          <w:b/>
          <w:kern w:val="0"/>
          <w:szCs w:val="21"/>
        </w:rPr>
      </w:pPr>
      <w:bookmarkStart w:id="75" w:name="_Toc488762358"/>
      <w:r>
        <w:rPr>
          <w:rFonts w:eastAsia="黑体"/>
          <w:b/>
          <w:kern w:val="0"/>
          <w:szCs w:val="21"/>
        </w:rPr>
        <w:t>D.2  露天开采技术条件要求</w:t>
      </w:r>
      <w:bookmarkEnd w:id="75"/>
    </w:p>
    <w:p>
      <w:pPr>
        <w:widowControl/>
        <w:snapToGrid w:val="0"/>
        <w:ind w:left="2205" w:leftChars="200" w:hanging="1785" w:hangingChars="850"/>
        <w:rPr>
          <w:kern w:val="0"/>
          <w:szCs w:val="21"/>
        </w:rPr>
      </w:pPr>
      <w:r>
        <w:rPr>
          <w:kern w:val="0"/>
          <w:szCs w:val="21"/>
        </w:rPr>
        <w:t>a</w:t>
      </w:r>
      <w:r>
        <w:rPr>
          <w:rFonts w:hAnsi="宋体"/>
          <w:kern w:val="0"/>
          <w:szCs w:val="21"/>
        </w:rPr>
        <w:t>）最低可采标高：</w:t>
      </w:r>
      <w:r>
        <w:rPr>
          <w:rFonts w:hAnsi="宋体"/>
          <w:szCs w:val="21"/>
        </w:rPr>
        <w:t>不</w:t>
      </w:r>
      <w:r>
        <w:rPr>
          <w:rFonts w:hAnsi="宋体"/>
          <w:kern w:val="0"/>
          <w:szCs w:val="21"/>
        </w:rPr>
        <w:t>低于当地最低侵蚀基准面，</w:t>
      </w:r>
      <w:r>
        <w:rPr>
          <w:rFonts w:hAnsi="宋体"/>
          <w:szCs w:val="21"/>
        </w:rPr>
        <w:t>一般不低于附近最低地平面，</w:t>
      </w:r>
      <w:r>
        <w:rPr>
          <w:rFonts w:hAnsi="宋体"/>
          <w:kern w:val="0"/>
          <w:szCs w:val="21"/>
        </w:rPr>
        <w:t>宜山坡式露天开采。</w:t>
      </w:r>
    </w:p>
    <w:p>
      <w:pPr>
        <w:widowControl/>
        <w:snapToGrid w:val="0"/>
        <w:ind w:left="840" w:leftChars="200" w:hanging="420" w:hangingChars="200"/>
        <w:rPr>
          <w:kern w:val="0"/>
          <w:szCs w:val="21"/>
        </w:rPr>
      </w:pPr>
      <w:r>
        <w:rPr>
          <w:kern w:val="0"/>
          <w:szCs w:val="21"/>
        </w:rPr>
        <w:t>b</w:t>
      </w:r>
      <w:r>
        <w:rPr>
          <w:rFonts w:hAnsi="宋体"/>
          <w:kern w:val="0"/>
          <w:szCs w:val="21"/>
        </w:rPr>
        <w:t>）</w:t>
      </w:r>
      <w:r>
        <w:rPr>
          <w:kern w:val="0"/>
          <w:szCs w:val="21"/>
        </w:rPr>
        <w:t>剥采比：一般不大于0.5：l m</w:t>
      </w:r>
      <w:r>
        <w:rPr>
          <w:kern w:val="0"/>
          <w:szCs w:val="21"/>
          <w:vertAlign w:val="superscript"/>
        </w:rPr>
        <w:t>3</w:t>
      </w:r>
      <w:r>
        <w:rPr>
          <w:kern w:val="0"/>
          <w:szCs w:val="21"/>
        </w:rPr>
        <w:t>／m</w:t>
      </w:r>
      <w:r>
        <w:rPr>
          <w:kern w:val="0"/>
          <w:szCs w:val="21"/>
          <w:vertAlign w:val="superscript"/>
        </w:rPr>
        <w:t>3</w:t>
      </w:r>
      <w:r>
        <w:rPr>
          <w:kern w:val="0"/>
          <w:szCs w:val="21"/>
        </w:rPr>
        <w:t>。</w:t>
      </w:r>
    </w:p>
    <w:p>
      <w:pPr>
        <w:widowControl/>
        <w:snapToGrid w:val="0"/>
        <w:ind w:firstLine="420"/>
        <w:rPr>
          <w:kern w:val="0"/>
          <w:szCs w:val="21"/>
        </w:rPr>
      </w:pPr>
      <w:r>
        <w:rPr>
          <w:kern w:val="0"/>
          <w:szCs w:val="21"/>
        </w:rPr>
        <w:t>c</w:t>
      </w:r>
      <w:r>
        <w:rPr>
          <w:rFonts w:hAnsi="宋体"/>
          <w:kern w:val="0"/>
          <w:szCs w:val="21"/>
        </w:rPr>
        <w:t>）可采厚度：</w:t>
      </w:r>
      <w:r>
        <w:rPr>
          <w:kern w:val="0"/>
          <w:szCs w:val="21"/>
        </w:rPr>
        <w:t>2~4m</w:t>
      </w:r>
      <w:r>
        <w:rPr>
          <w:rFonts w:hAnsi="宋体"/>
          <w:kern w:val="0"/>
          <w:szCs w:val="21"/>
        </w:rPr>
        <w:t>。</w:t>
      </w:r>
    </w:p>
    <w:p>
      <w:pPr>
        <w:widowControl/>
        <w:snapToGrid w:val="0"/>
        <w:ind w:firstLine="434"/>
        <w:rPr>
          <w:kern w:val="0"/>
          <w:szCs w:val="21"/>
        </w:rPr>
      </w:pPr>
      <w:r>
        <w:rPr>
          <w:kern w:val="0"/>
          <w:szCs w:val="21"/>
        </w:rPr>
        <w:t>d</w:t>
      </w:r>
      <w:r>
        <w:rPr>
          <w:rFonts w:hAnsi="宋体"/>
          <w:kern w:val="0"/>
          <w:szCs w:val="21"/>
        </w:rPr>
        <w:t>）夹石剔除厚度：</w:t>
      </w:r>
      <w:r>
        <w:rPr>
          <w:kern w:val="0"/>
          <w:szCs w:val="21"/>
        </w:rPr>
        <w:t>1~2m</w:t>
      </w:r>
      <w:r>
        <w:rPr>
          <w:rFonts w:hAnsi="宋体"/>
          <w:kern w:val="0"/>
          <w:szCs w:val="21"/>
        </w:rPr>
        <w:t>。</w:t>
      </w:r>
    </w:p>
    <w:p>
      <w:pPr>
        <w:widowControl/>
        <w:snapToGrid w:val="0"/>
        <w:ind w:left="2429" w:leftChars="207" w:hanging="1995" w:hangingChars="950"/>
        <w:jc w:val="left"/>
        <w:rPr>
          <w:kern w:val="0"/>
          <w:szCs w:val="21"/>
        </w:rPr>
      </w:pPr>
      <w:r>
        <w:rPr>
          <w:kern w:val="0"/>
          <w:szCs w:val="21"/>
        </w:rPr>
        <w:t>e</w:t>
      </w:r>
      <w:r>
        <w:rPr>
          <w:rFonts w:hAnsi="宋体"/>
          <w:kern w:val="0"/>
          <w:szCs w:val="21"/>
        </w:rPr>
        <w:t>）采场最终边坡角：岩石状</w:t>
      </w:r>
      <w:r>
        <w:rPr>
          <w:kern w:val="0"/>
          <w:szCs w:val="21"/>
        </w:rPr>
        <w:t>50°~60°</w:t>
      </w:r>
      <w:r>
        <w:rPr>
          <w:rFonts w:hAnsi="宋体"/>
          <w:kern w:val="0"/>
          <w:szCs w:val="21"/>
        </w:rPr>
        <w:t>，松散状</w:t>
      </w:r>
      <w:r>
        <w:rPr>
          <w:kern w:val="0"/>
          <w:szCs w:val="21"/>
        </w:rPr>
        <w:t>45°</w:t>
      </w:r>
      <w:r>
        <w:rPr>
          <w:rFonts w:hAnsi="宋体"/>
          <w:kern w:val="0"/>
          <w:szCs w:val="21"/>
        </w:rPr>
        <w:t>。</w:t>
      </w:r>
    </w:p>
    <w:p>
      <w:pPr>
        <w:widowControl/>
        <w:snapToGrid w:val="0"/>
        <w:ind w:firstLine="435"/>
        <w:rPr>
          <w:kern w:val="0"/>
          <w:szCs w:val="21"/>
        </w:rPr>
      </w:pPr>
      <w:r>
        <w:rPr>
          <w:kern w:val="0"/>
          <w:szCs w:val="21"/>
        </w:rPr>
        <w:t>f</w:t>
      </w:r>
      <w:r>
        <w:rPr>
          <w:rFonts w:hAnsi="宋体"/>
          <w:kern w:val="0"/>
          <w:szCs w:val="21"/>
        </w:rPr>
        <w:t>）采场最终底盘宽度：大中型矿不小于</w:t>
      </w:r>
      <w:r>
        <w:rPr>
          <w:kern w:val="0"/>
          <w:szCs w:val="21"/>
        </w:rPr>
        <w:t>40m，小型矿不小于20m</w:t>
      </w:r>
      <w:r>
        <w:rPr>
          <w:rFonts w:hAnsi="宋体"/>
          <w:kern w:val="0"/>
          <w:szCs w:val="21"/>
        </w:rPr>
        <w:t>。</w:t>
      </w:r>
    </w:p>
    <w:p>
      <w:pPr>
        <w:widowControl/>
        <w:snapToGrid w:val="0"/>
        <w:ind w:firstLine="435"/>
        <w:rPr>
          <w:kern w:val="0"/>
          <w:szCs w:val="21"/>
        </w:rPr>
      </w:pPr>
      <w:r>
        <w:rPr>
          <w:kern w:val="0"/>
          <w:szCs w:val="21"/>
        </w:rPr>
        <w:t>g</w:t>
      </w:r>
      <w:r>
        <w:rPr>
          <w:rFonts w:hAnsi="宋体"/>
          <w:kern w:val="0"/>
          <w:szCs w:val="21"/>
        </w:rPr>
        <w:t>）爆破安全距离：一般不小于</w:t>
      </w:r>
      <w:r>
        <w:rPr>
          <w:kern w:val="0"/>
          <w:szCs w:val="21"/>
        </w:rPr>
        <w:t>300m</w:t>
      </w:r>
      <w:r>
        <w:rPr>
          <w:rFonts w:hAnsi="宋体"/>
          <w:kern w:val="0"/>
          <w:szCs w:val="21"/>
        </w:rPr>
        <w:t>。</w:t>
      </w:r>
    </w:p>
    <w:p>
      <w:pPr>
        <w:widowControl/>
        <w:snapToGrid w:val="0"/>
        <w:spacing w:line="360" w:lineRule="auto"/>
        <w:jc w:val="center"/>
        <w:rPr>
          <w:rFonts w:hint="eastAsia"/>
          <w:kern w:val="0"/>
          <w:szCs w:val="21"/>
        </w:rPr>
      </w:pPr>
    </w:p>
    <w:p>
      <w:pPr>
        <w:widowControl/>
        <w:snapToGrid w:val="0"/>
        <w:spacing w:line="360" w:lineRule="auto"/>
        <w:jc w:val="center"/>
        <w:rPr>
          <w:rFonts w:hint="eastAsia"/>
          <w:kern w:val="0"/>
          <w:szCs w:val="21"/>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eastAsia="仿宋_GB2312"/>
          <w:kern w:val="0"/>
          <w:sz w:val="32"/>
          <w:szCs w:val="32"/>
        </w:rPr>
        <w:sectPr>
          <w:footerReference r:id="rId9" w:type="default"/>
          <w:pgSz w:w="11907" w:h="16840"/>
          <w:pgMar w:top="1440" w:right="1701" w:bottom="1440" w:left="1701" w:header="851" w:footer="992" w:gutter="0"/>
          <w:pgNumType w:start="1"/>
          <w:cols w:space="425" w:num="1"/>
          <w:docGrid w:type="linesAndChars" w:linePitch="312" w:charSpace="0"/>
        </w:sect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pPr>
        <w:widowControl/>
        <w:spacing w:line="560" w:lineRule="exact"/>
        <w:ind w:right="-105" w:rightChars="-50"/>
        <w:rPr>
          <w:rFonts w:hint="eastAsia" w:eastAsia="仿宋_GB2312"/>
          <w:kern w:val="0"/>
          <w:sz w:val="32"/>
          <w:szCs w:val="32"/>
        </w:rPr>
      </w:pPr>
    </w:p>
    <w:p>
      <w:bookmarkStart w:id="76" w:name="_GoBack"/>
      <w:bookmarkEnd w:id="7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公文小标宋简">
    <w:altName w:val="宋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 New Roman”“">
    <w:altName w:val="宋体"/>
    <w:panose1 w:val="00000000000000000000"/>
    <w:charset w:val="86"/>
    <w:family w:val="roma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font-weight : 400">
    <w:altName w:val="Segoe Print"/>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00000287" w:usb1="00000000" w:usb2="00000000" w:usb3="00000000" w:csb0="2000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540"/>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9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IV</w:t>
    </w:r>
    <w:r>
      <w:rPr>
        <w:rStyle w:val="10"/>
      </w:rPr>
      <w:fldChar w:fldCharType="end"/>
    </w:r>
  </w:p>
  <w:p>
    <w:pPr>
      <w:pStyle w:val="4"/>
      <w:ind w:right="540"/>
      <w:jc w:val="right"/>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720"/>
      <w:jc w:val="both"/>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Fonts w:hint="eastAsia"/>
      </w:rPr>
    </w:pPr>
    <w:r>
      <w:rPr>
        <w:rStyle w:val="10"/>
      </w:rPr>
      <w:fldChar w:fldCharType="begin"/>
    </w:r>
    <w:r>
      <w:rPr>
        <w:rStyle w:val="10"/>
      </w:rPr>
      <w:instrText xml:space="preserve">PAGE  </w:instrText>
    </w:r>
    <w:r>
      <w:rPr>
        <w:rStyle w:val="10"/>
      </w:rPr>
      <w:fldChar w:fldCharType="separate"/>
    </w:r>
    <w:r>
      <w:rPr>
        <w:rStyle w:val="10"/>
      </w:rPr>
      <w:t>16</w:t>
    </w:r>
    <w:r>
      <w:rPr>
        <w:rStyle w:val="10"/>
      </w:rPr>
      <w:fldChar w:fldCharType="end"/>
    </w:r>
  </w:p>
  <w:p>
    <w:pPr>
      <w:pStyle w:val="4"/>
      <w:ind w:right="720"/>
      <w:jc w:val="both"/>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405B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link w:val="9"/>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3">
    <w:name w:val="toc 3"/>
    <w:basedOn w:val="1"/>
    <w:next w:val="1"/>
    <w:uiPriority w:val="0"/>
    <w:pPr>
      <w:spacing w:line="360" w:lineRule="auto"/>
      <w:ind w:left="420"/>
      <w:jc w:val="left"/>
    </w:pPr>
    <w:rPr>
      <w:iCs/>
      <w:sz w:val="24"/>
      <w:szCs w:val="2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uiPriority w:val="0"/>
    <w:rPr>
      <w:rFonts w:ascii="Calibri" w:hAnsi="Calibri"/>
      <w:szCs w:val="22"/>
    </w:rPr>
  </w:style>
  <w:style w:type="paragraph" w:styleId="7">
    <w:name w:val="toc 2"/>
    <w:basedOn w:val="1"/>
    <w:next w:val="1"/>
    <w:uiPriority w:val="0"/>
    <w:pPr>
      <w:tabs>
        <w:tab w:val="right" w:leader="dot" w:pos="8296"/>
      </w:tabs>
      <w:ind w:left="420" w:leftChars="200"/>
      <w:jc w:val="center"/>
    </w:pPr>
    <w:rPr>
      <w:rFonts w:ascii="方正小标宋简体" w:eastAsia="方正小标宋简体"/>
      <w:b/>
      <w:sz w:val="44"/>
      <w:szCs w:val="44"/>
    </w:rPr>
  </w:style>
  <w:style w:type="paragraph" w:customStyle="1" w:styleId="9">
    <w:name w:val="Char1 Char Char Char Char Char Char Char Char Char"/>
    <w:basedOn w:val="1"/>
    <w:link w:val="8"/>
    <w:qFormat/>
    <w:uiPriority w:val="0"/>
  </w:style>
  <w:style w:type="character" w:styleId="10">
    <w:name w:val="page number"/>
    <w:basedOn w:val="8"/>
    <w:uiPriority w:val="0"/>
  </w:style>
  <w:style w:type="character" w:styleId="11">
    <w:name w:val="Hyperlink"/>
    <w:basedOn w:val="8"/>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2017-08-01T01:53:51Z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