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pacing w:val="24"/>
          <w:sz w:val="52"/>
          <w:szCs w:val="52"/>
        </w:rPr>
      </w:pPr>
      <w:bookmarkStart w:id="0" w:name="_Toc67828483"/>
      <w:bookmarkStart w:id="1" w:name="_Toc198809227"/>
      <w:bookmarkStart w:id="2" w:name="_Toc154392550"/>
      <w:bookmarkStart w:id="3" w:name="_Toc14957"/>
      <w:bookmarkStart w:id="4" w:name="_Toc286168408"/>
    </w:p>
    <w:p>
      <w:pPr>
        <w:jc w:val="center"/>
        <w:rPr>
          <w:rFonts w:ascii="宋体" w:hAnsi="宋体"/>
          <w:b/>
          <w:spacing w:val="24"/>
          <w:sz w:val="52"/>
          <w:szCs w:val="52"/>
        </w:rPr>
      </w:pPr>
      <w:r>
        <w:rPr>
          <w:rFonts w:hint="eastAsia" w:ascii="宋体" w:hAnsi="宋体"/>
          <w:b/>
          <w:spacing w:val="24"/>
          <w:sz w:val="52"/>
          <w:szCs w:val="52"/>
          <w:lang w:eastAsia="zh-CN"/>
        </w:rPr>
        <w:t>********</w:t>
      </w:r>
      <w:r>
        <w:rPr>
          <w:rFonts w:hint="eastAsia" w:ascii="宋体" w:hAnsi="宋体"/>
          <w:b/>
          <w:spacing w:val="24"/>
          <w:sz w:val="52"/>
          <w:szCs w:val="52"/>
        </w:rPr>
        <w:t>砂石矿</w:t>
      </w:r>
    </w:p>
    <w:p>
      <w:pPr>
        <w:jc w:val="center"/>
        <w:rPr>
          <w:rFonts w:ascii="宋体" w:hAnsi="宋体"/>
          <w:b/>
          <w:spacing w:val="24"/>
          <w:sz w:val="52"/>
          <w:szCs w:val="52"/>
        </w:rPr>
      </w:pPr>
      <w:r>
        <w:rPr>
          <w:rFonts w:hint="eastAsia" w:ascii="宋体" w:hAnsi="宋体"/>
          <w:b/>
          <w:spacing w:val="24"/>
          <w:sz w:val="52"/>
          <w:szCs w:val="52"/>
        </w:rPr>
        <w:t>矿产资源开发利用方案</w:t>
      </w:r>
    </w:p>
    <w:p>
      <w:pPr>
        <w:jc w:val="center"/>
        <w:rPr>
          <w:rFonts w:ascii="宋体" w:hAnsi="宋体"/>
          <w:b/>
          <w:sz w:val="52"/>
          <w:szCs w:val="52"/>
        </w:rPr>
      </w:pPr>
    </w:p>
    <w:p>
      <w:pPr>
        <w:jc w:val="center"/>
        <w:rPr>
          <w:rFonts w:ascii="宋体" w:hAnsi="宋体"/>
          <w:b/>
          <w:sz w:val="52"/>
          <w:szCs w:val="52"/>
        </w:rPr>
      </w:pPr>
    </w:p>
    <w:p>
      <w:pPr>
        <w:jc w:val="center"/>
        <w:rPr>
          <w:rFonts w:ascii="宋体" w:hAnsi="宋体"/>
          <w:b/>
          <w:sz w:val="52"/>
          <w:szCs w:val="52"/>
        </w:rPr>
      </w:pPr>
    </w:p>
    <w:p>
      <w:pPr>
        <w:jc w:val="center"/>
        <w:rPr>
          <w:rFonts w:ascii="宋体" w:hAnsi="宋体"/>
          <w:b/>
          <w:sz w:val="52"/>
          <w:szCs w:val="52"/>
        </w:rPr>
      </w:pPr>
    </w:p>
    <w:p>
      <w:pPr>
        <w:jc w:val="center"/>
        <w:rPr>
          <w:rFonts w:ascii="宋体" w:hAnsi="宋体"/>
          <w:b/>
          <w:sz w:val="52"/>
          <w:szCs w:val="52"/>
        </w:rPr>
      </w:pPr>
    </w:p>
    <w:p>
      <w:pPr>
        <w:jc w:val="center"/>
        <w:rPr>
          <w:rFonts w:ascii="宋体" w:hAnsi="宋体"/>
          <w:b/>
          <w:sz w:val="52"/>
          <w:szCs w:val="52"/>
        </w:rPr>
      </w:pPr>
    </w:p>
    <w:p>
      <w:pPr>
        <w:jc w:val="center"/>
        <w:rPr>
          <w:rFonts w:ascii="宋体" w:hAnsi="宋体"/>
          <w:b/>
          <w:sz w:val="52"/>
          <w:szCs w:val="52"/>
        </w:rPr>
      </w:pPr>
    </w:p>
    <w:p>
      <w:pPr>
        <w:jc w:val="center"/>
        <w:rPr>
          <w:rFonts w:ascii="宋体" w:hAnsi="宋体"/>
          <w:b/>
          <w:sz w:val="52"/>
          <w:szCs w:val="52"/>
        </w:rPr>
      </w:pPr>
    </w:p>
    <w:p>
      <w:pPr>
        <w:jc w:val="center"/>
        <w:rPr>
          <w:rFonts w:ascii="宋体" w:hAnsi="宋体"/>
          <w:b/>
          <w:sz w:val="52"/>
          <w:szCs w:val="52"/>
        </w:rPr>
      </w:pPr>
    </w:p>
    <w:p>
      <w:pPr>
        <w:spacing w:line="360" w:lineRule="auto"/>
        <w:ind w:firstLine="904" w:firstLineChars="300"/>
        <w:rPr>
          <w:rFonts w:hint="eastAsia" w:eastAsia="宋体"/>
          <w:b/>
          <w:sz w:val="32"/>
          <w:szCs w:val="32"/>
          <w:lang w:eastAsia="zh-CN"/>
        </w:rPr>
      </w:pPr>
      <w:r>
        <w:rPr>
          <w:rFonts w:hint="eastAsia"/>
          <w:b/>
          <w:sz w:val="30"/>
          <w:szCs w:val="30"/>
        </w:rPr>
        <w:t xml:space="preserve">        </w:t>
      </w:r>
      <w:r>
        <w:rPr>
          <w:b/>
          <w:sz w:val="30"/>
          <w:szCs w:val="30"/>
        </w:rPr>
        <w:t>提交单位：</w:t>
      </w:r>
      <w:r>
        <w:rPr>
          <w:rFonts w:hint="eastAsia"/>
          <w:b/>
          <w:sz w:val="30"/>
          <w:szCs w:val="30"/>
          <w:lang w:eastAsia="zh-CN"/>
        </w:rPr>
        <w:t>********</w:t>
      </w:r>
    </w:p>
    <w:p>
      <w:pPr>
        <w:spacing w:line="360" w:lineRule="auto"/>
        <w:ind w:firstLine="904" w:firstLineChars="300"/>
        <w:rPr>
          <w:b/>
          <w:sz w:val="30"/>
          <w:szCs w:val="30"/>
        </w:rPr>
      </w:pPr>
      <w:r>
        <w:rPr>
          <w:rFonts w:hint="eastAsia"/>
          <w:b/>
          <w:sz w:val="30"/>
          <w:szCs w:val="30"/>
        </w:rPr>
        <w:t xml:space="preserve">        </w:t>
      </w:r>
      <w:r>
        <w:rPr>
          <w:b/>
          <w:sz w:val="30"/>
          <w:szCs w:val="30"/>
        </w:rPr>
        <w:t>编写日期：201</w:t>
      </w:r>
      <w:r>
        <w:rPr>
          <w:rFonts w:hint="eastAsia"/>
          <w:b/>
          <w:sz w:val="30"/>
          <w:szCs w:val="30"/>
        </w:rPr>
        <w:t>7</w:t>
      </w:r>
      <w:r>
        <w:rPr>
          <w:b/>
          <w:sz w:val="30"/>
          <w:szCs w:val="30"/>
        </w:rPr>
        <w:t>年</w:t>
      </w:r>
      <w:r>
        <w:rPr>
          <w:rFonts w:hint="eastAsia"/>
          <w:b/>
          <w:sz w:val="30"/>
          <w:szCs w:val="30"/>
        </w:rPr>
        <w:t>10</w:t>
      </w:r>
      <w:r>
        <w:rPr>
          <w:b/>
          <w:sz w:val="30"/>
          <w:szCs w:val="30"/>
        </w:rPr>
        <w:t>月</w:t>
      </w:r>
    </w:p>
    <w:p>
      <w:pPr>
        <w:jc w:val="center"/>
        <w:rPr>
          <w:rFonts w:ascii="宋体" w:hAnsi="宋体"/>
          <w:b/>
          <w:sz w:val="52"/>
          <w:szCs w:val="52"/>
        </w:rPr>
      </w:pPr>
    </w:p>
    <w:p>
      <w:pPr>
        <w:jc w:val="center"/>
        <w:rPr>
          <w:rFonts w:ascii="宋体" w:hAnsi="宋体"/>
          <w:b/>
          <w:spacing w:val="22"/>
          <w:sz w:val="52"/>
          <w:szCs w:val="52"/>
        </w:rPr>
      </w:pPr>
    </w:p>
    <w:p>
      <w:pPr>
        <w:jc w:val="center"/>
        <w:rPr>
          <w:rFonts w:ascii="宋体" w:hAnsi="宋体"/>
          <w:b/>
          <w:spacing w:val="24"/>
          <w:sz w:val="52"/>
          <w:szCs w:val="52"/>
        </w:rPr>
        <w:sectPr>
          <w:headerReference r:id="rId3" w:type="default"/>
          <w:footerReference r:id="rId4" w:type="even"/>
          <w:pgSz w:w="11907" w:h="16840"/>
          <w:pgMar w:top="1418" w:right="1418" w:bottom="1418" w:left="1418" w:header="851" w:footer="992" w:gutter="0"/>
          <w:cols w:space="720" w:num="1"/>
          <w:docGrid w:type="lines" w:linePitch="304" w:charSpace="0"/>
        </w:sectPr>
      </w:pPr>
    </w:p>
    <w:p>
      <w:pPr>
        <w:jc w:val="center"/>
        <w:rPr>
          <w:rFonts w:ascii="宋体" w:hAnsi="宋体"/>
          <w:b/>
          <w:spacing w:val="24"/>
          <w:sz w:val="52"/>
          <w:szCs w:val="52"/>
        </w:rPr>
      </w:pPr>
    </w:p>
    <w:p>
      <w:pPr>
        <w:jc w:val="center"/>
        <w:rPr>
          <w:rFonts w:ascii="宋体" w:hAnsi="宋体"/>
          <w:b/>
          <w:spacing w:val="24"/>
          <w:sz w:val="52"/>
          <w:szCs w:val="52"/>
        </w:rPr>
      </w:pPr>
      <w:r>
        <w:rPr>
          <w:rFonts w:hint="eastAsia" w:ascii="宋体" w:hAnsi="宋体"/>
          <w:b/>
          <w:spacing w:val="24"/>
          <w:sz w:val="52"/>
          <w:szCs w:val="52"/>
          <w:lang w:eastAsia="zh-CN"/>
        </w:rPr>
        <w:t>********</w:t>
      </w:r>
      <w:r>
        <w:rPr>
          <w:rFonts w:hint="eastAsia" w:ascii="宋体" w:hAnsi="宋体"/>
          <w:b/>
          <w:spacing w:val="24"/>
          <w:sz w:val="52"/>
          <w:szCs w:val="52"/>
        </w:rPr>
        <w:t>砂石矿</w:t>
      </w:r>
    </w:p>
    <w:p>
      <w:pPr>
        <w:jc w:val="center"/>
        <w:rPr>
          <w:rFonts w:ascii="宋体" w:hAnsi="宋体"/>
          <w:b/>
          <w:sz w:val="52"/>
          <w:szCs w:val="52"/>
        </w:rPr>
      </w:pPr>
      <w:r>
        <w:rPr>
          <w:rFonts w:hint="eastAsia" w:ascii="宋体" w:hAnsi="宋体"/>
          <w:b/>
          <w:spacing w:val="24"/>
          <w:sz w:val="52"/>
          <w:szCs w:val="52"/>
        </w:rPr>
        <w:t>矿产资源开发利用方案</w:t>
      </w:r>
    </w:p>
    <w:p>
      <w:pPr>
        <w:jc w:val="center"/>
        <w:rPr>
          <w:rFonts w:ascii="宋体" w:hAnsi="宋体"/>
          <w:b/>
          <w:sz w:val="52"/>
          <w:szCs w:val="52"/>
        </w:rPr>
      </w:pPr>
    </w:p>
    <w:p>
      <w:pPr>
        <w:jc w:val="center"/>
        <w:rPr>
          <w:rFonts w:ascii="宋体" w:hAnsi="宋体"/>
          <w:b/>
          <w:sz w:val="52"/>
          <w:szCs w:val="52"/>
        </w:rPr>
      </w:pPr>
    </w:p>
    <w:p>
      <w:pPr>
        <w:rPr>
          <w:rFonts w:ascii="宋体" w:hAnsi="宋体"/>
          <w:b/>
          <w:sz w:val="52"/>
          <w:szCs w:val="52"/>
        </w:rPr>
      </w:pPr>
    </w:p>
    <w:p>
      <w:pPr>
        <w:spacing w:line="360" w:lineRule="auto"/>
        <w:ind w:firstLine="2520" w:firstLineChars="900"/>
        <w:rPr>
          <w:rFonts w:hint="eastAsia" w:ascii="宋体" w:hAnsi="宋体" w:eastAsia="宋体"/>
          <w:sz w:val="28"/>
          <w:szCs w:val="28"/>
          <w:lang w:eastAsia="zh-CN"/>
        </w:rPr>
      </w:pPr>
      <w:r>
        <w:rPr>
          <w:rFonts w:hint="eastAsia" w:ascii="宋体" w:hAnsi="宋体"/>
          <w:sz w:val="28"/>
          <w:szCs w:val="28"/>
        </w:rPr>
        <w:t>编制单位：</w:t>
      </w:r>
      <w:r>
        <w:rPr>
          <w:rFonts w:hint="eastAsia" w:ascii="宋体" w:hAnsi="宋体"/>
          <w:sz w:val="28"/>
          <w:szCs w:val="28"/>
          <w:lang w:eastAsia="zh-CN"/>
        </w:rPr>
        <w:t>********</w:t>
      </w:r>
    </w:p>
    <w:p>
      <w:pPr>
        <w:spacing w:line="360" w:lineRule="auto"/>
        <w:ind w:firstLine="2520" w:firstLineChars="900"/>
        <w:rPr>
          <w:rFonts w:ascii="宋体" w:hAnsi="宋体"/>
          <w:sz w:val="28"/>
          <w:szCs w:val="28"/>
        </w:rPr>
      </w:pPr>
      <w:r>
        <w:rPr>
          <w:rFonts w:hint="eastAsia" w:ascii="宋体" w:hAnsi="宋体"/>
          <w:sz w:val="28"/>
          <w:szCs w:val="28"/>
        </w:rPr>
        <w:t>编 写 人：</w:t>
      </w:r>
      <w:r>
        <w:rPr>
          <w:rFonts w:hint="eastAsia" w:ascii="宋体" w:hAnsi="宋体"/>
          <w:sz w:val="28"/>
          <w:szCs w:val="28"/>
          <w:lang w:eastAsia="zh-CN"/>
        </w:rPr>
        <w:t>********</w:t>
      </w:r>
      <w:r>
        <w:rPr>
          <w:rFonts w:hint="eastAsia" w:ascii="宋体" w:hAnsi="宋体"/>
          <w:sz w:val="28"/>
          <w:szCs w:val="28"/>
        </w:rPr>
        <w:t xml:space="preserve">  </w:t>
      </w:r>
    </w:p>
    <w:p>
      <w:pPr>
        <w:spacing w:line="360" w:lineRule="auto"/>
        <w:ind w:firstLine="2520" w:firstLineChars="900"/>
        <w:rPr>
          <w:rFonts w:hint="eastAsia" w:ascii="宋体" w:hAnsi="宋体" w:eastAsia="宋体"/>
          <w:sz w:val="28"/>
          <w:szCs w:val="28"/>
          <w:lang w:eastAsia="zh-CN"/>
        </w:rPr>
      </w:pPr>
      <w:r>
        <w:rPr>
          <w:rFonts w:hint="eastAsia" w:ascii="宋体" w:hAnsi="宋体"/>
          <w:sz w:val="28"/>
          <w:szCs w:val="28"/>
        </w:rPr>
        <w:t>总工程师：</w:t>
      </w:r>
      <w:r>
        <w:rPr>
          <w:rFonts w:hint="eastAsia" w:ascii="宋体" w:hAnsi="宋体"/>
          <w:sz w:val="28"/>
          <w:szCs w:val="28"/>
          <w:lang w:eastAsia="zh-CN"/>
        </w:rPr>
        <w:t>********</w:t>
      </w:r>
    </w:p>
    <w:p>
      <w:pPr>
        <w:spacing w:line="360" w:lineRule="auto"/>
        <w:ind w:firstLine="2520" w:firstLineChars="900"/>
        <w:rPr>
          <w:rFonts w:hint="eastAsia" w:ascii="宋体" w:hAnsi="宋体" w:eastAsia="宋体"/>
          <w:sz w:val="28"/>
          <w:szCs w:val="28"/>
          <w:lang w:eastAsia="zh-CN"/>
        </w:rPr>
      </w:pPr>
      <w:r>
        <w:rPr>
          <w:rFonts w:hint="eastAsia" w:ascii="宋体" w:hAnsi="宋体"/>
          <w:sz w:val="28"/>
          <w:szCs w:val="28"/>
        </w:rPr>
        <w:t>法人代表：</w:t>
      </w:r>
      <w:r>
        <w:rPr>
          <w:rFonts w:hint="eastAsia" w:ascii="宋体" w:hAnsi="宋体"/>
          <w:sz w:val="28"/>
          <w:szCs w:val="28"/>
          <w:lang w:eastAsia="zh-CN"/>
        </w:rPr>
        <w:t>********</w:t>
      </w:r>
    </w:p>
    <w:p>
      <w:pPr>
        <w:spacing w:line="360" w:lineRule="auto"/>
        <w:ind w:firstLine="2520" w:firstLineChars="900"/>
        <w:rPr>
          <w:rFonts w:ascii="宋体" w:hAnsi="宋体"/>
          <w:sz w:val="28"/>
          <w:szCs w:val="28"/>
        </w:rPr>
      </w:pPr>
    </w:p>
    <w:p>
      <w:pPr>
        <w:spacing w:line="360" w:lineRule="auto"/>
        <w:ind w:firstLine="2640" w:firstLineChars="825"/>
        <w:jc w:val="left"/>
        <w:rPr>
          <w:rFonts w:ascii="宋体" w:hAnsi="宋体"/>
          <w:sz w:val="32"/>
          <w:szCs w:val="32"/>
        </w:rPr>
      </w:pPr>
    </w:p>
    <w:p>
      <w:pPr>
        <w:spacing w:line="360" w:lineRule="auto"/>
        <w:ind w:firstLine="2640" w:firstLineChars="825"/>
        <w:jc w:val="left"/>
        <w:rPr>
          <w:rFonts w:ascii="宋体" w:hAnsi="宋体"/>
          <w:sz w:val="32"/>
          <w:szCs w:val="32"/>
        </w:rPr>
      </w:pPr>
      <w:r>
        <w:rPr>
          <w:rFonts w:hint="eastAsia" w:ascii="宋体" w:hAnsi="宋体"/>
          <w:sz w:val="32"/>
          <w:szCs w:val="32"/>
        </w:rPr>
        <w:t xml:space="preserve">   </w:t>
      </w:r>
    </w:p>
    <w:p>
      <w:pPr>
        <w:spacing w:line="360" w:lineRule="auto"/>
        <w:jc w:val="left"/>
        <w:rPr>
          <w:rFonts w:ascii="宋体" w:hAnsi="宋体"/>
          <w:sz w:val="32"/>
          <w:szCs w:val="32"/>
        </w:rPr>
      </w:pPr>
    </w:p>
    <w:p>
      <w:pPr>
        <w:ind w:firstLine="2530" w:firstLineChars="900"/>
        <w:jc w:val="both"/>
        <w:rPr>
          <w:rFonts w:hint="eastAsia" w:ascii="宋体" w:hAnsi="宋体" w:eastAsia="宋体"/>
          <w:b/>
          <w:sz w:val="28"/>
          <w:szCs w:val="28"/>
          <w:lang w:eastAsia="zh-CN"/>
        </w:rPr>
      </w:pPr>
      <w:r>
        <w:rPr>
          <w:rFonts w:hint="eastAsia" w:ascii="宋体" w:hAnsi="宋体"/>
          <w:b/>
          <w:sz w:val="28"/>
          <w:szCs w:val="28"/>
        </w:rPr>
        <w:t>提交单位：</w:t>
      </w:r>
      <w:r>
        <w:rPr>
          <w:rFonts w:hint="eastAsia" w:ascii="宋体" w:hAnsi="宋体"/>
          <w:b/>
          <w:sz w:val="28"/>
          <w:szCs w:val="28"/>
          <w:lang w:eastAsia="zh-CN"/>
        </w:rPr>
        <w:t>********</w:t>
      </w:r>
    </w:p>
    <w:p>
      <w:pPr>
        <w:spacing w:line="360" w:lineRule="auto"/>
        <w:ind w:firstLine="2530" w:firstLineChars="900"/>
        <w:rPr>
          <w:rFonts w:ascii="宋体" w:hAnsi="宋体"/>
          <w:b/>
          <w:sz w:val="28"/>
          <w:szCs w:val="28"/>
        </w:rPr>
      </w:pPr>
      <w:r>
        <w:rPr>
          <w:rFonts w:hint="eastAsia" w:ascii="宋体" w:hAnsi="宋体"/>
          <w:b/>
          <w:sz w:val="28"/>
          <w:szCs w:val="28"/>
        </w:rPr>
        <w:t>编写时间：2017年10月</w:t>
      </w:r>
    </w:p>
    <w:p>
      <w:pPr>
        <w:spacing w:line="400" w:lineRule="exact"/>
        <w:rPr>
          <w:b/>
          <w:sz w:val="28"/>
          <w:szCs w:val="28"/>
        </w:rPr>
        <w:sectPr>
          <w:footerReference r:id="rId5" w:type="default"/>
          <w:pgSz w:w="11906" w:h="16838"/>
          <w:pgMar w:top="1418" w:right="1134" w:bottom="1418" w:left="1474" w:header="851" w:footer="992" w:gutter="0"/>
          <w:pgNumType w:start="1"/>
          <w:cols w:space="720" w:num="1"/>
          <w:docGrid w:type="lines" w:linePitch="312" w:charSpace="0"/>
        </w:sectPr>
      </w:pPr>
    </w:p>
    <w:p>
      <w:pPr>
        <w:spacing w:line="360" w:lineRule="auto"/>
        <w:jc w:val="center"/>
        <w:rPr>
          <w:rFonts w:ascii="宋体" w:hAnsi="宋体"/>
          <w:b/>
          <w:bCs/>
          <w:color w:val="000000"/>
          <w:sz w:val="36"/>
          <w:szCs w:val="36"/>
        </w:rPr>
      </w:pPr>
      <w:r>
        <w:rPr>
          <w:rFonts w:hint="eastAsia" w:ascii="宋体" w:hAnsi="宋体"/>
          <w:b/>
          <w:bCs/>
          <w:color w:val="000000"/>
          <w:sz w:val="36"/>
          <w:szCs w:val="36"/>
        </w:rPr>
        <w:t>目  录</w:t>
      </w:r>
    </w:p>
    <w:p>
      <w:pPr>
        <w:pStyle w:val="38"/>
        <w:tabs>
          <w:tab w:val="right" w:leader="dot" w:pos="8300"/>
        </w:tabs>
        <w:spacing w:line="360" w:lineRule="auto"/>
        <w:rPr>
          <w:rFonts w:ascii="宋体" w:hAnsi="宋体" w:cs="宋体"/>
        </w:rPr>
      </w:pPr>
      <w:r>
        <w:rPr>
          <w:rFonts w:hint="eastAsia" w:ascii="仿宋" w:hAnsi="仿宋" w:eastAsia="仿宋" w:cs="仿宋"/>
          <w:sz w:val="24"/>
        </w:rPr>
        <w:fldChar w:fldCharType="begin"/>
      </w:r>
      <w:r>
        <w:rPr>
          <w:rFonts w:hint="eastAsia" w:ascii="仿宋" w:hAnsi="仿宋" w:eastAsia="仿宋" w:cs="仿宋"/>
          <w:sz w:val="24"/>
        </w:rPr>
        <w:instrText xml:space="preserve">TOC \o "1-2" \h \u </w:instrText>
      </w:r>
      <w:r>
        <w:rPr>
          <w:rFonts w:hint="eastAsia" w:ascii="仿宋" w:hAnsi="仿宋" w:eastAsia="仿宋" w:cs="仿宋"/>
          <w:sz w:val="24"/>
        </w:rPr>
        <w:fldChar w:fldCharType="separate"/>
      </w:r>
      <w:r>
        <w:fldChar w:fldCharType="begin"/>
      </w:r>
      <w:r>
        <w:instrText xml:space="preserve"> HYPERLINK \l "_Toc11116" </w:instrText>
      </w:r>
      <w:r>
        <w:fldChar w:fldCharType="separate"/>
      </w:r>
      <w:r>
        <w:rPr>
          <w:rFonts w:hint="eastAsia" w:ascii="宋体" w:hAnsi="宋体" w:cs="宋体"/>
          <w:szCs w:val="36"/>
        </w:rPr>
        <w:t xml:space="preserve">1. </w:t>
      </w:r>
      <w:r>
        <w:rPr>
          <w:rFonts w:hint="eastAsia" w:ascii="宋体" w:hAnsi="宋体" w:cs="宋体"/>
          <w:szCs w:val="32"/>
        </w:rPr>
        <w:t>概  述</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_Toc11116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"_Toc7902" </w:instrText>
      </w:r>
      <w:r>
        <w:fldChar w:fldCharType="separate"/>
      </w:r>
      <w:r>
        <w:rPr>
          <w:rFonts w:hint="eastAsia" w:ascii="宋体" w:hAnsi="宋体" w:cs="宋体"/>
          <w:bCs/>
          <w:szCs w:val="30"/>
        </w:rPr>
        <w:t>1.1. 矿山概况</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_Toc7902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"_Toc14932" </w:instrText>
      </w:r>
      <w:r>
        <w:fldChar w:fldCharType="separate"/>
      </w:r>
      <w:r>
        <w:rPr>
          <w:rFonts w:hint="eastAsia" w:ascii="宋体" w:hAnsi="宋体" w:cs="宋体"/>
          <w:bCs/>
          <w:szCs w:val="30"/>
        </w:rPr>
        <w:t>1.2. 工作区范围、交通及自然地理和经济概况</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_Toc14932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"_Toc17283" </w:instrText>
      </w:r>
      <w:r>
        <w:fldChar w:fldCharType="separate"/>
      </w:r>
      <w:r>
        <w:rPr>
          <w:rFonts w:hint="eastAsia" w:ascii="宋体" w:hAnsi="宋体" w:cs="宋体"/>
          <w:bCs/>
          <w:szCs w:val="30"/>
        </w:rPr>
        <w:t>1.3. 编制依据</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_Toc17283 </w:instrText>
      </w:r>
      <w:r>
        <w:rPr>
          <w:rFonts w:hint="eastAsia" w:ascii="宋体" w:hAnsi="宋体" w:cs="宋体"/>
        </w:rPr>
        <w:fldChar w:fldCharType="separate"/>
      </w:r>
      <w:r>
        <w:rPr>
          <w:rFonts w:hint="eastAsia" w:ascii="宋体" w:hAnsi="宋体" w:cs="宋体"/>
        </w:rPr>
        <w:t>4</w:t>
      </w:r>
      <w:r>
        <w:rPr>
          <w:rFonts w:hint="eastAsia" w:ascii="宋体" w:hAnsi="宋体" w:cs="宋体"/>
        </w:rPr>
        <w:fldChar w:fldCharType="end"/>
      </w:r>
      <w:r>
        <w:rPr>
          <w:rFonts w:hint="eastAsia" w:ascii="宋体" w:hAnsi="宋体" w:cs="宋体"/>
        </w:rPr>
        <w:fldChar w:fldCharType="end"/>
      </w:r>
    </w:p>
    <w:p>
      <w:pPr>
        <w:pStyle w:val="38"/>
        <w:tabs>
          <w:tab w:val="right" w:leader="dot" w:pos="8300"/>
        </w:tabs>
        <w:spacing w:line="360" w:lineRule="auto"/>
        <w:rPr>
          <w:rFonts w:ascii="宋体" w:hAnsi="宋体" w:cs="宋体"/>
        </w:rPr>
      </w:pPr>
      <w:r>
        <w:fldChar w:fldCharType="begin"/>
      </w:r>
      <w:r>
        <w:instrText xml:space="preserve"> HYPERLINK \l "_Toc20120" </w:instrText>
      </w:r>
      <w:r>
        <w:fldChar w:fldCharType="separate"/>
      </w:r>
      <w:r>
        <w:rPr>
          <w:rFonts w:hint="eastAsia" w:ascii="宋体" w:hAnsi="宋体" w:cs="宋体"/>
          <w:szCs w:val="36"/>
        </w:rPr>
        <w:t xml:space="preserve">2. </w:t>
      </w:r>
      <w:r>
        <w:rPr>
          <w:rFonts w:hint="eastAsia" w:ascii="宋体" w:hAnsi="宋体" w:cs="宋体"/>
          <w:szCs w:val="32"/>
        </w:rPr>
        <w:t>矿产品需求现状和预测</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_Toc20120 </w:instrText>
      </w:r>
      <w:r>
        <w:rPr>
          <w:rFonts w:hint="eastAsia" w:ascii="宋体" w:hAnsi="宋体" w:cs="宋体"/>
        </w:rPr>
        <w:fldChar w:fldCharType="separate"/>
      </w:r>
      <w:r>
        <w:rPr>
          <w:rFonts w:hint="eastAsia" w:ascii="宋体" w:hAnsi="宋体" w:cs="宋体"/>
        </w:rPr>
        <w:t>7</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"_Toc19963" </w:instrText>
      </w:r>
      <w:r>
        <w:fldChar w:fldCharType="separate"/>
      </w:r>
      <w:r>
        <w:rPr>
          <w:rFonts w:hint="eastAsia" w:ascii="宋体" w:hAnsi="宋体" w:cs="宋体"/>
          <w:bCs/>
          <w:szCs w:val="30"/>
        </w:rPr>
        <w:t>2.1. 矿产品供需现状及预测</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_Toc19963 </w:instrText>
      </w:r>
      <w:r>
        <w:rPr>
          <w:rFonts w:hint="eastAsia" w:ascii="宋体" w:hAnsi="宋体" w:cs="宋体"/>
        </w:rPr>
        <w:fldChar w:fldCharType="separate"/>
      </w:r>
      <w:r>
        <w:rPr>
          <w:rFonts w:hint="eastAsia" w:ascii="宋体" w:hAnsi="宋体" w:cs="宋体"/>
        </w:rPr>
        <w:t>7</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"_Toc26703" </w:instrText>
      </w:r>
      <w:r>
        <w:fldChar w:fldCharType="separate"/>
      </w:r>
      <w:r>
        <w:rPr>
          <w:rFonts w:hint="eastAsia" w:ascii="宋体" w:hAnsi="宋体" w:cs="宋体"/>
          <w:bCs/>
          <w:szCs w:val="30"/>
        </w:rPr>
        <w:t>2.2. 产品价格分析</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_Toc26703 </w:instrText>
      </w:r>
      <w:r>
        <w:rPr>
          <w:rFonts w:hint="eastAsia" w:ascii="宋体" w:hAnsi="宋体" w:cs="宋体"/>
        </w:rPr>
        <w:fldChar w:fldCharType="separate"/>
      </w:r>
      <w:r>
        <w:rPr>
          <w:rFonts w:hint="eastAsia" w:ascii="宋体" w:hAnsi="宋体" w:cs="宋体"/>
        </w:rPr>
        <w:t>8</w:t>
      </w:r>
      <w:r>
        <w:rPr>
          <w:rFonts w:hint="eastAsia" w:ascii="宋体" w:hAnsi="宋体" w:cs="宋体"/>
        </w:rPr>
        <w:fldChar w:fldCharType="end"/>
      </w:r>
      <w:r>
        <w:rPr>
          <w:rFonts w:hint="eastAsia" w:ascii="宋体" w:hAnsi="宋体" w:cs="宋体"/>
        </w:rPr>
        <w:fldChar w:fldCharType="end"/>
      </w:r>
    </w:p>
    <w:p>
      <w:pPr>
        <w:pStyle w:val="38"/>
        <w:tabs>
          <w:tab w:val="right" w:leader="dot" w:pos="8300"/>
        </w:tabs>
        <w:spacing w:line="360" w:lineRule="auto"/>
        <w:rPr>
          <w:rFonts w:ascii="宋体" w:hAnsi="宋体" w:cs="宋体"/>
        </w:rPr>
      </w:pPr>
      <w:r>
        <w:fldChar w:fldCharType="begin"/>
      </w:r>
      <w:r>
        <w:instrText xml:space="preserve"> HYPERLINK \l "_Toc29717" </w:instrText>
      </w:r>
      <w:r>
        <w:fldChar w:fldCharType="separate"/>
      </w:r>
      <w:r>
        <w:rPr>
          <w:rFonts w:hint="eastAsia" w:ascii="宋体" w:hAnsi="宋体" w:cs="宋体"/>
          <w:szCs w:val="36"/>
        </w:rPr>
        <w:t xml:space="preserve">3. </w:t>
      </w:r>
      <w:r>
        <w:rPr>
          <w:rFonts w:hint="eastAsia" w:ascii="宋体" w:hAnsi="宋体" w:cs="宋体"/>
          <w:szCs w:val="32"/>
        </w:rPr>
        <w:t>矿产资源概况</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_Toc29717 </w:instrText>
      </w:r>
      <w:r>
        <w:rPr>
          <w:rFonts w:hint="eastAsia" w:ascii="宋体" w:hAnsi="宋体" w:cs="宋体"/>
        </w:rPr>
        <w:fldChar w:fldCharType="separate"/>
      </w:r>
      <w:r>
        <w:rPr>
          <w:rFonts w:hint="eastAsia" w:ascii="宋体" w:hAnsi="宋体" w:cs="宋体"/>
        </w:rPr>
        <w:t>9</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"_Toc26606" </w:instrText>
      </w:r>
      <w:r>
        <w:fldChar w:fldCharType="separate"/>
      </w:r>
      <w:r>
        <w:rPr>
          <w:rFonts w:hint="eastAsia" w:ascii="宋体" w:hAnsi="宋体" w:cs="宋体"/>
          <w:bCs/>
          <w:szCs w:val="30"/>
        </w:rPr>
        <w:t>3.1. 矿区总体概况</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_Toc26606 </w:instrText>
      </w:r>
      <w:r>
        <w:rPr>
          <w:rFonts w:hint="eastAsia" w:ascii="宋体" w:hAnsi="宋体" w:cs="宋体"/>
        </w:rPr>
        <w:fldChar w:fldCharType="separate"/>
      </w:r>
      <w:r>
        <w:rPr>
          <w:rFonts w:hint="eastAsia" w:ascii="宋体" w:hAnsi="宋体" w:cs="宋体"/>
        </w:rPr>
        <w:t>9</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"_Toc22392" </w:instrText>
      </w:r>
      <w:r>
        <w:fldChar w:fldCharType="separate"/>
      </w:r>
      <w:r>
        <w:rPr>
          <w:rFonts w:hint="eastAsia" w:ascii="宋体" w:hAnsi="宋体" w:cs="宋体"/>
          <w:bCs/>
          <w:szCs w:val="30"/>
        </w:rPr>
        <w:t>3.2. 设计项目的资源概况</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_Toc22392 </w:instrText>
      </w:r>
      <w:r>
        <w:rPr>
          <w:rFonts w:hint="eastAsia" w:ascii="宋体" w:hAnsi="宋体" w:cs="宋体"/>
        </w:rPr>
        <w:fldChar w:fldCharType="separate"/>
      </w:r>
      <w:r>
        <w:rPr>
          <w:rFonts w:hint="eastAsia" w:ascii="宋体" w:hAnsi="宋体" w:cs="宋体"/>
        </w:rPr>
        <w:t>9</w:t>
      </w:r>
      <w:r>
        <w:rPr>
          <w:rFonts w:hint="eastAsia" w:ascii="宋体" w:hAnsi="宋体" w:cs="宋体"/>
        </w:rPr>
        <w:fldChar w:fldCharType="end"/>
      </w:r>
      <w:r>
        <w:rPr>
          <w:rFonts w:hint="eastAsia" w:ascii="宋体" w:hAnsi="宋体" w:cs="宋体"/>
        </w:rPr>
        <w:fldChar w:fldCharType="end"/>
      </w:r>
    </w:p>
    <w:p>
      <w:pPr>
        <w:pStyle w:val="38"/>
        <w:tabs>
          <w:tab w:val="right" w:leader="dot" w:pos="8300"/>
        </w:tabs>
        <w:spacing w:line="360" w:lineRule="auto"/>
        <w:rPr>
          <w:rFonts w:ascii="宋体" w:hAnsi="宋体" w:cs="宋体"/>
        </w:rPr>
      </w:pPr>
      <w:r>
        <w:fldChar w:fldCharType="begin"/>
      </w:r>
      <w:r>
        <w:instrText xml:space="preserve"> HYPERLINK \l "_Toc7886" </w:instrText>
      </w:r>
      <w:r>
        <w:fldChar w:fldCharType="separate"/>
      </w:r>
      <w:r>
        <w:rPr>
          <w:rFonts w:hint="eastAsia" w:ascii="宋体" w:hAnsi="宋体" w:cs="宋体"/>
          <w:szCs w:val="36"/>
        </w:rPr>
        <w:t xml:space="preserve">4. </w:t>
      </w:r>
      <w:r>
        <w:rPr>
          <w:rFonts w:hint="eastAsia" w:ascii="宋体" w:hAnsi="宋体" w:cs="宋体"/>
          <w:szCs w:val="32"/>
        </w:rPr>
        <w:t>主要建设方案的确定</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_Toc7886 </w:instrText>
      </w:r>
      <w:r>
        <w:rPr>
          <w:rFonts w:hint="eastAsia" w:ascii="宋体" w:hAnsi="宋体" w:cs="宋体"/>
        </w:rPr>
        <w:fldChar w:fldCharType="separate"/>
      </w:r>
      <w:r>
        <w:rPr>
          <w:rFonts w:hint="eastAsia" w:ascii="宋体" w:hAnsi="宋体" w:cs="宋体"/>
        </w:rPr>
        <w:t>17</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"_Toc24927" </w:instrText>
      </w:r>
      <w:r>
        <w:fldChar w:fldCharType="separate"/>
      </w:r>
      <w:r>
        <w:rPr>
          <w:rFonts w:hint="eastAsia" w:ascii="宋体" w:hAnsi="宋体" w:cs="宋体"/>
          <w:bCs/>
          <w:szCs w:val="30"/>
        </w:rPr>
        <w:t>4.1. 开采方案</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_Toc24927 </w:instrText>
      </w:r>
      <w:r>
        <w:rPr>
          <w:rFonts w:hint="eastAsia" w:ascii="宋体" w:hAnsi="宋体" w:cs="宋体"/>
        </w:rPr>
        <w:fldChar w:fldCharType="separate"/>
      </w:r>
      <w:r>
        <w:rPr>
          <w:rFonts w:hint="eastAsia" w:ascii="宋体" w:hAnsi="宋体" w:cs="宋体"/>
        </w:rPr>
        <w:t>17</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"_Toc158" </w:instrText>
      </w:r>
      <w:r>
        <w:fldChar w:fldCharType="separate"/>
      </w:r>
      <w:r>
        <w:rPr>
          <w:rFonts w:hint="eastAsia" w:ascii="宋体" w:hAnsi="宋体" w:cs="宋体"/>
          <w:bCs/>
          <w:szCs w:val="30"/>
        </w:rPr>
        <w:t>4.2. 防治水方案</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_Toc158 </w:instrText>
      </w:r>
      <w:r>
        <w:rPr>
          <w:rFonts w:hint="eastAsia" w:ascii="宋体" w:hAnsi="宋体" w:cs="宋体"/>
        </w:rPr>
        <w:fldChar w:fldCharType="separate"/>
      </w:r>
      <w:r>
        <w:rPr>
          <w:rFonts w:hint="eastAsia" w:ascii="宋体" w:hAnsi="宋体" w:cs="宋体"/>
        </w:rPr>
        <w:t>18</w:t>
      </w:r>
      <w:r>
        <w:rPr>
          <w:rFonts w:hint="eastAsia" w:ascii="宋体" w:hAnsi="宋体" w:cs="宋体"/>
        </w:rPr>
        <w:fldChar w:fldCharType="end"/>
      </w:r>
      <w:r>
        <w:rPr>
          <w:rFonts w:hint="eastAsia" w:ascii="宋体" w:hAnsi="宋体" w:cs="宋体"/>
        </w:rPr>
        <w:fldChar w:fldCharType="end"/>
      </w:r>
    </w:p>
    <w:p>
      <w:pPr>
        <w:pStyle w:val="38"/>
        <w:tabs>
          <w:tab w:val="right" w:leader="dot" w:pos="8300"/>
        </w:tabs>
        <w:spacing w:line="360" w:lineRule="auto"/>
        <w:rPr>
          <w:rFonts w:ascii="宋体" w:hAnsi="宋体" w:cs="宋体"/>
        </w:rPr>
      </w:pPr>
      <w:r>
        <w:fldChar w:fldCharType="begin"/>
      </w:r>
      <w:r>
        <w:instrText xml:space="preserve"> HYPERLINK \l "_Toc7161" </w:instrText>
      </w:r>
      <w:r>
        <w:fldChar w:fldCharType="separate"/>
      </w:r>
      <w:r>
        <w:rPr>
          <w:rFonts w:hint="eastAsia" w:ascii="宋体" w:hAnsi="宋体" w:cs="宋体"/>
          <w:szCs w:val="36"/>
        </w:rPr>
        <w:t xml:space="preserve">5. </w:t>
      </w:r>
      <w:r>
        <w:rPr>
          <w:rFonts w:hint="eastAsia" w:ascii="宋体" w:hAnsi="宋体" w:cs="宋体"/>
          <w:szCs w:val="32"/>
        </w:rPr>
        <w:t>矿床开采</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_Toc7161 </w:instrText>
      </w:r>
      <w:r>
        <w:rPr>
          <w:rFonts w:hint="eastAsia" w:ascii="宋体" w:hAnsi="宋体" w:cs="宋体"/>
        </w:rPr>
        <w:fldChar w:fldCharType="separate"/>
      </w:r>
      <w:r>
        <w:rPr>
          <w:rFonts w:hint="eastAsia" w:ascii="宋体" w:hAnsi="宋体" w:cs="宋体"/>
        </w:rPr>
        <w:t>19</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"_Toc5329" </w:instrText>
      </w:r>
      <w:r>
        <w:fldChar w:fldCharType="separate"/>
      </w:r>
      <w:r>
        <w:rPr>
          <w:rFonts w:hint="eastAsia" w:ascii="宋体" w:hAnsi="宋体" w:cs="宋体"/>
          <w:bCs/>
          <w:szCs w:val="30"/>
        </w:rPr>
        <w:t>5.1. 露天开采境界的确定</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_Toc5329 </w:instrText>
      </w:r>
      <w:r>
        <w:rPr>
          <w:rFonts w:hint="eastAsia" w:ascii="宋体" w:hAnsi="宋体" w:cs="宋体"/>
        </w:rPr>
        <w:fldChar w:fldCharType="separate"/>
      </w:r>
      <w:r>
        <w:rPr>
          <w:rFonts w:hint="eastAsia" w:ascii="宋体" w:hAnsi="宋体" w:cs="宋体"/>
        </w:rPr>
        <w:t>19</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"_Toc26368" </w:instrText>
      </w:r>
      <w:r>
        <w:fldChar w:fldCharType="separate"/>
      </w:r>
      <w:r>
        <w:rPr>
          <w:rFonts w:hint="eastAsia" w:ascii="宋体" w:hAnsi="宋体" w:cs="宋体"/>
          <w:bCs/>
          <w:szCs w:val="30"/>
        </w:rPr>
        <w:t>5.2. 露天采场最终边坡要素</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_Toc26368 </w:instrText>
      </w:r>
      <w:r>
        <w:rPr>
          <w:rFonts w:hint="eastAsia" w:ascii="宋体" w:hAnsi="宋体" w:cs="宋体"/>
        </w:rPr>
        <w:fldChar w:fldCharType="separate"/>
      </w:r>
      <w:r>
        <w:rPr>
          <w:rFonts w:hint="eastAsia" w:ascii="宋体" w:hAnsi="宋体" w:cs="宋体"/>
        </w:rPr>
        <w:t>19</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"_Toc8703" </w:instrText>
      </w:r>
      <w:r>
        <w:fldChar w:fldCharType="separate"/>
      </w:r>
      <w:r>
        <w:rPr>
          <w:rFonts w:hint="eastAsia" w:ascii="宋体" w:hAnsi="宋体" w:cs="宋体"/>
          <w:bCs/>
          <w:szCs w:val="30"/>
        </w:rPr>
        <w:t>5.3. 工作制度、服务年限及生产能力验证</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_Toc8703 </w:instrText>
      </w:r>
      <w:r>
        <w:rPr>
          <w:rFonts w:hint="eastAsia" w:ascii="宋体" w:hAnsi="宋体" w:cs="宋体"/>
        </w:rPr>
        <w:fldChar w:fldCharType="separate"/>
      </w:r>
      <w:r>
        <w:rPr>
          <w:rFonts w:hint="eastAsia" w:ascii="宋体" w:hAnsi="宋体" w:cs="宋体"/>
        </w:rPr>
        <w:t>20</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"_Toc25931" </w:instrText>
      </w:r>
      <w:r>
        <w:fldChar w:fldCharType="separate"/>
      </w:r>
      <w:r>
        <w:rPr>
          <w:rFonts w:hint="eastAsia" w:ascii="宋体" w:hAnsi="宋体" w:cs="宋体"/>
          <w:bCs/>
          <w:szCs w:val="30"/>
        </w:rPr>
        <w:t>5.4. 开采工艺</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_Toc25931 </w:instrText>
      </w:r>
      <w:r>
        <w:rPr>
          <w:rFonts w:hint="eastAsia" w:ascii="宋体" w:hAnsi="宋体" w:cs="宋体"/>
        </w:rPr>
        <w:fldChar w:fldCharType="separate"/>
      </w:r>
      <w:r>
        <w:rPr>
          <w:rFonts w:hint="eastAsia" w:ascii="宋体" w:hAnsi="宋体" w:cs="宋体"/>
        </w:rPr>
        <w:t>22</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"_Toc25536" </w:instrText>
      </w:r>
      <w:r>
        <w:fldChar w:fldCharType="separate"/>
      </w:r>
      <w:r>
        <w:rPr>
          <w:rFonts w:hint="eastAsia" w:ascii="宋体" w:hAnsi="宋体" w:cs="宋体"/>
          <w:bCs/>
          <w:szCs w:val="30"/>
        </w:rPr>
        <w:t>5.5. 主要采矿设备</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_Toc25536 </w:instrText>
      </w:r>
      <w:r>
        <w:rPr>
          <w:rFonts w:hint="eastAsia" w:ascii="宋体" w:hAnsi="宋体" w:cs="宋体"/>
        </w:rPr>
        <w:fldChar w:fldCharType="separate"/>
      </w:r>
      <w:r>
        <w:rPr>
          <w:rFonts w:hint="eastAsia" w:ascii="宋体" w:hAnsi="宋体" w:cs="宋体"/>
        </w:rPr>
        <w:t>24</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"_Toc24517" </w:instrText>
      </w:r>
      <w:r>
        <w:fldChar w:fldCharType="separate"/>
      </w:r>
      <w:r>
        <w:rPr>
          <w:rFonts w:hint="eastAsia" w:ascii="宋体" w:hAnsi="宋体" w:cs="宋体"/>
          <w:bCs/>
          <w:szCs w:val="30"/>
        </w:rPr>
        <w:t>5.6. 矿山基建工作</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_Toc24517 </w:instrText>
      </w:r>
      <w:r>
        <w:rPr>
          <w:rFonts w:hint="eastAsia" w:ascii="宋体" w:hAnsi="宋体" w:cs="宋体"/>
        </w:rPr>
        <w:fldChar w:fldCharType="separate"/>
      </w:r>
      <w:r>
        <w:rPr>
          <w:rFonts w:hint="eastAsia" w:ascii="宋体" w:hAnsi="宋体" w:cs="宋体"/>
        </w:rPr>
        <w:t>25</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"_Toc21561" </w:instrText>
      </w:r>
      <w:r>
        <w:fldChar w:fldCharType="separate"/>
      </w:r>
      <w:r>
        <w:rPr>
          <w:rFonts w:hint="eastAsia" w:ascii="宋体" w:hAnsi="宋体" w:cs="宋体"/>
          <w:bCs/>
          <w:szCs w:val="30"/>
        </w:rPr>
        <w:t>5.7. 废石的综合利用</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_Toc21561 </w:instrText>
      </w:r>
      <w:r>
        <w:rPr>
          <w:rFonts w:hint="eastAsia" w:ascii="宋体" w:hAnsi="宋体" w:cs="宋体"/>
        </w:rPr>
        <w:fldChar w:fldCharType="separate"/>
      </w:r>
      <w:r>
        <w:rPr>
          <w:rFonts w:hint="eastAsia" w:ascii="宋体" w:hAnsi="宋体" w:cs="宋体"/>
        </w:rPr>
        <w:t>25</w:t>
      </w:r>
      <w:r>
        <w:rPr>
          <w:rFonts w:hint="eastAsia" w:ascii="宋体" w:hAnsi="宋体" w:cs="宋体"/>
        </w:rPr>
        <w:fldChar w:fldCharType="end"/>
      </w:r>
      <w:r>
        <w:rPr>
          <w:rFonts w:hint="eastAsia" w:ascii="宋体" w:hAnsi="宋体" w:cs="宋体"/>
        </w:rPr>
        <w:fldChar w:fldCharType="end"/>
      </w:r>
    </w:p>
    <w:p>
      <w:pPr>
        <w:pStyle w:val="38"/>
        <w:tabs>
          <w:tab w:val="right" w:leader="dot" w:pos="8300"/>
        </w:tabs>
        <w:spacing w:line="360" w:lineRule="auto"/>
        <w:rPr>
          <w:rFonts w:ascii="宋体" w:hAnsi="宋体" w:cs="宋体"/>
        </w:rPr>
      </w:pPr>
      <w:r>
        <w:fldChar w:fldCharType="begin"/>
      </w:r>
      <w:r>
        <w:instrText xml:space="preserve"> HYPERLINK \l "_Toc4417" </w:instrText>
      </w:r>
      <w:r>
        <w:fldChar w:fldCharType="separate"/>
      </w:r>
      <w:r>
        <w:rPr>
          <w:rFonts w:hint="eastAsia" w:ascii="宋体" w:hAnsi="宋体" w:cs="宋体"/>
          <w:szCs w:val="36"/>
        </w:rPr>
        <w:t xml:space="preserve">6. </w:t>
      </w:r>
      <w:r>
        <w:rPr>
          <w:rFonts w:hint="eastAsia" w:ascii="宋体" w:hAnsi="宋体" w:cs="宋体"/>
          <w:szCs w:val="32"/>
        </w:rPr>
        <w:t>矿石加工</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_Toc4417 </w:instrText>
      </w:r>
      <w:r>
        <w:rPr>
          <w:rFonts w:hint="eastAsia" w:ascii="宋体" w:hAnsi="宋体" w:cs="宋体"/>
        </w:rPr>
        <w:fldChar w:fldCharType="separate"/>
      </w:r>
      <w:r>
        <w:rPr>
          <w:rFonts w:hint="eastAsia" w:ascii="宋体" w:hAnsi="宋体" w:cs="宋体"/>
        </w:rPr>
        <w:t>26</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"_Toc20271" </w:instrText>
      </w:r>
      <w:r>
        <w:fldChar w:fldCharType="separate"/>
      </w:r>
      <w:r>
        <w:rPr>
          <w:rFonts w:hint="eastAsia" w:ascii="宋体" w:hAnsi="宋体" w:cs="宋体"/>
          <w:bCs/>
          <w:szCs w:val="30"/>
        </w:rPr>
        <w:t>6.1. 建设规模及产品纲领</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_Toc20271 </w:instrText>
      </w:r>
      <w:r>
        <w:rPr>
          <w:rFonts w:hint="eastAsia" w:ascii="宋体" w:hAnsi="宋体" w:cs="宋体"/>
        </w:rPr>
        <w:fldChar w:fldCharType="separate"/>
      </w:r>
      <w:r>
        <w:rPr>
          <w:rFonts w:hint="eastAsia" w:ascii="宋体" w:hAnsi="宋体" w:cs="宋体"/>
        </w:rPr>
        <w:t>26</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"_Toc10690" </w:instrText>
      </w:r>
      <w:r>
        <w:fldChar w:fldCharType="separate"/>
      </w:r>
      <w:r>
        <w:rPr>
          <w:rFonts w:hint="eastAsia" w:ascii="宋体" w:hAnsi="宋体" w:cs="宋体"/>
          <w:bCs/>
          <w:szCs w:val="30"/>
        </w:rPr>
        <w:t>6.2. 加工场位置</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_Toc10690 </w:instrText>
      </w:r>
      <w:r>
        <w:rPr>
          <w:rFonts w:hint="eastAsia" w:ascii="宋体" w:hAnsi="宋体" w:cs="宋体"/>
        </w:rPr>
        <w:fldChar w:fldCharType="separate"/>
      </w:r>
      <w:r>
        <w:rPr>
          <w:rFonts w:hint="eastAsia" w:ascii="宋体" w:hAnsi="宋体" w:cs="宋体"/>
        </w:rPr>
        <w:t>26</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"_Toc17057" </w:instrText>
      </w:r>
      <w:r>
        <w:fldChar w:fldCharType="separate"/>
      </w:r>
      <w:r>
        <w:rPr>
          <w:rFonts w:hint="eastAsia" w:ascii="宋体" w:hAnsi="宋体" w:cs="宋体"/>
          <w:bCs/>
          <w:szCs w:val="30"/>
        </w:rPr>
        <w:t>6.3. 生产加工工艺流程</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_Toc17057 </w:instrText>
      </w:r>
      <w:r>
        <w:rPr>
          <w:rFonts w:hint="eastAsia" w:ascii="宋体" w:hAnsi="宋体" w:cs="宋体"/>
        </w:rPr>
        <w:fldChar w:fldCharType="separate"/>
      </w:r>
      <w:r>
        <w:rPr>
          <w:rFonts w:hint="eastAsia" w:ascii="宋体" w:hAnsi="宋体" w:cs="宋体"/>
        </w:rPr>
        <w:t>26</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"_Toc3377" </w:instrText>
      </w:r>
      <w:r>
        <w:fldChar w:fldCharType="separate"/>
      </w:r>
      <w:r>
        <w:rPr>
          <w:rFonts w:hint="eastAsia" w:ascii="宋体" w:hAnsi="宋体" w:cs="宋体"/>
          <w:bCs/>
          <w:szCs w:val="30"/>
        </w:rPr>
        <w:t>6.4. 主要加工设备</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_Toc3377 </w:instrText>
      </w:r>
      <w:r>
        <w:rPr>
          <w:rFonts w:hint="eastAsia" w:ascii="宋体" w:hAnsi="宋体" w:cs="宋体"/>
        </w:rPr>
        <w:fldChar w:fldCharType="separate"/>
      </w:r>
      <w:r>
        <w:rPr>
          <w:rFonts w:hint="eastAsia" w:ascii="宋体" w:hAnsi="宋体" w:cs="宋体"/>
        </w:rPr>
        <w:t>27</w:t>
      </w:r>
      <w:r>
        <w:rPr>
          <w:rFonts w:hint="eastAsia" w:ascii="宋体" w:hAnsi="宋体" w:cs="宋体"/>
        </w:rPr>
        <w:fldChar w:fldCharType="end"/>
      </w:r>
      <w:r>
        <w:rPr>
          <w:rFonts w:hint="eastAsia" w:ascii="宋体" w:hAnsi="宋体" w:cs="宋体"/>
        </w:rPr>
        <w:fldChar w:fldCharType="end"/>
      </w:r>
    </w:p>
    <w:p>
      <w:pPr>
        <w:pStyle w:val="38"/>
        <w:tabs>
          <w:tab w:val="right" w:leader="dot" w:pos="8300"/>
        </w:tabs>
        <w:spacing w:line="360" w:lineRule="auto"/>
        <w:rPr>
          <w:rFonts w:ascii="宋体" w:hAnsi="宋体" w:cs="宋体"/>
        </w:rPr>
      </w:pPr>
      <w:r>
        <w:fldChar w:fldCharType="begin"/>
      </w:r>
      <w:r>
        <w:instrText xml:space="preserve"> HYPERLINK \l "_Toc12438" </w:instrText>
      </w:r>
      <w:r>
        <w:fldChar w:fldCharType="separate"/>
      </w:r>
      <w:r>
        <w:rPr>
          <w:rFonts w:hint="eastAsia" w:ascii="宋体" w:hAnsi="宋体" w:cs="宋体"/>
          <w:szCs w:val="36"/>
        </w:rPr>
        <w:t xml:space="preserve">7. </w:t>
      </w:r>
      <w:r>
        <w:rPr>
          <w:rFonts w:hint="eastAsia" w:ascii="宋体" w:hAnsi="宋体" w:cs="宋体"/>
          <w:szCs w:val="32"/>
        </w:rPr>
        <w:t>总图运输及公用辅助设施</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_Toc12438 </w:instrText>
      </w:r>
      <w:r>
        <w:rPr>
          <w:rFonts w:hint="eastAsia" w:ascii="宋体" w:hAnsi="宋体" w:cs="宋体"/>
        </w:rPr>
        <w:fldChar w:fldCharType="separate"/>
      </w:r>
      <w:r>
        <w:rPr>
          <w:rFonts w:hint="eastAsia" w:ascii="宋体" w:hAnsi="宋体" w:cs="宋体"/>
        </w:rPr>
        <w:t>28</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"_Toc11495" </w:instrText>
      </w:r>
      <w:r>
        <w:fldChar w:fldCharType="separate"/>
      </w:r>
      <w:r>
        <w:rPr>
          <w:rFonts w:hint="eastAsia" w:ascii="宋体" w:hAnsi="宋体" w:cs="宋体"/>
          <w:bCs/>
          <w:szCs w:val="30"/>
        </w:rPr>
        <w:t>7.1. 总平面布置</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_Toc11495 </w:instrText>
      </w:r>
      <w:r>
        <w:rPr>
          <w:rFonts w:hint="eastAsia" w:ascii="宋体" w:hAnsi="宋体" w:cs="宋体"/>
        </w:rPr>
        <w:fldChar w:fldCharType="separate"/>
      </w:r>
      <w:r>
        <w:rPr>
          <w:rFonts w:hint="eastAsia" w:ascii="宋体" w:hAnsi="宋体" w:cs="宋体"/>
        </w:rPr>
        <w:t>28</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"_Toc21076" </w:instrText>
      </w:r>
      <w:r>
        <w:fldChar w:fldCharType="separate"/>
      </w:r>
      <w:r>
        <w:rPr>
          <w:rFonts w:hint="eastAsia" w:ascii="宋体" w:hAnsi="宋体" w:cs="宋体"/>
          <w:bCs/>
          <w:szCs w:val="30"/>
        </w:rPr>
        <w:t>7.2. 公用工程及辅助设施</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_Toc21076 </w:instrText>
      </w:r>
      <w:r>
        <w:rPr>
          <w:rFonts w:hint="eastAsia" w:ascii="宋体" w:hAnsi="宋体" w:cs="宋体"/>
        </w:rPr>
        <w:fldChar w:fldCharType="separate"/>
      </w:r>
      <w:r>
        <w:rPr>
          <w:rFonts w:hint="eastAsia" w:ascii="宋体" w:hAnsi="宋体" w:cs="宋体"/>
        </w:rPr>
        <w:t>30</w:t>
      </w:r>
      <w:r>
        <w:rPr>
          <w:rFonts w:hint="eastAsia" w:ascii="宋体" w:hAnsi="宋体" w:cs="宋体"/>
        </w:rPr>
        <w:fldChar w:fldCharType="end"/>
      </w:r>
      <w:r>
        <w:rPr>
          <w:rFonts w:hint="eastAsia" w:ascii="宋体" w:hAnsi="宋体" w:cs="宋体"/>
        </w:rPr>
        <w:fldChar w:fldCharType="end"/>
      </w:r>
    </w:p>
    <w:p>
      <w:pPr>
        <w:pStyle w:val="38"/>
        <w:tabs>
          <w:tab w:val="right" w:leader="dot" w:pos="8300"/>
        </w:tabs>
        <w:spacing w:line="360" w:lineRule="auto"/>
        <w:rPr>
          <w:rFonts w:ascii="宋体" w:hAnsi="宋体" w:cs="宋体"/>
        </w:rPr>
      </w:pPr>
      <w:r>
        <w:fldChar w:fldCharType="begin"/>
      </w:r>
      <w:r>
        <w:instrText xml:space="preserve"> HYPERLINK \l "_Toc9504" </w:instrText>
      </w:r>
      <w:r>
        <w:fldChar w:fldCharType="separate"/>
      </w:r>
      <w:r>
        <w:rPr>
          <w:rFonts w:hint="eastAsia" w:ascii="宋体" w:hAnsi="宋体" w:cs="宋体"/>
          <w:szCs w:val="36"/>
        </w:rPr>
        <w:t xml:space="preserve">8. </w:t>
      </w:r>
      <w:r>
        <w:rPr>
          <w:rFonts w:hint="eastAsia" w:ascii="宋体" w:hAnsi="宋体" w:cs="宋体"/>
          <w:szCs w:val="32"/>
        </w:rPr>
        <w:t>环境保护</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_Toc9504 </w:instrText>
      </w:r>
      <w:r>
        <w:rPr>
          <w:rFonts w:hint="eastAsia" w:ascii="宋体" w:hAnsi="宋体" w:cs="宋体"/>
        </w:rPr>
        <w:fldChar w:fldCharType="separate"/>
      </w:r>
      <w:r>
        <w:rPr>
          <w:rFonts w:hint="eastAsia" w:ascii="宋体" w:hAnsi="宋体" w:cs="宋体"/>
        </w:rPr>
        <w:t>33</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"_Toc27889" </w:instrText>
      </w:r>
      <w:r>
        <w:fldChar w:fldCharType="separate"/>
      </w:r>
      <w:r>
        <w:rPr>
          <w:rFonts w:hint="eastAsia" w:ascii="宋体" w:hAnsi="宋体" w:cs="宋体"/>
          <w:bCs/>
          <w:szCs w:val="30"/>
        </w:rPr>
        <w:t>8.1. 建设地区的环境现状</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_Toc27889 </w:instrText>
      </w:r>
      <w:r>
        <w:rPr>
          <w:rFonts w:hint="eastAsia" w:ascii="宋体" w:hAnsi="宋体" w:cs="宋体"/>
        </w:rPr>
        <w:fldChar w:fldCharType="separate"/>
      </w:r>
      <w:r>
        <w:rPr>
          <w:rFonts w:hint="eastAsia" w:ascii="宋体" w:hAnsi="宋体" w:cs="宋体"/>
        </w:rPr>
        <w:t>33</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"_Toc30864" </w:instrText>
      </w:r>
      <w:r>
        <w:fldChar w:fldCharType="separate"/>
      </w:r>
      <w:r>
        <w:rPr>
          <w:rFonts w:hint="eastAsia" w:ascii="宋体" w:hAnsi="宋体" w:cs="宋体"/>
          <w:bCs/>
          <w:szCs w:val="30"/>
        </w:rPr>
        <w:t>8.2. 主要污染源（物）排放状况</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_Toc30864 </w:instrText>
      </w:r>
      <w:r>
        <w:rPr>
          <w:rFonts w:hint="eastAsia" w:ascii="宋体" w:hAnsi="宋体" w:cs="宋体"/>
        </w:rPr>
        <w:fldChar w:fldCharType="separate"/>
      </w:r>
      <w:r>
        <w:rPr>
          <w:rFonts w:hint="eastAsia" w:ascii="宋体" w:hAnsi="宋体" w:cs="宋体"/>
        </w:rPr>
        <w:t>33</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"_Toc367" </w:instrText>
      </w:r>
      <w:r>
        <w:fldChar w:fldCharType="separate"/>
      </w:r>
      <w:r>
        <w:rPr>
          <w:rFonts w:hint="eastAsia" w:ascii="宋体" w:hAnsi="宋体" w:cs="宋体"/>
          <w:bCs/>
          <w:szCs w:val="30"/>
        </w:rPr>
        <w:t>8.3. 主要污染源（物）治理方案</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_Toc367 </w:instrText>
      </w:r>
      <w:r>
        <w:rPr>
          <w:rFonts w:hint="eastAsia" w:ascii="宋体" w:hAnsi="宋体" w:cs="宋体"/>
        </w:rPr>
        <w:fldChar w:fldCharType="separate"/>
      </w:r>
      <w:r>
        <w:rPr>
          <w:rFonts w:hint="eastAsia" w:ascii="宋体" w:hAnsi="宋体" w:cs="宋体"/>
        </w:rPr>
        <w:t>33</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"_Toc9415" </w:instrText>
      </w:r>
      <w:r>
        <w:fldChar w:fldCharType="separate"/>
      </w:r>
      <w:r>
        <w:rPr>
          <w:rFonts w:hint="eastAsia" w:ascii="宋体" w:hAnsi="宋体" w:cs="宋体"/>
          <w:szCs w:val="30"/>
        </w:rPr>
        <w:t>8.4. 水土保持</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_Toc9415 </w:instrText>
      </w:r>
      <w:r>
        <w:rPr>
          <w:rFonts w:hint="eastAsia" w:ascii="宋体" w:hAnsi="宋体" w:cs="宋体"/>
        </w:rPr>
        <w:fldChar w:fldCharType="separate"/>
      </w:r>
      <w:r>
        <w:rPr>
          <w:rFonts w:hint="eastAsia" w:ascii="宋体" w:hAnsi="宋体" w:cs="宋体"/>
        </w:rPr>
        <w:t>35</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"_Toc32083" </w:instrText>
      </w:r>
      <w:r>
        <w:fldChar w:fldCharType="separate"/>
      </w:r>
      <w:r>
        <w:rPr>
          <w:rFonts w:hint="eastAsia" w:ascii="宋体" w:hAnsi="宋体" w:cs="宋体"/>
          <w:szCs w:val="30"/>
        </w:rPr>
        <w:t>8.5. 环境管理</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_Toc32083 </w:instrText>
      </w:r>
      <w:r>
        <w:rPr>
          <w:rFonts w:hint="eastAsia" w:ascii="宋体" w:hAnsi="宋体" w:cs="宋体"/>
        </w:rPr>
        <w:fldChar w:fldCharType="separate"/>
      </w:r>
      <w:r>
        <w:rPr>
          <w:rFonts w:hint="eastAsia" w:ascii="宋体" w:hAnsi="宋体" w:cs="宋体"/>
        </w:rPr>
        <w:t>35</w:t>
      </w:r>
      <w:r>
        <w:rPr>
          <w:rFonts w:hint="eastAsia" w:ascii="宋体" w:hAnsi="宋体" w:cs="宋体"/>
        </w:rPr>
        <w:fldChar w:fldCharType="end"/>
      </w:r>
      <w:r>
        <w:rPr>
          <w:rFonts w:hint="eastAsia" w:ascii="宋体" w:hAnsi="宋体" w:cs="宋体"/>
        </w:rPr>
        <w:fldChar w:fldCharType="end"/>
      </w:r>
    </w:p>
    <w:p>
      <w:pPr>
        <w:pStyle w:val="38"/>
        <w:tabs>
          <w:tab w:val="right" w:leader="dot" w:pos="8300"/>
        </w:tabs>
        <w:spacing w:line="360" w:lineRule="auto"/>
        <w:rPr>
          <w:rFonts w:ascii="宋体" w:hAnsi="宋体" w:cs="宋体"/>
        </w:rPr>
      </w:pPr>
      <w:r>
        <w:fldChar w:fldCharType="begin"/>
      </w:r>
      <w:r>
        <w:instrText xml:space="preserve"> HYPERLINK \l "_Toc30375" </w:instrText>
      </w:r>
      <w:r>
        <w:fldChar w:fldCharType="separate"/>
      </w:r>
      <w:r>
        <w:rPr>
          <w:rFonts w:hint="eastAsia" w:ascii="宋体" w:hAnsi="宋体" w:cs="宋体"/>
          <w:szCs w:val="36"/>
        </w:rPr>
        <w:t xml:space="preserve">9. </w:t>
      </w:r>
      <w:r>
        <w:rPr>
          <w:rFonts w:hint="eastAsia" w:ascii="宋体" w:hAnsi="宋体" w:cs="宋体"/>
          <w:szCs w:val="32"/>
        </w:rPr>
        <w:t>职业安全与健康</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_Toc30375 </w:instrText>
      </w:r>
      <w:r>
        <w:rPr>
          <w:rFonts w:hint="eastAsia" w:ascii="宋体" w:hAnsi="宋体" w:cs="宋体"/>
        </w:rPr>
        <w:fldChar w:fldCharType="separate"/>
      </w:r>
      <w:r>
        <w:rPr>
          <w:rFonts w:hint="eastAsia" w:ascii="宋体" w:hAnsi="宋体" w:cs="宋体"/>
        </w:rPr>
        <w:t>37</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"_Toc25011" </w:instrText>
      </w:r>
      <w:r>
        <w:fldChar w:fldCharType="separate"/>
      </w:r>
      <w:r>
        <w:rPr>
          <w:rFonts w:hint="eastAsia" w:ascii="宋体" w:hAnsi="宋体" w:cs="宋体"/>
          <w:bCs/>
          <w:szCs w:val="30"/>
        </w:rPr>
        <w:t>9.1. 工程概况</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_Toc25011 </w:instrText>
      </w:r>
      <w:r>
        <w:rPr>
          <w:rFonts w:hint="eastAsia" w:ascii="宋体" w:hAnsi="宋体" w:cs="宋体"/>
        </w:rPr>
        <w:fldChar w:fldCharType="separate"/>
      </w:r>
      <w:r>
        <w:rPr>
          <w:rFonts w:hint="eastAsia" w:ascii="宋体" w:hAnsi="宋体" w:cs="宋体"/>
        </w:rPr>
        <w:t>37</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"_Toc15265" </w:instrText>
      </w:r>
      <w:r>
        <w:fldChar w:fldCharType="separate"/>
      </w:r>
      <w:r>
        <w:rPr>
          <w:rFonts w:hint="eastAsia" w:ascii="宋体" w:hAnsi="宋体" w:cs="宋体"/>
          <w:bCs/>
          <w:szCs w:val="30"/>
        </w:rPr>
        <w:t>9.2. 依据的法律、法规</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_Toc15265 </w:instrText>
      </w:r>
      <w:r>
        <w:rPr>
          <w:rFonts w:hint="eastAsia" w:ascii="宋体" w:hAnsi="宋体" w:cs="宋体"/>
        </w:rPr>
        <w:fldChar w:fldCharType="separate"/>
      </w:r>
      <w:r>
        <w:rPr>
          <w:rFonts w:hint="eastAsia" w:ascii="宋体" w:hAnsi="宋体" w:cs="宋体"/>
        </w:rPr>
        <w:t>37</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"_Toc15382" </w:instrText>
      </w:r>
      <w:r>
        <w:fldChar w:fldCharType="separate"/>
      </w:r>
      <w:r>
        <w:rPr>
          <w:rFonts w:hint="eastAsia" w:ascii="宋体" w:hAnsi="宋体" w:cs="宋体"/>
          <w:bCs/>
          <w:szCs w:val="30"/>
        </w:rPr>
        <w:t>9.3. 职业安全</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_Toc15382 </w:instrText>
      </w:r>
      <w:r>
        <w:rPr>
          <w:rFonts w:hint="eastAsia" w:ascii="宋体" w:hAnsi="宋体" w:cs="宋体"/>
        </w:rPr>
        <w:fldChar w:fldCharType="separate"/>
      </w:r>
      <w:r>
        <w:rPr>
          <w:rFonts w:hint="eastAsia" w:ascii="宋体" w:hAnsi="宋体" w:cs="宋体"/>
        </w:rPr>
        <w:t>37</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"_Toc12720" </w:instrText>
      </w:r>
      <w:r>
        <w:fldChar w:fldCharType="separate"/>
      </w:r>
      <w:r>
        <w:rPr>
          <w:rFonts w:hint="eastAsia" w:ascii="宋体" w:hAnsi="宋体" w:cs="宋体"/>
          <w:bCs/>
          <w:szCs w:val="30"/>
        </w:rPr>
        <w:t>9.4. 职业健康</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_Toc12720 </w:instrText>
      </w:r>
      <w:r>
        <w:rPr>
          <w:rFonts w:hint="eastAsia" w:ascii="宋体" w:hAnsi="宋体" w:cs="宋体"/>
        </w:rPr>
        <w:fldChar w:fldCharType="separate"/>
      </w:r>
      <w:r>
        <w:rPr>
          <w:rFonts w:hint="eastAsia" w:ascii="宋体" w:hAnsi="宋体" w:cs="宋体"/>
        </w:rPr>
        <w:t>49</w:t>
      </w:r>
      <w:r>
        <w:rPr>
          <w:rFonts w:hint="eastAsia" w:ascii="宋体" w:hAnsi="宋体" w:cs="宋体"/>
        </w:rPr>
        <w:fldChar w:fldCharType="end"/>
      </w:r>
      <w:r>
        <w:rPr>
          <w:rFonts w:hint="eastAsia" w:ascii="宋体" w:hAnsi="宋体" w:cs="宋体"/>
        </w:rPr>
        <w:fldChar w:fldCharType="end"/>
      </w:r>
    </w:p>
    <w:p>
      <w:pPr>
        <w:pStyle w:val="38"/>
        <w:tabs>
          <w:tab w:val="right" w:leader="dot" w:pos="8300"/>
        </w:tabs>
        <w:spacing w:line="360" w:lineRule="auto"/>
        <w:rPr>
          <w:rFonts w:ascii="宋体" w:hAnsi="宋体" w:cs="宋体"/>
        </w:rPr>
      </w:pPr>
      <w:r>
        <w:fldChar w:fldCharType="begin"/>
      </w:r>
      <w:r>
        <w:instrText xml:space="preserve"> HYPERLINK \l "_Toc18146" </w:instrText>
      </w:r>
      <w:r>
        <w:fldChar w:fldCharType="separate"/>
      </w:r>
      <w:r>
        <w:rPr>
          <w:rFonts w:hint="eastAsia" w:ascii="宋体" w:hAnsi="宋体" w:cs="宋体"/>
          <w:szCs w:val="36"/>
        </w:rPr>
        <w:t xml:space="preserve">10. </w:t>
      </w:r>
      <w:r>
        <w:rPr>
          <w:rFonts w:hint="eastAsia" w:ascii="宋体" w:hAnsi="宋体" w:cs="宋体"/>
          <w:szCs w:val="32"/>
        </w:rPr>
        <w:t>劳动定员、投资估算及经济评价</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_Toc18146 </w:instrText>
      </w:r>
      <w:r>
        <w:rPr>
          <w:rFonts w:hint="eastAsia" w:ascii="宋体" w:hAnsi="宋体" w:cs="宋体"/>
        </w:rPr>
        <w:fldChar w:fldCharType="separate"/>
      </w:r>
      <w:r>
        <w:rPr>
          <w:rFonts w:hint="eastAsia" w:ascii="宋体" w:hAnsi="宋体" w:cs="宋体"/>
        </w:rPr>
        <w:t>51</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"_Toc21622" </w:instrText>
      </w:r>
      <w:r>
        <w:fldChar w:fldCharType="separate"/>
      </w:r>
      <w:r>
        <w:rPr>
          <w:rFonts w:hint="eastAsia" w:ascii="宋体" w:hAnsi="宋体" w:cs="宋体"/>
          <w:bCs/>
          <w:szCs w:val="30"/>
        </w:rPr>
        <w:t>10.1. 劳动定员与工作制度</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_Toc21622 </w:instrText>
      </w:r>
      <w:r>
        <w:rPr>
          <w:rFonts w:hint="eastAsia" w:ascii="宋体" w:hAnsi="宋体" w:cs="宋体"/>
        </w:rPr>
        <w:fldChar w:fldCharType="separate"/>
      </w:r>
      <w:r>
        <w:rPr>
          <w:rFonts w:hint="eastAsia" w:ascii="宋体" w:hAnsi="宋体" w:cs="宋体"/>
        </w:rPr>
        <w:t>51</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"_Toc30382" </w:instrText>
      </w:r>
      <w:r>
        <w:fldChar w:fldCharType="separate"/>
      </w:r>
      <w:r>
        <w:rPr>
          <w:rFonts w:hint="eastAsia" w:ascii="宋体" w:hAnsi="宋体" w:cs="宋体"/>
          <w:bCs/>
          <w:szCs w:val="30"/>
        </w:rPr>
        <w:t>10.2. 项目新增投资概算</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_Toc30382 </w:instrText>
      </w:r>
      <w:r>
        <w:rPr>
          <w:rFonts w:hint="eastAsia" w:ascii="宋体" w:hAnsi="宋体" w:cs="宋体"/>
        </w:rPr>
        <w:fldChar w:fldCharType="separate"/>
      </w:r>
      <w:r>
        <w:rPr>
          <w:rFonts w:hint="eastAsia" w:ascii="宋体" w:hAnsi="宋体" w:cs="宋体"/>
        </w:rPr>
        <w:t>51</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"_Toc22494" </w:instrText>
      </w:r>
      <w:r>
        <w:fldChar w:fldCharType="separate"/>
      </w:r>
      <w:r>
        <w:rPr>
          <w:rFonts w:hint="eastAsia" w:ascii="宋体" w:hAnsi="宋体" w:cs="宋体"/>
          <w:bCs/>
          <w:szCs w:val="30"/>
        </w:rPr>
        <w:t>10.3. 总成本费用估算</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_Toc22494 </w:instrText>
      </w:r>
      <w:r>
        <w:rPr>
          <w:rFonts w:hint="eastAsia" w:ascii="宋体" w:hAnsi="宋体" w:cs="宋体"/>
        </w:rPr>
        <w:fldChar w:fldCharType="separate"/>
      </w:r>
      <w:r>
        <w:rPr>
          <w:rFonts w:hint="eastAsia" w:ascii="宋体" w:hAnsi="宋体" w:cs="宋体"/>
        </w:rPr>
        <w:t>52</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"_Toc8884" </w:instrText>
      </w:r>
      <w:r>
        <w:fldChar w:fldCharType="separate"/>
      </w:r>
      <w:r>
        <w:rPr>
          <w:rFonts w:hint="eastAsia" w:ascii="宋体" w:hAnsi="宋体" w:cs="宋体"/>
          <w:bCs/>
          <w:szCs w:val="30"/>
        </w:rPr>
        <w:t>10.4. 销售收入、销售税金及利润</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_Toc8884 </w:instrText>
      </w:r>
      <w:r>
        <w:rPr>
          <w:rFonts w:hint="eastAsia" w:ascii="宋体" w:hAnsi="宋体" w:cs="宋体"/>
        </w:rPr>
        <w:fldChar w:fldCharType="separate"/>
      </w:r>
      <w:r>
        <w:rPr>
          <w:rFonts w:hint="eastAsia" w:ascii="宋体" w:hAnsi="宋体" w:cs="宋体"/>
        </w:rPr>
        <w:t>53</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"_Toc25904" </w:instrText>
      </w:r>
      <w:r>
        <w:fldChar w:fldCharType="separate"/>
      </w:r>
      <w:r>
        <w:rPr>
          <w:rFonts w:hint="eastAsia" w:ascii="宋体" w:hAnsi="宋体" w:cs="宋体"/>
          <w:bCs/>
          <w:szCs w:val="30"/>
        </w:rPr>
        <w:t>10.5. 综合技术经济指标</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_Toc25904 </w:instrText>
      </w:r>
      <w:r>
        <w:rPr>
          <w:rFonts w:hint="eastAsia" w:ascii="宋体" w:hAnsi="宋体" w:cs="宋体"/>
        </w:rPr>
        <w:fldChar w:fldCharType="separate"/>
      </w:r>
      <w:r>
        <w:rPr>
          <w:rFonts w:hint="eastAsia" w:ascii="宋体" w:hAnsi="宋体" w:cs="宋体"/>
        </w:rPr>
        <w:t>53</w:t>
      </w:r>
      <w:r>
        <w:rPr>
          <w:rFonts w:hint="eastAsia" w:ascii="宋体" w:hAnsi="宋体" w:cs="宋体"/>
        </w:rPr>
        <w:fldChar w:fldCharType="end"/>
      </w:r>
      <w:r>
        <w:rPr>
          <w:rFonts w:hint="eastAsia" w:ascii="宋体" w:hAnsi="宋体" w:cs="宋体"/>
        </w:rPr>
        <w:fldChar w:fldCharType="end"/>
      </w:r>
    </w:p>
    <w:p>
      <w:pPr>
        <w:pStyle w:val="38"/>
        <w:tabs>
          <w:tab w:val="right" w:leader="dot" w:pos="8300"/>
        </w:tabs>
        <w:spacing w:line="360" w:lineRule="auto"/>
        <w:rPr>
          <w:rFonts w:ascii="宋体" w:hAnsi="宋体" w:cs="宋体"/>
        </w:rPr>
      </w:pPr>
      <w:r>
        <w:fldChar w:fldCharType="begin"/>
      </w:r>
      <w:r>
        <w:instrText xml:space="preserve"> HYPERLINK \l "_Toc10800" </w:instrText>
      </w:r>
      <w:r>
        <w:fldChar w:fldCharType="separate"/>
      </w:r>
      <w:r>
        <w:rPr>
          <w:rFonts w:hint="eastAsia" w:ascii="宋体" w:hAnsi="宋体" w:cs="宋体"/>
          <w:szCs w:val="36"/>
        </w:rPr>
        <w:t xml:space="preserve">11. </w:t>
      </w:r>
      <w:r>
        <w:rPr>
          <w:rFonts w:hint="eastAsia" w:ascii="宋体" w:hAnsi="宋体" w:cs="宋体"/>
          <w:szCs w:val="32"/>
        </w:rPr>
        <w:t>开发方案简要结论</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_Toc10800 </w:instrText>
      </w:r>
      <w:r>
        <w:rPr>
          <w:rFonts w:hint="eastAsia" w:ascii="宋体" w:hAnsi="宋体" w:cs="宋体"/>
        </w:rPr>
        <w:fldChar w:fldCharType="separate"/>
      </w:r>
      <w:r>
        <w:rPr>
          <w:rFonts w:hint="eastAsia" w:ascii="宋体" w:hAnsi="宋体" w:cs="宋体"/>
        </w:rPr>
        <w:t>55</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"_Toc5510" </w:instrText>
      </w:r>
      <w:r>
        <w:fldChar w:fldCharType="separate"/>
      </w:r>
      <w:r>
        <w:rPr>
          <w:rFonts w:hint="eastAsia" w:ascii="宋体" w:hAnsi="宋体" w:cs="宋体"/>
          <w:bCs/>
          <w:szCs w:val="30"/>
        </w:rPr>
        <w:t>11.1. 资源量、建设规模和服务年限</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_Toc5510 </w:instrText>
      </w:r>
      <w:r>
        <w:rPr>
          <w:rFonts w:hint="eastAsia" w:ascii="宋体" w:hAnsi="宋体" w:cs="宋体"/>
        </w:rPr>
        <w:fldChar w:fldCharType="separate"/>
      </w:r>
      <w:r>
        <w:rPr>
          <w:rFonts w:hint="eastAsia" w:ascii="宋体" w:hAnsi="宋体" w:cs="宋体"/>
        </w:rPr>
        <w:t>55</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"_Toc17785" </w:instrText>
      </w:r>
      <w:r>
        <w:fldChar w:fldCharType="separate"/>
      </w:r>
      <w:r>
        <w:rPr>
          <w:rFonts w:hint="eastAsia" w:ascii="宋体" w:hAnsi="宋体" w:cs="宋体"/>
          <w:bCs/>
          <w:szCs w:val="30"/>
        </w:rPr>
        <w:t>11.2. 产品方案</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_Toc17785 </w:instrText>
      </w:r>
      <w:r>
        <w:rPr>
          <w:rFonts w:hint="eastAsia" w:ascii="宋体" w:hAnsi="宋体" w:cs="宋体"/>
        </w:rPr>
        <w:fldChar w:fldCharType="separate"/>
      </w:r>
      <w:r>
        <w:rPr>
          <w:rFonts w:hint="eastAsia" w:ascii="宋体" w:hAnsi="宋体" w:cs="宋体"/>
        </w:rPr>
        <w:t>55</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"_Toc15598" </w:instrText>
      </w:r>
      <w:r>
        <w:fldChar w:fldCharType="separate"/>
      </w:r>
      <w:r>
        <w:rPr>
          <w:rFonts w:hint="eastAsia" w:ascii="宋体" w:hAnsi="宋体" w:cs="宋体"/>
          <w:bCs/>
          <w:szCs w:val="30"/>
        </w:rPr>
        <w:t>11.3. 矿址及开拓运输方案</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_Toc15598 </w:instrText>
      </w:r>
      <w:r>
        <w:rPr>
          <w:rFonts w:hint="eastAsia" w:ascii="宋体" w:hAnsi="宋体" w:cs="宋体"/>
        </w:rPr>
        <w:fldChar w:fldCharType="separate"/>
      </w:r>
      <w:r>
        <w:rPr>
          <w:rFonts w:hint="eastAsia" w:ascii="宋体" w:hAnsi="宋体" w:cs="宋体"/>
        </w:rPr>
        <w:t>55</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"_Toc26897" </w:instrText>
      </w:r>
      <w:r>
        <w:fldChar w:fldCharType="separate"/>
      </w:r>
      <w:r>
        <w:rPr>
          <w:rFonts w:hint="eastAsia" w:ascii="宋体" w:hAnsi="宋体" w:cs="宋体"/>
          <w:bCs/>
          <w:szCs w:val="30"/>
        </w:rPr>
        <w:t>11.4. 开采工艺方案</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_Toc26897 </w:instrText>
      </w:r>
      <w:r>
        <w:rPr>
          <w:rFonts w:hint="eastAsia" w:ascii="宋体" w:hAnsi="宋体" w:cs="宋体"/>
        </w:rPr>
        <w:fldChar w:fldCharType="separate"/>
      </w:r>
      <w:r>
        <w:rPr>
          <w:rFonts w:hint="eastAsia" w:ascii="宋体" w:hAnsi="宋体" w:cs="宋体"/>
        </w:rPr>
        <w:t>55</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"_Toc29650" </w:instrText>
      </w:r>
      <w:r>
        <w:fldChar w:fldCharType="separate"/>
      </w:r>
      <w:r>
        <w:rPr>
          <w:rFonts w:hint="eastAsia" w:ascii="宋体" w:hAnsi="宋体" w:cs="宋体"/>
          <w:bCs/>
          <w:szCs w:val="30"/>
        </w:rPr>
        <w:t>11.5. 技术分析</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_Toc29650 </w:instrText>
      </w:r>
      <w:r>
        <w:rPr>
          <w:rFonts w:hint="eastAsia" w:ascii="宋体" w:hAnsi="宋体" w:cs="宋体"/>
        </w:rPr>
        <w:fldChar w:fldCharType="separate"/>
      </w:r>
      <w:r>
        <w:rPr>
          <w:rFonts w:hint="eastAsia" w:ascii="宋体" w:hAnsi="宋体" w:cs="宋体"/>
        </w:rPr>
        <w:t>55</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"_Toc4607" </w:instrText>
      </w:r>
      <w:r>
        <w:fldChar w:fldCharType="separate"/>
      </w:r>
      <w:r>
        <w:rPr>
          <w:rFonts w:hint="eastAsia" w:ascii="宋体" w:hAnsi="宋体" w:cs="宋体"/>
          <w:bCs/>
          <w:szCs w:val="30"/>
        </w:rPr>
        <w:t>11.6. 总平面布置</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_Toc4607 </w:instrText>
      </w:r>
      <w:r>
        <w:rPr>
          <w:rFonts w:hint="eastAsia" w:ascii="宋体" w:hAnsi="宋体" w:cs="宋体"/>
        </w:rPr>
        <w:fldChar w:fldCharType="separate"/>
      </w:r>
      <w:r>
        <w:rPr>
          <w:rFonts w:hint="eastAsia" w:ascii="宋体" w:hAnsi="宋体" w:cs="宋体"/>
        </w:rPr>
        <w:t>55</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"_Toc30805" </w:instrText>
      </w:r>
      <w:r>
        <w:fldChar w:fldCharType="separate"/>
      </w:r>
      <w:r>
        <w:rPr>
          <w:rFonts w:hint="eastAsia" w:ascii="宋体" w:hAnsi="宋体" w:cs="宋体"/>
          <w:bCs/>
          <w:szCs w:val="30"/>
        </w:rPr>
        <w:t>11.7. 综合回收、综合利用方案</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_Toc30805 </w:instrText>
      </w:r>
      <w:r>
        <w:rPr>
          <w:rFonts w:hint="eastAsia" w:ascii="宋体" w:hAnsi="宋体" w:cs="宋体"/>
        </w:rPr>
        <w:fldChar w:fldCharType="separate"/>
      </w:r>
      <w:r>
        <w:rPr>
          <w:rFonts w:hint="eastAsia" w:ascii="宋体" w:hAnsi="宋体" w:cs="宋体"/>
        </w:rPr>
        <w:t>55</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rPr>
          <w:rFonts w:ascii="宋体" w:hAnsi="宋体" w:cs="宋体"/>
        </w:rPr>
      </w:pPr>
      <w:r>
        <w:fldChar w:fldCharType="begin"/>
      </w:r>
      <w:r>
        <w:instrText xml:space="preserve"> HYPERLINK \l "_Toc20016" </w:instrText>
      </w:r>
      <w:r>
        <w:fldChar w:fldCharType="separate"/>
      </w:r>
      <w:r>
        <w:rPr>
          <w:rFonts w:hint="eastAsia" w:ascii="宋体" w:hAnsi="宋体" w:cs="宋体"/>
          <w:bCs/>
          <w:szCs w:val="30"/>
        </w:rPr>
        <w:t>11.8. 评价与结论</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_Toc20016 </w:instrText>
      </w:r>
      <w:r>
        <w:rPr>
          <w:rFonts w:hint="eastAsia" w:ascii="宋体" w:hAnsi="宋体" w:cs="宋体"/>
        </w:rPr>
        <w:fldChar w:fldCharType="separate"/>
      </w:r>
      <w:r>
        <w:rPr>
          <w:rFonts w:hint="eastAsia" w:ascii="宋体" w:hAnsi="宋体" w:cs="宋体"/>
        </w:rPr>
        <w:t>55</w:t>
      </w:r>
      <w:r>
        <w:rPr>
          <w:rFonts w:hint="eastAsia" w:ascii="宋体" w:hAnsi="宋体" w:cs="宋体"/>
        </w:rPr>
        <w:fldChar w:fldCharType="end"/>
      </w:r>
      <w:r>
        <w:rPr>
          <w:rFonts w:hint="eastAsia" w:ascii="宋体" w:hAnsi="宋体" w:cs="宋体"/>
        </w:rPr>
        <w:fldChar w:fldCharType="end"/>
      </w:r>
    </w:p>
    <w:p>
      <w:pPr>
        <w:pStyle w:val="48"/>
        <w:tabs>
          <w:tab w:val="right" w:leader="dot" w:pos="8300"/>
        </w:tabs>
        <w:spacing w:line="360" w:lineRule="auto"/>
      </w:pPr>
      <w:r>
        <w:fldChar w:fldCharType="begin"/>
      </w:r>
      <w:r>
        <w:instrText xml:space="preserve"> HYPERLINK \l "_Toc4026" </w:instrText>
      </w:r>
      <w:r>
        <w:fldChar w:fldCharType="separate"/>
      </w:r>
      <w:r>
        <w:rPr>
          <w:rFonts w:hint="eastAsia" w:ascii="宋体" w:hAnsi="宋体" w:cs="宋体"/>
          <w:bCs/>
          <w:szCs w:val="30"/>
        </w:rPr>
        <w:t>11.9. 建议与说明</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_Toc4026 </w:instrText>
      </w:r>
      <w:r>
        <w:rPr>
          <w:rFonts w:hint="eastAsia" w:ascii="宋体" w:hAnsi="宋体" w:cs="宋体"/>
        </w:rPr>
        <w:fldChar w:fldCharType="separate"/>
      </w:r>
      <w:r>
        <w:rPr>
          <w:rFonts w:hint="eastAsia" w:ascii="宋体" w:hAnsi="宋体" w:cs="宋体"/>
        </w:rPr>
        <w:t>56</w:t>
      </w:r>
      <w:r>
        <w:rPr>
          <w:rFonts w:hint="eastAsia" w:ascii="宋体" w:hAnsi="宋体" w:cs="宋体"/>
        </w:rPr>
        <w:fldChar w:fldCharType="end"/>
      </w:r>
      <w:r>
        <w:rPr>
          <w:rFonts w:hint="eastAsia" w:ascii="宋体" w:hAnsi="宋体" w:cs="宋体"/>
        </w:rPr>
        <w:fldChar w:fldCharType="end"/>
      </w:r>
    </w:p>
    <w:p>
      <w:pPr>
        <w:spacing w:line="360" w:lineRule="auto"/>
        <w:ind w:firstLine="420" w:firstLineChars="200"/>
        <w:rPr>
          <w:rFonts w:ascii="仿宋" w:hAnsi="仿宋" w:eastAsia="仿宋" w:cs="仿宋"/>
          <w:bCs/>
          <w:sz w:val="24"/>
        </w:rPr>
        <w:sectPr>
          <w:headerReference r:id="rId6" w:type="first"/>
          <w:footerReference r:id="rId8" w:type="first"/>
          <w:footerReference r:id="rId7" w:type="even"/>
          <w:pgSz w:w="11906" w:h="16838"/>
          <w:pgMar w:top="1440" w:right="1803" w:bottom="1440" w:left="1803" w:header="1049" w:footer="992" w:gutter="0"/>
          <w:pgNumType w:start="1"/>
          <w:cols w:space="720" w:num="1"/>
          <w:docGrid w:linePitch="312" w:charSpace="0"/>
        </w:sectPr>
      </w:pPr>
      <w:r>
        <w:rPr>
          <w:rFonts w:hint="eastAsia" w:ascii="仿宋" w:hAnsi="仿宋" w:eastAsia="仿宋" w:cs="仿宋"/>
          <w:bCs/>
        </w:rPr>
        <w:fldChar w:fldCharType="end"/>
      </w:r>
      <w:bookmarkEnd w:id="0"/>
    </w:p>
    <w:p>
      <w:pPr>
        <w:spacing w:line="360" w:lineRule="auto"/>
        <w:ind w:firstLine="562" w:firstLineChars="200"/>
        <w:rPr>
          <w:rFonts w:ascii="宋体" w:hAnsi="宋体"/>
          <w:b/>
          <w:sz w:val="28"/>
          <w:szCs w:val="28"/>
        </w:rPr>
      </w:pPr>
      <w:r>
        <w:rPr>
          <w:rFonts w:ascii="宋体" w:hAnsi="宋体"/>
          <w:b/>
          <w:sz w:val="28"/>
          <w:szCs w:val="28"/>
        </w:rPr>
        <w:t>附件</w:t>
      </w:r>
    </w:p>
    <w:p>
      <w:pPr>
        <w:spacing w:line="360" w:lineRule="auto"/>
        <w:ind w:firstLine="480" w:firstLineChars="200"/>
        <w:rPr>
          <w:rFonts w:ascii="宋体" w:hAnsi="宋体"/>
          <w:sz w:val="24"/>
        </w:rPr>
      </w:pPr>
      <w:r>
        <w:rPr>
          <w:rFonts w:hint="eastAsia" w:ascii="宋体" w:hAnsi="宋体"/>
          <w:sz w:val="24"/>
        </w:rPr>
        <w:t>1、营业执照</w:t>
      </w:r>
    </w:p>
    <w:p>
      <w:pPr>
        <w:spacing w:line="360" w:lineRule="auto"/>
        <w:ind w:firstLine="480" w:firstLineChars="200"/>
        <w:rPr>
          <w:rFonts w:ascii="宋体" w:hAnsi="宋体"/>
          <w:sz w:val="24"/>
        </w:rPr>
      </w:pPr>
      <w:r>
        <w:rPr>
          <w:rFonts w:hint="eastAsia" w:ascii="宋体" w:hAnsi="宋体"/>
          <w:sz w:val="24"/>
        </w:rPr>
        <w:t>2、采矿证</w:t>
      </w:r>
    </w:p>
    <w:p>
      <w:pPr>
        <w:spacing w:line="360" w:lineRule="auto"/>
        <w:ind w:firstLine="480" w:firstLineChars="200"/>
        <w:rPr>
          <w:rFonts w:ascii="宋体" w:hAnsi="宋体"/>
          <w:sz w:val="24"/>
        </w:rPr>
      </w:pPr>
      <w:r>
        <w:rPr>
          <w:rFonts w:hint="eastAsia" w:ascii="宋体" w:hAnsi="宋体"/>
          <w:sz w:val="24"/>
        </w:rPr>
        <w:t>3、委托书</w:t>
      </w:r>
    </w:p>
    <w:p>
      <w:pPr>
        <w:spacing w:line="360" w:lineRule="auto"/>
        <w:ind w:firstLine="480" w:firstLineChars="200"/>
        <w:rPr>
          <w:rFonts w:ascii="宋体" w:hAnsi="宋体"/>
          <w:sz w:val="24"/>
        </w:rPr>
      </w:pPr>
      <w:r>
        <w:rPr>
          <w:rFonts w:hint="eastAsia" w:ascii="宋体" w:hAnsi="宋体"/>
          <w:sz w:val="24"/>
        </w:rPr>
        <w:t>4、《</w:t>
      </w:r>
      <w:r>
        <w:rPr>
          <w:rFonts w:hint="eastAsia" w:ascii="宋体" w:hAnsi="宋体"/>
          <w:sz w:val="24"/>
          <w:lang w:eastAsia="zh-CN"/>
        </w:rPr>
        <w:t>********</w:t>
      </w:r>
      <w:r>
        <w:rPr>
          <w:rFonts w:hint="eastAsia" w:ascii="宋体" w:hAnsi="宋体"/>
          <w:sz w:val="24"/>
        </w:rPr>
        <w:t>砂石矿资源量估算报告》评审意见</w:t>
      </w:r>
    </w:p>
    <w:p>
      <w:pPr>
        <w:spacing w:line="360" w:lineRule="auto"/>
        <w:ind w:firstLine="480" w:firstLineChars="200"/>
        <w:rPr>
          <w:rFonts w:ascii="宋体" w:hAnsi="宋体"/>
          <w:sz w:val="24"/>
        </w:rPr>
      </w:pPr>
      <w:r>
        <w:rPr>
          <w:rFonts w:hint="eastAsia" w:ascii="宋体" w:hAnsi="宋体"/>
          <w:sz w:val="24"/>
        </w:rPr>
        <w:t>5、采矿权挂牌交易成交确认书</w:t>
      </w:r>
    </w:p>
    <w:p>
      <w:pPr>
        <w:spacing w:line="360" w:lineRule="auto"/>
        <w:ind w:firstLine="562" w:firstLineChars="200"/>
        <w:rPr>
          <w:rFonts w:ascii="宋体" w:hAnsi="宋体"/>
          <w:b/>
          <w:sz w:val="28"/>
          <w:szCs w:val="28"/>
        </w:rPr>
      </w:pPr>
      <w:r>
        <w:rPr>
          <w:rFonts w:ascii="宋体" w:hAnsi="宋体"/>
          <w:b/>
          <w:sz w:val="28"/>
          <w:szCs w:val="28"/>
        </w:rPr>
        <w:t>附图</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lang w:eastAsia="zh-CN"/>
        </w:rPr>
        <w:t>********</w:t>
      </w:r>
      <w:r>
        <w:rPr>
          <w:rFonts w:hint="eastAsia" w:ascii="宋体" w:hAnsi="宋体"/>
          <w:sz w:val="24"/>
        </w:rPr>
        <w:t>砂石矿地形地质及工程布置图（比例尺1:1000）</w:t>
      </w:r>
    </w:p>
    <w:p>
      <w:pPr>
        <w:spacing w:line="360" w:lineRule="auto"/>
        <w:ind w:firstLine="480" w:firstLineChars="200"/>
        <w:rPr>
          <w:rFonts w:ascii="宋体" w:hAnsi="宋体"/>
          <w:sz w:val="24"/>
        </w:rPr>
      </w:pPr>
      <w:r>
        <w:rPr>
          <w:rFonts w:hint="eastAsia" w:ascii="宋体" w:hAnsi="宋体"/>
          <w:sz w:val="24"/>
        </w:rPr>
        <w:t>2、</w:t>
      </w:r>
      <w:r>
        <w:rPr>
          <w:rFonts w:hint="eastAsia" w:ascii="宋体" w:hAnsi="宋体"/>
          <w:sz w:val="24"/>
          <w:lang w:eastAsia="zh-CN"/>
        </w:rPr>
        <w:t>********</w:t>
      </w:r>
      <w:r>
        <w:rPr>
          <w:rFonts w:hint="eastAsia" w:ascii="宋体" w:hAnsi="宋体"/>
          <w:sz w:val="24"/>
        </w:rPr>
        <w:t>砂石矿开采终了平面图（比例尺1:1000）</w:t>
      </w:r>
    </w:p>
    <w:p>
      <w:pPr>
        <w:spacing w:line="360" w:lineRule="auto"/>
        <w:ind w:firstLine="480" w:firstLineChars="200"/>
        <w:rPr>
          <w:rFonts w:ascii="黑体" w:hAnsi="黑体" w:eastAsia="黑体" w:cs="黑体"/>
        </w:rPr>
      </w:pPr>
      <w:r>
        <w:rPr>
          <w:rFonts w:hint="eastAsia" w:ascii="宋体" w:hAnsi="宋体"/>
          <w:sz w:val="24"/>
        </w:rPr>
        <w:t>3、</w:t>
      </w:r>
      <w:r>
        <w:rPr>
          <w:rFonts w:hint="eastAsia" w:ascii="宋体" w:hAnsi="宋体"/>
          <w:sz w:val="24"/>
          <w:lang w:eastAsia="zh-CN"/>
        </w:rPr>
        <w:t>********</w:t>
      </w:r>
      <w:r>
        <w:rPr>
          <w:rFonts w:hint="eastAsia" w:ascii="宋体" w:hAnsi="宋体"/>
          <w:sz w:val="24"/>
        </w:rPr>
        <w:t>砂石矿1-1′剖面图（比例尺1:1000）</w:t>
      </w:r>
      <w:r>
        <w:rPr>
          <w:rFonts w:hint="eastAsia" w:ascii="宋体" w:hAnsi="宋体" w:cs="黑体"/>
          <w:sz w:val="24"/>
        </w:rPr>
        <w:t xml:space="preserve">  </w:t>
      </w:r>
      <w:r>
        <w:rPr>
          <w:rFonts w:hint="eastAsia" w:ascii="黑体" w:hAnsi="黑体" w:eastAsia="黑体" w:cs="黑体"/>
        </w:rPr>
        <w:t xml:space="preserve"> </w:t>
      </w:r>
    </w:p>
    <w:p>
      <w:pPr>
        <w:spacing w:line="360" w:lineRule="auto"/>
        <w:ind w:firstLine="480" w:firstLineChars="200"/>
        <w:rPr>
          <w:rFonts w:ascii="宋体" w:hAnsi="宋体"/>
          <w:sz w:val="24"/>
        </w:rPr>
        <w:sectPr>
          <w:pgSz w:w="11906" w:h="16838"/>
          <w:pgMar w:top="1440" w:right="1803" w:bottom="1440" w:left="1803" w:header="1049" w:footer="992" w:gutter="0"/>
          <w:pgNumType w:start="1"/>
          <w:cols w:space="720" w:num="1"/>
          <w:docGrid w:linePitch="312" w:charSpace="0"/>
        </w:sectPr>
      </w:pPr>
      <w:r>
        <w:rPr>
          <w:rFonts w:hint="eastAsia" w:ascii="宋体" w:hAnsi="宋体"/>
          <w:sz w:val="24"/>
        </w:rPr>
        <w:t>4、开采方法说明图（比例尺1:1000）</w:t>
      </w:r>
      <w:r>
        <w:rPr>
          <w:rFonts w:hint="eastAsia" w:ascii="宋体" w:hAnsi="宋体" w:cs="黑体"/>
          <w:sz w:val="24"/>
        </w:rPr>
        <w:t xml:space="preserve"> </w:t>
      </w:r>
    </w:p>
    <w:p>
      <w:pPr>
        <w:pStyle w:val="2"/>
        <w:numPr>
          <w:ilvl w:val="0"/>
          <w:numId w:val="2"/>
        </w:numPr>
        <w:snapToGrid w:val="0"/>
        <w:spacing w:before="0" w:after="240" w:line="360" w:lineRule="auto"/>
        <w:jc w:val="center"/>
        <w:rPr>
          <w:color w:val="000000"/>
          <w:sz w:val="32"/>
          <w:szCs w:val="32"/>
        </w:rPr>
      </w:pPr>
      <w:bookmarkStart w:id="5" w:name="_Toc456610932"/>
      <w:r>
        <w:rPr>
          <w:rFonts w:hint="eastAsia"/>
          <w:color w:val="000000"/>
          <w:sz w:val="32"/>
          <w:szCs w:val="32"/>
        </w:rPr>
        <w:t xml:space="preserve"> </w:t>
      </w:r>
      <w:bookmarkStart w:id="6" w:name="_Toc11116"/>
      <w:r>
        <w:rPr>
          <w:rFonts w:hint="eastAsia"/>
          <w:color w:val="000000"/>
          <w:sz w:val="32"/>
          <w:szCs w:val="32"/>
        </w:rPr>
        <w:t>概  述</w:t>
      </w:r>
      <w:bookmarkEnd w:id="1"/>
      <w:bookmarkEnd w:id="2"/>
      <w:bookmarkEnd w:id="3"/>
      <w:bookmarkEnd w:id="4"/>
      <w:bookmarkEnd w:id="5"/>
      <w:bookmarkEnd w:id="6"/>
    </w:p>
    <w:p>
      <w:pPr>
        <w:keepNext/>
        <w:keepLines/>
        <w:numPr>
          <w:ilvl w:val="1"/>
          <w:numId w:val="2"/>
        </w:numPr>
        <w:spacing w:line="360" w:lineRule="auto"/>
        <w:outlineLvl w:val="1"/>
        <w:rPr>
          <w:rFonts w:ascii="宋体" w:hAnsi="宋体" w:cs="宋体"/>
          <w:b/>
          <w:bCs/>
          <w:color w:val="000000"/>
          <w:sz w:val="30"/>
          <w:szCs w:val="30"/>
        </w:rPr>
      </w:pPr>
      <w:bookmarkStart w:id="7" w:name="_Toc7902"/>
      <w:bookmarkStart w:id="8" w:name="_Toc456610933"/>
      <w:r>
        <w:rPr>
          <w:rFonts w:hint="eastAsia" w:ascii="宋体" w:hAnsi="宋体" w:cs="宋体"/>
          <w:b/>
          <w:bCs/>
          <w:color w:val="000000"/>
          <w:sz w:val="30"/>
          <w:szCs w:val="30"/>
        </w:rPr>
        <w:t>矿山概况</w:t>
      </w:r>
      <w:bookmarkEnd w:id="7"/>
      <w:bookmarkEnd w:id="8"/>
    </w:p>
    <w:p>
      <w:pPr>
        <w:tabs>
          <w:tab w:val="left" w:pos="7350"/>
        </w:tabs>
        <w:snapToGrid w:val="0"/>
        <w:spacing w:line="360" w:lineRule="auto"/>
        <w:ind w:firstLine="482" w:firstLineChars="200"/>
        <w:rPr>
          <w:rFonts w:ascii="宋体" w:hAnsi="宋体" w:cs="宋体"/>
          <w:sz w:val="24"/>
        </w:rPr>
      </w:pPr>
      <w:bookmarkStart w:id="9" w:name="_Toc89608776"/>
      <w:bookmarkStart w:id="10" w:name="_Toc89608289"/>
      <w:bookmarkStart w:id="11" w:name="_Toc89607211"/>
      <w:bookmarkStart w:id="12" w:name="_Toc89607369"/>
      <w:bookmarkStart w:id="13" w:name="_Toc89761631"/>
      <w:r>
        <w:rPr>
          <w:rFonts w:hint="eastAsia" w:ascii="宋体" w:hAnsi="宋体" w:cs="宋体"/>
          <w:b/>
          <w:bCs/>
          <w:sz w:val="24"/>
        </w:rPr>
        <w:t>项目名称：</w:t>
      </w:r>
      <w:r>
        <w:rPr>
          <w:rFonts w:hint="eastAsia" w:ascii="宋体" w:hAnsi="宋体" w:cs="宋体"/>
          <w:sz w:val="24"/>
          <w:lang w:eastAsia="zh-CN"/>
        </w:rPr>
        <w:t>********</w:t>
      </w:r>
      <w:r>
        <w:rPr>
          <w:rFonts w:hint="eastAsia" w:ascii="宋体" w:hAnsi="宋体" w:cs="宋体"/>
          <w:sz w:val="24"/>
        </w:rPr>
        <w:t>砂石矿矿产资源开发利用方案</w:t>
      </w:r>
    </w:p>
    <w:p>
      <w:pPr>
        <w:tabs>
          <w:tab w:val="left" w:pos="7350"/>
        </w:tabs>
        <w:snapToGrid w:val="0"/>
        <w:spacing w:line="360" w:lineRule="auto"/>
        <w:ind w:firstLine="482" w:firstLineChars="200"/>
        <w:rPr>
          <w:rFonts w:ascii="宋体" w:hAnsi="宋体" w:cs="宋体"/>
          <w:sz w:val="24"/>
        </w:rPr>
      </w:pPr>
      <w:r>
        <w:rPr>
          <w:rFonts w:hint="eastAsia" w:ascii="宋体" w:hAnsi="宋体" w:cs="宋体"/>
          <w:b/>
          <w:bCs/>
          <w:sz w:val="24"/>
        </w:rPr>
        <w:t>矿山性质：</w:t>
      </w:r>
      <w:r>
        <w:rPr>
          <w:rFonts w:hint="eastAsia" w:ascii="宋体" w:hAnsi="宋体" w:cs="宋体"/>
          <w:sz w:val="24"/>
        </w:rPr>
        <w:t>新建矿山</w:t>
      </w:r>
    </w:p>
    <w:bookmarkEnd w:id="9"/>
    <w:bookmarkEnd w:id="10"/>
    <w:bookmarkEnd w:id="11"/>
    <w:bookmarkEnd w:id="12"/>
    <w:bookmarkEnd w:id="13"/>
    <w:p>
      <w:pPr>
        <w:tabs>
          <w:tab w:val="left" w:pos="7350"/>
        </w:tabs>
        <w:snapToGrid w:val="0"/>
        <w:spacing w:line="360" w:lineRule="auto"/>
        <w:ind w:firstLine="482" w:firstLineChars="200"/>
        <w:rPr>
          <w:rFonts w:ascii="宋体" w:hAnsi="宋体" w:cs="宋体"/>
          <w:sz w:val="24"/>
        </w:rPr>
      </w:pPr>
      <w:r>
        <w:rPr>
          <w:rFonts w:hint="eastAsia" w:ascii="宋体" w:hAnsi="宋体" w:cs="宋体"/>
          <w:b/>
          <w:bCs/>
          <w:sz w:val="24"/>
        </w:rPr>
        <w:t>目的任务：</w:t>
      </w:r>
      <w:r>
        <w:rPr>
          <w:rFonts w:hint="eastAsia" w:ascii="宋体" w:hAnsi="宋体" w:cs="宋体"/>
          <w:sz w:val="24"/>
        </w:rPr>
        <w:t>为了有效保护及科学、合理的开发利用</w:t>
      </w:r>
      <w:r>
        <w:rPr>
          <w:rFonts w:hint="eastAsia" w:ascii="宋体" w:hAnsi="宋体" w:cs="宋体"/>
          <w:sz w:val="24"/>
          <w:lang w:eastAsia="zh-CN"/>
        </w:rPr>
        <w:t>********</w:t>
      </w:r>
      <w:r>
        <w:rPr>
          <w:rFonts w:hint="eastAsia" w:ascii="宋体" w:hAnsi="宋体" w:cs="宋体"/>
          <w:sz w:val="24"/>
        </w:rPr>
        <w:t>砂石矿矿产资源，</w:t>
      </w:r>
      <w:r>
        <w:rPr>
          <w:rFonts w:hint="eastAsia" w:ascii="宋体" w:hAnsi="宋体" w:cs="宋体"/>
          <w:sz w:val="24"/>
          <w:lang w:eastAsia="zh-CN"/>
        </w:rPr>
        <w:t>********</w:t>
      </w:r>
      <w:r>
        <w:rPr>
          <w:rFonts w:hint="eastAsia" w:ascii="宋体" w:hAnsi="宋体" w:cs="宋体"/>
          <w:sz w:val="24"/>
        </w:rPr>
        <w:t>委托我公司依据《</w:t>
      </w:r>
      <w:r>
        <w:rPr>
          <w:rFonts w:hint="eastAsia" w:ascii="宋体" w:hAnsi="宋体" w:cs="宋体"/>
          <w:sz w:val="24"/>
          <w:lang w:eastAsia="zh-CN"/>
        </w:rPr>
        <w:t>********</w:t>
      </w:r>
      <w:r>
        <w:rPr>
          <w:rFonts w:hint="eastAsia" w:ascii="宋体" w:hAnsi="宋体" w:cs="宋体"/>
          <w:sz w:val="24"/>
        </w:rPr>
        <w:t>砂石矿资源量估算报告》及相关资料，编制《</w:t>
      </w:r>
      <w:r>
        <w:rPr>
          <w:rFonts w:hint="eastAsia" w:ascii="宋体" w:hAnsi="宋体" w:cs="宋体"/>
          <w:sz w:val="24"/>
          <w:lang w:eastAsia="zh-CN"/>
        </w:rPr>
        <w:t>********</w:t>
      </w:r>
      <w:r>
        <w:rPr>
          <w:rFonts w:hint="eastAsia" w:ascii="宋体" w:hAnsi="宋体" w:cs="宋体"/>
          <w:sz w:val="24"/>
        </w:rPr>
        <w:t>砂石矿矿产资源开发利用方案》，为矿山的合理开发利用提供科学依据。我公司接受任务后，通过收集资料，实地踏勘后编制了本方案。</w:t>
      </w:r>
    </w:p>
    <w:p>
      <w:pPr>
        <w:tabs>
          <w:tab w:val="left" w:pos="7350"/>
        </w:tabs>
        <w:snapToGrid w:val="0"/>
        <w:spacing w:line="360" w:lineRule="auto"/>
        <w:ind w:firstLine="480" w:firstLineChars="200"/>
        <w:rPr>
          <w:rFonts w:ascii="宋体" w:hAnsi="宋体" w:cs="宋体"/>
          <w:sz w:val="24"/>
        </w:rPr>
      </w:pPr>
      <w:r>
        <w:rPr>
          <w:rFonts w:hint="eastAsia" w:ascii="宋体" w:hAnsi="宋体" w:cs="宋体"/>
          <w:sz w:val="24"/>
        </w:rPr>
        <w:t>主要任务如下：</w:t>
      </w:r>
    </w:p>
    <w:p>
      <w:pPr>
        <w:tabs>
          <w:tab w:val="left" w:pos="7350"/>
        </w:tabs>
        <w:snapToGrid w:val="0"/>
        <w:spacing w:line="360" w:lineRule="auto"/>
        <w:ind w:firstLine="480" w:firstLineChars="200"/>
        <w:rPr>
          <w:rFonts w:ascii="宋体" w:hAnsi="宋体" w:cs="宋体"/>
          <w:sz w:val="24"/>
        </w:rPr>
      </w:pPr>
      <w:r>
        <w:rPr>
          <w:rFonts w:hint="eastAsia" w:ascii="宋体" w:hAnsi="宋体" w:cs="宋体"/>
          <w:sz w:val="24"/>
        </w:rPr>
        <w:t>1）收集基础资料，现场踏勘；</w:t>
      </w:r>
    </w:p>
    <w:p>
      <w:pPr>
        <w:tabs>
          <w:tab w:val="left" w:pos="7350"/>
        </w:tabs>
        <w:snapToGrid w:val="0"/>
        <w:spacing w:line="360" w:lineRule="auto"/>
        <w:ind w:firstLine="480" w:firstLineChars="200"/>
        <w:rPr>
          <w:rFonts w:ascii="宋体" w:hAnsi="宋体" w:cs="宋体"/>
          <w:sz w:val="24"/>
        </w:rPr>
      </w:pPr>
      <w:r>
        <w:rPr>
          <w:rFonts w:hint="eastAsia" w:ascii="宋体" w:hAnsi="宋体" w:cs="宋体"/>
          <w:sz w:val="24"/>
        </w:rPr>
        <w:t>2）按有关规范要求编制开发利用方案，对</w:t>
      </w:r>
      <w:r>
        <w:rPr>
          <w:rFonts w:hint="eastAsia" w:ascii="宋体" w:hAnsi="宋体" w:cs="宋体"/>
          <w:sz w:val="24"/>
          <w:lang w:eastAsia="zh-CN"/>
        </w:rPr>
        <w:t>********</w:t>
      </w:r>
      <w:r>
        <w:rPr>
          <w:rFonts w:hint="eastAsia" w:ascii="宋体" w:hAnsi="宋体" w:cs="宋体"/>
          <w:sz w:val="24"/>
        </w:rPr>
        <w:t>砂石矿进行露天开采设计，形成合理的开拓运输系统，提出矿山安全与环保措施；</w:t>
      </w:r>
    </w:p>
    <w:p>
      <w:pPr>
        <w:tabs>
          <w:tab w:val="left" w:pos="7350"/>
        </w:tabs>
        <w:snapToGrid w:val="0"/>
        <w:spacing w:line="360" w:lineRule="auto"/>
        <w:ind w:firstLine="480" w:firstLineChars="200"/>
        <w:rPr>
          <w:rFonts w:ascii="宋体" w:hAnsi="宋体" w:cs="宋体"/>
          <w:sz w:val="24"/>
        </w:rPr>
      </w:pPr>
      <w:r>
        <w:rPr>
          <w:rFonts w:hint="eastAsia" w:ascii="宋体" w:hAnsi="宋体" w:cs="宋体"/>
          <w:sz w:val="24"/>
        </w:rPr>
        <w:t>3）提交《</w:t>
      </w:r>
      <w:r>
        <w:rPr>
          <w:rFonts w:hint="eastAsia" w:ascii="宋体" w:hAnsi="宋体" w:cs="宋体"/>
          <w:sz w:val="24"/>
          <w:lang w:eastAsia="zh-CN"/>
        </w:rPr>
        <w:t>********</w:t>
      </w:r>
      <w:r>
        <w:rPr>
          <w:rFonts w:hint="eastAsia" w:ascii="宋体" w:hAnsi="宋体" w:cs="宋体"/>
          <w:sz w:val="24"/>
        </w:rPr>
        <w:t>砂石矿矿产资源开发利用方案》文本及附图、附件。</w:t>
      </w:r>
    </w:p>
    <w:p>
      <w:pPr>
        <w:keepNext/>
        <w:keepLines/>
        <w:numPr>
          <w:ilvl w:val="1"/>
          <w:numId w:val="2"/>
        </w:numPr>
        <w:spacing w:line="360" w:lineRule="auto"/>
        <w:outlineLvl w:val="1"/>
        <w:rPr>
          <w:rFonts w:ascii="宋体" w:hAnsi="宋体" w:cs="宋体"/>
          <w:b/>
          <w:bCs/>
          <w:color w:val="000000"/>
          <w:sz w:val="30"/>
          <w:szCs w:val="30"/>
        </w:rPr>
      </w:pPr>
      <w:bookmarkStart w:id="14" w:name="_Toc14932"/>
      <w:bookmarkStart w:id="15" w:name="_Toc456610934"/>
      <w:r>
        <w:rPr>
          <w:rFonts w:ascii="宋体" w:hAnsi="宋体" w:cs="宋体"/>
          <w:b/>
          <w:bCs/>
          <w:color w:val="000000"/>
          <w:sz w:val="30"/>
          <w:szCs w:val="30"/>
        </w:rPr>
        <w:t>工作区范围、</w:t>
      </w:r>
      <w:r>
        <w:rPr>
          <w:rFonts w:hint="eastAsia" w:ascii="宋体" w:hAnsi="宋体" w:cs="宋体"/>
          <w:b/>
          <w:bCs/>
          <w:color w:val="000000"/>
          <w:sz w:val="30"/>
          <w:szCs w:val="30"/>
        </w:rPr>
        <w:t>交通及</w:t>
      </w:r>
      <w:r>
        <w:rPr>
          <w:rFonts w:ascii="宋体" w:hAnsi="宋体" w:cs="宋体"/>
          <w:b/>
          <w:bCs/>
          <w:color w:val="000000"/>
          <w:sz w:val="30"/>
          <w:szCs w:val="30"/>
        </w:rPr>
        <w:t>自然地理和经济概况</w:t>
      </w:r>
      <w:bookmarkEnd w:id="14"/>
      <w:bookmarkEnd w:id="15"/>
    </w:p>
    <w:p>
      <w:pPr>
        <w:numPr>
          <w:ilvl w:val="2"/>
          <w:numId w:val="2"/>
        </w:numPr>
        <w:spacing w:line="360" w:lineRule="auto"/>
        <w:outlineLvl w:val="2"/>
        <w:rPr>
          <w:rFonts w:ascii="宋体"/>
          <w:b/>
          <w:sz w:val="28"/>
          <w:szCs w:val="28"/>
        </w:rPr>
      </w:pPr>
      <w:r>
        <w:rPr>
          <w:rFonts w:hint="eastAsia" w:ascii="宋体" w:hAnsi="宋体"/>
          <w:b/>
          <w:bCs/>
          <w:color w:val="000000"/>
          <w:sz w:val="28"/>
          <w:szCs w:val="28"/>
        </w:rPr>
        <w:t>交通</w:t>
      </w:r>
      <w:r>
        <w:rPr>
          <w:rFonts w:ascii="宋体" w:hAnsi="宋体"/>
          <w:b/>
          <w:bCs/>
          <w:color w:val="000000"/>
          <w:sz w:val="28"/>
          <w:szCs w:val="28"/>
        </w:rPr>
        <w:t>位置</w:t>
      </w:r>
    </w:p>
    <w:p>
      <w:pPr>
        <w:tabs>
          <w:tab w:val="left" w:pos="7350"/>
        </w:tabs>
        <w:snapToGrid w:val="0"/>
        <w:spacing w:line="360" w:lineRule="auto"/>
        <w:ind w:firstLine="480" w:firstLineChars="200"/>
        <w:rPr>
          <w:rFonts w:ascii="宋体" w:hAnsi="宋体" w:cs="宋体"/>
          <w:sz w:val="24"/>
        </w:rPr>
      </w:pPr>
      <w:r>
        <w:rPr>
          <w:rFonts w:hint="eastAsia" w:ascii="宋体" w:hAnsi="宋体" w:cs="宋体"/>
          <w:sz w:val="24"/>
        </w:rPr>
        <w:t>矿区位于</w:t>
      </w:r>
      <w:r>
        <w:rPr>
          <w:rFonts w:hint="eastAsia" w:ascii="宋体" w:hAnsi="宋体" w:cs="宋体"/>
          <w:sz w:val="24"/>
          <w:lang w:eastAsia="zh-CN"/>
        </w:rPr>
        <w:t>********</w:t>
      </w:r>
      <w:r>
        <w:rPr>
          <w:rFonts w:hint="eastAsia" w:ascii="宋体" w:hAnsi="宋体" w:cs="宋体"/>
          <w:sz w:val="24"/>
        </w:rPr>
        <w:t>村南方向50°，直距1.5km。隶属于</w:t>
      </w:r>
      <w:r>
        <w:rPr>
          <w:rFonts w:hint="eastAsia" w:ascii="宋体" w:hAnsi="宋体" w:cs="宋体"/>
          <w:sz w:val="24"/>
          <w:lang w:eastAsia="zh-CN"/>
        </w:rPr>
        <w:t>********</w:t>
      </w:r>
      <w:r>
        <w:rPr>
          <w:rFonts w:hint="eastAsia" w:ascii="宋体" w:hAnsi="宋体" w:cs="宋体"/>
          <w:sz w:val="24"/>
        </w:rPr>
        <w:t>管辖，地理坐标：</w:t>
      </w:r>
    </w:p>
    <w:p>
      <w:pPr>
        <w:tabs>
          <w:tab w:val="left" w:pos="7350"/>
        </w:tabs>
        <w:snapToGrid w:val="0"/>
        <w:spacing w:line="360" w:lineRule="auto"/>
        <w:ind w:firstLine="480" w:firstLineChars="200"/>
        <w:rPr>
          <w:rFonts w:ascii="宋体" w:hAnsi="宋体" w:cs="宋体"/>
          <w:sz w:val="24"/>
        </w:rPr>
      </w:pPr>
      <w:r>
        <w:rPr>
          <w:rFonts w:hint="eastAsia" w:ascii="宋体" w:hAnsi="宋体" w:cs="宋体"/>
          <w:sz w:val="24"/>
        </w:rPr>
        <w:t>东经：</w:t>
      </w:r>
      <w:r>
        <w:rPr>
          <w:rFonts w:hint="eastAsia" w:ascii="宋体" w:hAnsi="宋体" w:cs="宋体"/>
          <w:sz w:val="24"/>
          <w:lang w:eastAsia="zh-CN"/>
        </w:rPr>
        <w:t>********</w:t>
      </w:r>
      <w:r>
        <w:rPr>
          <w:rFonts w:hint="eastAsia" w:ascii="宋体" w:hAnsi="宋体" w:cs="宋体"/>
          <w:sz w:val="24"/>
        </w:rPr>
        <w:t>；</w:t>
      </w:r>
    </w:p>
    <w:p>
      <w:pPr>
        <w:tabs>
          <w:tab w:val="left" w:pos="7350"/>
        </w:tabs>
        <w:snapToGrid w:val="0"/>
        <w:spacing w:line="360" w:lineRule="auto"/>
        <w:ind w:firstLine="480" w:firstLineChars="200"/>
        <w:rPr>
          <w:rFonts w:ascii="宋体" w:hAnsi="宋体" w:cs="宋体"/>
          <w:sz w:val="24"/>
        </w:rPr>
      </w:pPr>
      <w:r>
        <w:rPr>
          <w:rFonts w:hint="eastAsia" w:ascii="宋体" w:hAnsi="宋体" w:cs="宋体"/>
          <w:sz w:val="24"/>
        </w:rPr>
        <w:t>北纬：</w:t>
      </w:r>
      <w:r>
        <w:rPr>
          <w:rFonts w:hint="eastAsia" w:ascii="宋体" w:hAnsi="宋体" w:cs="宋体"/>
          <w:sz w:val="24"/>
          <w:lang w:eastAsia="zh-CN"/>
        </w:rPr>
        <w:t>********</w:t>
      </w:r>
      <w:r>
        <w:rPr>
          <w:rFonts w:hint="eastAsia" w:ascii="宋体" w:hAnsi="宋体" w:cs="宋体"/>
          <w:sz w:val="24"/>
        </w:rPr>
        <w:t>；矿区面积0.0167km</w:t>
      </w:r>
      <w:r>
        <w:rPr>
          <w:rFonts w:hint="eastAsia" w:ascii="宋体" w:hAnsi="宋体" w:cs="宋体"/>
          <w:sz w:val="24"/>
          <w:vertAlign w:val="superscript"/>
        </w:rPr>
        <w:t>2</w:t>
      </w:r>
      <w:r>
        <w:rPr>
          <w:rFonts w:hint="eastAsia" w:ascii="宋体" w:hAnsi="宋体" w:cs="宋体"/>
          <w:sz w:val="24"/>
        </w:rPr>
        <w:t>。</w:t>
      </w:r>
    </w:p>
    <w:p>
      <w:pPr>
        <w:tabs>
          <w:tab w:val="left" w:pos="7350"/>
        </w:tabs>
        <w:snapToGrid w:val="0"/>
        <w:spacing w:line="360" w:lineRule="auto"/>
        <w:ind w:firstLine="480" w:firstLineChars="200"/>
      </w:pPr>
      <w:r>
        <w:rPr>
          <w:rFonts w:hint="eastAsia" w:ascii="宋体" w:hAnsi="宋体" w:cs="宋体"/>
          <w:sz w:val="24"/>
        </w:rPr>
        <w:t>矿区东南方向0.35km，有直达矿区的便道，为砂石路面，交通不甚便利。</w:t>
      </w:r>
    </w:p>
    <w:p>
      <w:pPr>
        <w:rPr>
          <w:rFonts w:ascii="宋体" w:hAnsi="宋体"/>
          <w:sz w:val="24"/>
        </w:rPr>
      </w:pPr>
      <w:r>
        <w:rPr>
          <w:rFonts w:hint="eastAsia" w:ascii="宋体" w:hAnsi="宋体"/>
          <w:sz w:val="24"/>
        </w:rPr>
        <w:t>（</w:t>
      </w:r>
      <w:r>
        <w:rPr>
          <w:rFonts w:hint="eastAsia" w:ascii="宋体" w:hAnsi="宋体"/>
          <w:color w:val="000000"/>
          <w:sz w:val="24"/>
        </w:rPr>
        <w:t>见图1</w:t>
      </w:r>
      <w:r>
        <w:rPr>
          <w:rFonts w:hint="eastAsia" w:ascii="宋体" w:hAnsi="宋体"/>
          <w:sz w:val="24"/>
        </w:rPr>
        <w:t>）。</w:t>
      </w:r>
    </w:p>
    <w:p>
      <w:pPr>
        <w:tabs>
          <w:tab w:val="left" w:pos="7350"/>
        </w:tabs>
        <w:snapToGrid w:val="0"/>
        <w:jc w:val="center"/>
        <w:rPr>
          <w:rFonts w:ascii="宋体" w:hAnsi="宋体" w:cs="宋体"/>
          <w:spacing w:val="2"/>
          <w:sz w:val="24"/>
        </w:rPr>
      </w:pPr>
    </w:p>
    <w:p>
      <w:pPr>
        <w:snapToGrid w:val="0"/>
        <w:jc w:val="center"/>
        <w:rPr>
          <w:rFonts w:ascii="宋体" w:hAnsi="宋体" w:cs="宋体"/>
          <w:b/>
          <w:bCs/>
          <w:spacing w:val="2"/>
          <w:szCs w:val="21"/>
        </w:rPr>
      </w:pPr>
    </w:p>
    <w:p>
      <w:pPr>
        <w:numPr>
          <w:ilvl w:val="2"/>
          <w:numId w:val="2"/>
        </w:numPr>
        <w:spacing w:line="360" w:lineRule="auto"/>
        <w:outlineLvl w:val="2"/>
        <w:rPr>
          <w:rFonts w:ascii="宋体"/>
          <w:b/>
          <w:sz w:val="28"/>
          <w:szCs w:val="28"/>
        </w:rPr>
      </w:pPr>
      <w:r>
        <w:rPr>
          <w:rFonts w:hint="eastAsia" w:ascii="宋体"/>
          <w:b/>
          <w:sz w:val="28"/>
          <w:szCs w:val="28"/>
        </w:rPr>
        <w:t>自然地理与经济概况</w:t>
      </w:r>
    </w:p>
    <w:p>
      <w:pPr>
        <w:spacing w:line="360" w:lineRule="auto"/>
        <w:ind w:firstLine="480" w:firstLineChars="200"/>
        <w:rPr>
          <w:rFonts w:ascii="宋体" w:hAnsi="宋体"/>
          <w:sz w:val="24"/>
        </w:rPr>
      </w:pPr>
      <w:bookmarkStart w:id="16" w:name="OLE_LINK38"/>
      <w:bookmarkStart w:id="17" w:name="OLE_LINK46"/>
      <w:r>
        <w:rPr>
          <w:rFonts w:hint="eastAsia" w:ascii="宋体" w:hAnsi="宋体"/>
          <w:sz w:val="24"/>
        </w:rPr>
        <w:t>矿区位于</w:t>
      </w:r>
      <w:r>
        <w:rPr>
          <w:rFonts w:hint="eastAsia" w:ascii="宋体" w:hAnsi="宋体"/>
          <w:sz w:val="24"/>
          <w:lang w:eastAsia="zh-CN"/>
        </w:rPr>
        <w:t>********</w:t>
      </w:r>
      <w:r>
        <w:rPr>
          <w:rFonts w:hint="eastAsia" w:ascii="宋体" w:hAnsi="宋体"/>
          <w:sz w:val="24"/>
        </w:rPr>
        <w:t>南东向</w:t>
      </w:r>
      <w:r>
        <w:rPr>
          <w:rFonts w:hint="eastAsia" w:ascii="宋体" w:hAnsi="宋体"/>
          <w:sz w:val="24"/>
          <w:lang w:eastAsia="zh-CN"/>
        </w:rPr>
        <w:t>********</w:t>
      </w:r>
      <w:r>
        <w:rPr>
          <w:rFonts w:hint="eastAsia" w:ascii="宋体" w:hAnsi="宋体"/>
          <w:sz w:val="24"/>
        </w:rPr>
        <w:t>的3级阶地上，区内山高沟深，地形切割强烈，属中低山丘陵区，地势北髙南低的山脊，海拔2560.38〜2465.72m，最大相对高差达94.66m。矿区内地形呈南北走向的条形山梁，坡度约30〜35°，区域上该区域属强烈剥蚀区。</w:t>
      </w:r>
    </w:p>
    <w:p>
      <w:pPr>
        <w:spacing w:line="360" w:lineRule="auto"/>
        <w:ind w:firstLine="480" w:firstLineChars="200"/>
        <w:rPr>
          <w:rFonts w:ascii="宋体" w:hAnsi="宋体"/>
          <w:sz w:val="24"/>
        </w:rPr>
      </w:pPr>
      <w:r>
        <w:rPr>
          <w:rFonts w:hint="eastAsia" w:ascii="宋体" w:hAnsi="宋体"/>
          <w:sz w:val="24"/>
        </w:rPr>
        <w:t>矿区气候属高原大陆性气候，多风、气候温和，光照时间长，太阳辐射强。年均气温</w:t>
      </w:r>
      <w:r>
        <w:rPr>
          <w:rFonts w:hint="eastAsia" w:ascii="宋体" w:hAnsi="宋体" w:cs="宋体"/>
          <w:sz w:val="24"/>
        </w:rPr>
        <w:t>±</w:t>
      </w:r>
      <w:r>
        <w:rPr>
          <w:rFonts w:hint="eastAsia" w:ascii="宋体" w:hAnsi="宋体"/>
          <w:sz w:val="24"/>
        </w:rPr>
        <w:t>2.2℃，年最高气温30℃ ，最低气温为-20℃。雨水多集中在7〜9月份，年降水量约470毫米，年蒸发量远大于降雨量，昼夜温差变化大，无霜期短，冰冻期为每年10月至翌年4月底。春、冬季节多风，最大风力可达28m/s；夏、秋季节多雷雨，并易出现山洪。</w:t>
      </w:r>
    </w:p>
    <w:p>
      <w:pPr>
        <w:spacing w:line="360" w:lineRule="auto"/>
        <w:ind w:firstLine="480" w:firstLineChars="200"/>
        <w:rPr>
          <w:rFonts w:ascii="宋体" w:hAnsi="宋体"/>
          <w:sz w:val="24"/>
        </w:rPr>
      </w:pPr>
      <w:r>
        <w:rPr>
          <w:rFonts w:hint="eastAsia" w:ascii="宋体" w:hAnsi="宋体"/>
          <w:sz w:val="24"/>
        </w:rPr>
        <w:t>矿区地处</w:t>
      </w:r>
      <w:r>
        <w:rPr>
          <w:rFonts w:hint="eastAsia" w:ascii="宋体" w:hAnsi="宋体"/>
          <w:sz w:val="24"/>
          <w:lang w:eastAsia="zh-CN"/>
        </w:rPr>
        <w:t>********</w:t>
      </w:r>
      <w:r>
        <w:rPr>
          <w:rFonts w:hint="eastAsia" w:ascii="宋体" w:hAnsi="宋体"/>
          <w:sz w:val="24"/>
        </w:rPr>
        <w:t>的3级阶地上，植被不发育，以草本植物为主，植被覆盖率</w:t>
      </w:r>
      <w:r>
        <w:rPr>
          <w:rFonts w:hint="eastAsia" w:ascii="宋体" w:hAnsi="宋体" w:cs="宋体"/>
          <w:sz w:val="24"/>
        </w:rPr>
        <w:t>±</w:t>
      </w:r>
      <w:r>
        <w:rPr>
          <w:rFonts w:hint="eastAsia" w:ascii="宋体" w:hAnsi="宋体"/>
          <w:sz w:val="24"/>
        </w:rPr>
        <w:t>5〜10%，通行条件不甚便利，自然生态较脆弱。</w:t>
      </w:r>
    </w:p>
    <w:p>
      <w:pPr>
        <w:spacing w:line="360" w:lineRule="auto"/>
        <w:ind w:firstLine="480" w:firstLineChars="200"/>
        <w:rPr>
          <w:rFonts w:ascii="宋体" w:hAnsi="宋体"/>
          <w:sz w:val="24"/>
        </w:rPr>
      </w:pPr>
      <w:r>
        <w:rPr>
          <w:rFonts w:hint="eastAsia" w:ascii="宋体" w:hAnsi="宋体"/>
          <w:sz w:val="24"/>
        </w:rPr>
        <w:t>区内无水，但业主自行修建一小型蓄水池以解决生产用水，生活用水需从附近村庄自运解决。</w:t>
      </w:r>
    </w:p>
    <w:p>
      <w:pPr>
        <w:spacing w:line="360" w:lineRule="auto"/>
        <w:ind w:firstLine="480" w:firstLineChars="200"/>
        <w:rPr>
          <w:rFonts w:ascii="宋体" w:hAnsi="宋体"/>
          <w:sz w:val="24"/>
        </w:rPr>
      </w:pPr>
      <w:r>
        <w:rPr>
          <w:rFonts w:hint="eastAsia" w:ascii="宋体" w:hAnsi="宋体"/>
          <w:sz w:val="24"/>
        </w:rPr>
        <w:t>生产物资需从矿区西北侧的</w:t>
      </w:r>
      <w:r>
        <w:rPr>
          <w:rFonts w:hint="eastAsia" w:ascii="宋体" w:hAnsi="宋体"/>
          <w:sz w:val="24"/>
          <w:lang w:eastAsia="zh-CN"/>
        </w:rPr>
        <w:t>********</w:t>
      </w:r>
      <w:r>
        <w:rPr>
          <w:rFonts w:hint="eastAsia" w:ascii="宋体" w:hAnsi="宋体"/>
          <w:sz w:val="24"/>
        </w:rPr>
        <w:t>城一带工农业均较发达，是全县的政治文化经济中心，人口相对密集，居民以回族为主，富余劳动力较多，人力资源充足。区域内农作物以小麦、青稞、油菜、洋芋、豌豆、油菜籽等作物。</w:t>
      </w:r>
    </w:p>
    <w:p>
      <w:pPr>
        <w:spacing w:line="360" w:lineRule="auto"/>
        <w:ind w:firstLine="480" w:firstLineChars="200"/>
        <w:rPr>
          <w:rFonts w:ascii="宋体" w:hAnsi="宋体"/>
          <w:sz w:val="24"/>
        </w:rPr>
      </w:pPr>
      <w:r>
        <w:rPr>
          <w:rFonts w:hint="eastAsia" w:ascii="宋体" w:hAnsi="宋体"/>
          <w:sz w:val="24"/>
        </w:rPr>
        <w:t>矿区无商业网点，区内生活、生产物资需从</w:t>
      </w:r>
      <w:r>
        <w:rPr>
          <w:rFonts w:hint="eastAsia" w:ascii="宋体" w:hAnsi="宋体"/>
          <w:sz w:val="24"/>
          <w:lang w:eastAsia="zh-CN"/>
        </w:rPr>
        <w:t>********</w:t>
      </w:r>
      <w:r>
        <w:rPr>
          <w:rFonts w:hint="eastAsia" w:ascii="宋体" w:hAnsi="宋体"/>
          <w:sz w:val="24"/>
        </w:rPr>
        <w:t>或</w:t>
      </w:r>
      <w:r>
        <w:rPr>
          <w:rFonts w:hint="eastAsia" w:ascii="宋体" w:hAnsi="宋体"/>
          <w:sz w:val="24"/>
          <w:lang w:eastAsia="zh-CN"/>
        </w:rPr>
        <w:t>********</w:t>
      </w:r>
      <w:r>
        <w:rPr>
          <w:rFonts w:hint="eastAsia" w:ascii="宋体" w:hAnsi="宋体"/>
          <w:sz w:val="24"/>
        </w:rPr>
        <w:t>城外运解决。</w:t>
      </w:r>
    </w:p>
    <w:p>
      <w:pPr>
        <w:spacing w:line="360" w:lineRule="auto"/>
        <w:ind w:firstLine="480" w:firstLineChars="200"/>
        <w:rPr>
          <w:rFonts w:ascii="宋体" w:hAnsi="宋体" w:cs="宋体"/>
          <w:kern w:val="0"/>
          <w:sz w:val="24"/>
        </w:rPr>
      </w:pPr>
      <w:r>
        <w:rPr>
          <w:rFonts w:hint="eastAsia" w:ascii="宋体" w:hAnsi="宋体"/>
          <w:sz w:val="24"/>
        </w:rPr>
        <w:t>矿区及附近地区历年来未出现过烈度较强的地震，亦无活动性断裂发现。据1992年12月</w:t>
      </w:r>
      <w:r>
        <w:rPr>
          <w:rFonts w:hint="eastAsia" w:ascii="宋体" w:hAnsi="宋体"/>
          <w:sz w:val="24"/>
          <w:lang w:eastAsia="zh-CN"/>
        </w:rPr>
        <w:t>********</w:t>
      </w:r>
      <w:r>
        <w:rPr>
          <w:rFonts w:hint="eastAsia" w:ascii="宋体" w:hAnsi="宋体"/>
          <w:sz w:val="24"/>
        </w:rPr>
        <w:t>抗震办资料，区域地震烈度为7度，基本地震加速度为0.10g，地震动反应谱特征周期为0.40s，区内尚未发现滑坡、泥石流等地质灾害情况，区域稳定性较好。</w:t>
      </w:r>
      <w:bookmarkEnd w:id="16"/>
      <w:bookmarkEnd w:id="17"/>
    </w:p>
    <w:p>
      <w:pPr>
        <w:numPr>
          <w:ilvl w:val="2"/>
          <w:numId w:val="2"/>
        </w:numPr>
        <w:spacing w:line="360" w:lineRule="auto"/>
        <w:outlineLvl w:val="2"/>
        <w:rPr>
          <w:rFonts w:ascii="宋体"/>
          <w:b/>
          <w:sz w:val="28"/>
          <w:szCs w:val="28"/>
        </w:rPr>
      </w:pPr>
      <w:bookmarkStart w:id="18" w:name="OLE_LINK298"/>
      <w:bookmarkStart w:id="19" w:name="OLE_LINK55"/>
      <w:bookmarkStart w:id="20" w:name="OLE_LINK52"/>
      <w:r>
        <w:rPr>
          <w:rFonts w:hint="eastAsia" w:ascii="宋体"/>
          <w:b/>
          <w:sz w:val="28"/>
          <w:szCs w:val="28"/>
        </w:rPr>
        <w:t>项目建设外部条件</w:t>
      </w:r>
    </w:p>
    <w:p>
      <w:pPr>
        <w:spacing w:line="360" w:lineRule="auto"/>
        <w:ind w:firstLine="482" w:firstLineChars="200"/>
        <w:rPr>
          <w:rFonts w:ascii="宋体" w:hAnsi="宋体"/>
          <w:b/>
          <w:bCs/>
          <w:sz w:val="24"/>
        </w:rPr>
      </w:pPr>
      <w:r>
        <w:rPr>
          <w:rFonts w:hint="eastAsia" w:ascii="宋体" w:hAnsi="宋体"/>
          <w:b/>
          <w:bCs/>
          <w:sz w:val="24"/>
        </w:rPr>
        <w:t>1、交通</w:t>
      </w:r>
    </w:p>
    <w:p>
      <w:pPr>
        <w:spacing w:line="360" w:lineRule="auto"/>
        <w:ind w:firstLine="480" w:firstLineChars="200"/>
        <w:rPr>
          <w:rFonts w:ascii="宋体" w:hAnsi="宋体"/>
          <w:sz w:val="24"/>
        </w:rPr>
      </w:pPr>
      <w:r>
        <w:rPr>
          <w:rFonts w:hint="eastAsia" w:ascii="宋体" w:hAnsi="宋体"/>
          <w:sz w:val="24"/>
        </w:rPr>
        <w:t>矿区北东距</w:t>
      </w:r>
      <w:r>
        <w:rPr>
          <w:rFonts w:hint="eastAsia" w:ascii="宋体" w:hAnsi="宋体"/>
          <w:sz w:val="24"/>
          <w:lang w:eastAsia="zh-CN"/>
        </w:rPr>
        <w:t>********</w:t>
      </w:r>
      <w:r>
        <w:rPr>
          <w:rFonts w:hint="eastAsia" w:ascii="宋体" w:hAnsi="宋体"/>
          <w:sz w:val="24"/>
        </w:rPr>
        <w:t>省道约1.0km,北距</w:t>
      </w:r>
      <w:r>
        <w:rPr>
          <w:rFonts w:hint="eastAsia" w:ascii="宋体" w:hAnsi="宋体"/>
          <w:sz w:val="24"/>
          <w:lang w:eastAsia="zh-CN"/>
        </w:rPr>
        <w:t>********</w:t>
      </w:r>
      <w:r>
        <w:rPr>
          <w:rFonts w:hint="eastAsia" w:ascii="宋体" w:hAnsi="宋体"/>
          <w:sz w:val="24"/>
        </w:rPr>
        <w:t>1.5km。矿区1.0km范围内无国道、铁路、天然气管道等重要设施，周边300m范围内无其他矿山开采，与城镇的距离较远，矿区周边环境一般。</w:t>
      </w:r>
    </w:p>
    <w:p>
      <w:pPr>
        <w:spacing w:line="360" w:lineRule="auto"/>
        <w:ind w:firstLine="482" w:firstLineChars="200"/>
        <w:rPr>
          <w:rFonts w:ascii="宋体" w:hAnsi="宋体"/>
          <w:b/>
          <w:bCs/>
          <w:sz w:val="24"/>
        </w:rPr>
      </w:pPr>
      <w:r>
        <w:rPr>
          <w:rFonts w:hint="eastAsia" w:ascii="宋体" w:hAnsi="宋体"/>
          <w:b/>
          <w:bCs/>
          <w:sz w:val="24"/>
        </w:rPr>
        <w:t>2、供电</w:t>
      </w:r>
    </w:p>
    <w:p>
      <w:pPr>
        <w:spacing w:line="360" w:lineRule="auto"/>
        <w:ind w:firstLine="480" w:firstLineChars="200"/>
        <w:rPr>
          <w:rFonts w:ascii="宋体" w:hAnsi="宋体"/>
          <w:sz w:val="24"/>
        </w:rPr>
      </w:pPr>
      <w:bookmarkStart w:id="21" w:name="OLE_LINK211"/>
      <w:r>
        <w:rPr>
          <w:rFonts w:hint="eastAsia" w:ascii="宋体" w:hAnsi="宋体"/>
          <w:sz w:val="24"/>
        </w:rPr>
        <w:t>矿山开采设备全部为柴油驱动，无需用电。矿山用电主要为破碎生产用电。企业已从破碎站北侧2km处</w:t>
      </w:r>
      <w:r>
        <w:rPr>
          <w:rFonts w:hint="eastAsia" w:ascii="宋体" w:hAnsi="宋体"/>
          <w:sz w:val="24"/>
          <w:lang w:eastAsia="zh-CN"/>
        </w:rPr>
        <w:t>********</w:t>
      </w:r>
      <w:r>
        <w:rPr>
          <w:rFonts w:hint="eastAsia" w:ascii="宋体" w:hAnsi="宋体"/>
          <w:sz w:val="24"/>
        </w:rPr>
        <w:t>学校金路线10kV农用输电线引线至工业场地内。</w:t>
      </w:r>
    </w:p>
    <w:p>
      <w:pPr>
        <w:spacing w:line="360" w:lineRule="auto"/>
        <w:ind w:firstLine="482" w:firstLineChars="200"/>
        <w:rPr>
          <w:rFonts w:ascii="宋体" w:hAnsi="宋体"/>
          <w:sz w:val="24"/>
        </w:rPr>
      </w:pPr>
      <w:r>
        <w:rPr>
          <w:rFonts w:hint="eastAsia" w:ascii="宋体" w:hAnsi="宋体"/>
          <w:b/>
          <w:bCs/>
          <w:sz w:val="24"/>
        </w:rPr>
        <w:t>3、供水</w:t>
      </w:r>
    </w:p>
    <w:bookmarkEnd w:id="21"/>
    <w:p>
      <w:pPr>
        <w:spacing w:line="360" w:lineRule="auto"/>
        <w:ind w:firstLine="480" w:firstLineChars="200"/>
        <w:rPr>
          <w:rFonts w:ascii="宋体" w:hAnsi="宋体"/>
          <w:sz w:val="24"/>
        </w:rPr>
      </w:pPr>
      <w:bookmarkStart w:id="22" w:name="OLE_LINK109"/>
      <w:bookmarkStart w:id="23" w:name="OLE_LINK210"/>
      <w:bookmarkStart w:id="24" w:name="OLE_LINK294"/>
      <w:bookmarkStart w:id="25" w:name="OLE_LINK39"/>
      <w:r>
        <w:rPr>
          <w:rFonts w:hint="eastAsia" w:ascii="宋体" w:hAnsi="宋体"/>
          <w:sz w:val="24"/>
        </w:rPr>
        <w:t>区内无地表水出露，矿山生产用水从西侧300m处</w:t>
      </w:r>
      <w:r>
        <w:rPr>
          <w:rFonts w:hint="eastAsia" w:ascii="宋体" w:hAnsi="宋体"/>
          <w:sz w:val="24"/>
          <w:lang w:eastAsia="zh-CN"/>
        </w:rPr>
        <w:t>********</w:t>
      </w:r>
      <w:r>
        <w:rPr>
          <w:rFonts w:hint="eastAsia" w:ascii="宋体" w:hAnsi="宋体"/>
          <w:sz w:val="24"/>
        </w:rPr>
        <w:t>峡沟内拉运解决，生活用水从北侧1.5km处</w:t>
      </w:r>
      <w:r>
        <w:rPr>
          <w:rFonts w:hint="eastAsia" w:ascii="宋体" w:hAnsi="宋体"/>
          <w:sz w:val="24"/>
          <w:lang w:eastAsia="zh-CN"/>
        </w:rPr>
        <w:t>********</w:t>
      </w:r>
      <w:r>
        <w:rPr>
          <w:rFonts w:hint="eastAsia" w:ascii="宋体" w:hAnsi="宋体"/>
          <w:sz w:val="24"/>
        </w:rPr>
        <w:t>村拉运解决。</w:t>
      </w:r>
    </w:p>
    <w:bookmarkEnd w:id="22"/>
    <w:bookmarkEnd w:id="23"/>
    <w:bookmarkEnd w:id="24"/>
    <w:bookmarkEnd w:id="25"/>
    <w:p>
      <w:pPr>
        <w:spacing w:line="360" w:lineRule="auto"/>
        <w:ind w:firstLine="482" w:firstLineChars="200"/>
        <w:rPr>
          <w:rFonts w:ascii="宋体" w:hAnsi="宋体"/>
          <w:b/>
          <w:bCs/>
          <w:sz w:val="24"/>
        </w:rPr>
      </w:pPr>
      <w:r>
        <w:rPr>
          <w:rFonts w:hint="eastAsia" w:ascii="宋体" w:hAnsi="宋体"/>
          <w:b/>
          <w:bCs/>
          <w:sz w:val="24"/>
        </w:rPr>
        <w:t>4、通讯</w:t>
      </w:r>
    </w:p>
    <w:p>
      <w:pPr>
        <w:spacing w:line="360" w:lineRule="auto"/>
        <w:ind w:firstLine="480" w:firstLineChars="200"/>
        <w:rPr>
          <w:rFonts w:ascii="宋体" w:hAnsi="宋体"/>
          <w:sz w:val="24"/>
        </w:rPr>
      </w:pPr>
      <w:r>
        <w:rPr>
          <w:rFonts w:hint="eastAsia" w:ascii="宋体" w:hAnsi="宋体"/>
          <w:sz w:val="24"/>
        </w:rPr>
        <w:t>矿区目前无外部有线通讯线路接入，但移动、电信的无线通讯信号均已覆盖矿区，通讯条件较好。</w:t>
      </w:r>
    </w:p>
    <w:p>
      <w:pPr>
        <w:spacing w:line="360" w:lineRule="auto"/>
        <w:ind w:firstLine="482" w:firstLineChars="200"/>
        <w:rPr>
          <w:rFonts w:ascii="宋体" w:hAnsi="宋体"/>
          <w:b/>
          <w:bCs/>
          <w:sz w:val="24"/>
        </w:rPr>
      </w:pPr>
      <w:r>
        <w:rPr>
          <w:rFonts w:hint="eastAsia" w:ascii="宋体" w:hAnsi="宋体"/>
          <w:b/>
          <w:bCs/>
          <w:sz w:val="24"/>
        </w:rPr>
        <w:t>5、燃料、材料供应及外部协作</w:t>
      </w:r>
    </w:p>
    <w:p>
      <w:pPr>
        <w:spacing w:line="360" w:lineRule="auto"/>
        <w:ind w:firstLine="480" w:firstLineChars="200"/>
        <w:rPr>
          <w:rFonts w:ascii="宋体" w:hAnsi="宋体"/>
          <w:sz w:val="24"/>
        </w:rPr>
      </w:pPr>
      <w:bookmarkStart w:id="26" w:name="OLE_LINK44"/>
      <w:r>
        <w:rPr>
          <w:rFonts w:hint="eastAsia" w:ascii="宋体" w:hAnsi="宋体"/>
          <w:sz w:val="24"/>
        </w:rPr>
        <w:t>矿山设10t地埋式储油罐一个，油料由附近加油站购买。</w:t>
      </w:r>
    </w:p>
    <w:bookmarkEnd w:id="26"/>
    <w:p>
      <w:pPr>
        <w:spacing w:line="360" w:lineRule="auto"/>
        <w:ind w:firstLine="482" w:firstLineChars="200"/>
        <w:rPr>
          <w:rFonts w:ascii="宋体" w:hAnsi="宋体"/>
          <w:b/>
          <w:bCs/>
          <w:sz w:val="24"/>
        </w:rPr>
      </w:pPr>
      <w:r>
        <w:rPr>
          <w:rFonts w:hint="eastAsia" w:ascii="宋体" w:hAnsi="宋体"/>
          <w:b/>
          <w:bCs/>
          <w:sz w:val="24"/>
        </w:rPr>
        <w:t>6、医疗条件</w:t>
      </w:r>
    </w:p>
    <w:p>
      <w:pPr>
        <w:spacing w:line="360" w:lineRule="auto"/>
        <w:ind w:firstLine="480" w:firstLineChars="200"/>
        <w:rPr>
          <w:rFonts w:ascii="宋体" w:hAnsi="宋体"/>
          <w:sz w:val="24"/>
        </w:rPr>
      </w:pPr>
      <w:r>
        <w:rPr>
          <w:rFonts w:hint="eastAsia" w:ascii="宋体" w:hAnsi="宋体"/>
          <w:sz w:val="24"/>
        </w:rPr>
        <w:t>矿山配备流动医务箱，备用常用药品和急救医疗用具。并与就近医院建立合作医疗关系，为矿区医疗救护提供保障。危重患者可送至</w:t>
      </w:r>
      <w:r>
        <w:rPr>
          <w:rFonts w:hint="eastAsia" w:ascii="宋体" w:hAnsi="宋体"/>
          <w:sz w:val="24"/>
          <w:lang w:eastAsia="zh-CN"/>
        </w:rPr>
        <w:t>********</w:t>
      </w:r>
      <w:r>
        <w:rPr>
          <w:rFonts w:hint="eastAsia" w:ascii="宋体" w:hAnsi="宋体"/>
          <w:sz w:val="24"/>
        </w:rPr>
        <w:t>城医院就医治疗</w:t>
      </w:r>
      <w:r>
        <w:rPr>
          <w:rFonts w:ascii="宋体" w:hAnsi="宋体"/>
          <w:sz w:val="24"/>
        </w:rPr>
        <w:t>。</w:t>
      </w:r>
    </w:p>
    <w:p>
      <w:pPr>
        <w:numPr>
          <w:ilvl w:val="2"/>
          <w:numId w:val="2"/>
        </w:numPr>
        <w:spacing w:line="360" w:lineRule="auto"/>
        <w:outlineLvl w:val="2"/>
        <w:rPr>
          <w:rFonts w:ascii="宋体"/>
          <w:b/>
          <w:sz w:val="28"/>
          <w:szCs w:val="28"/>
        </w:rPr>
      </w:pPr>
      <w:r>
        <w:rPr>
          <w:rFonts w:hint="eastAsia" w:ascii="宋体"/>
          <w:b/>
          <w:sz w:val="28"/>
          <w:szCs w:val="28"/>
        </w:rPr>
        <w:t>矿山开采和资源利用现状</w:t>
      </w:r>
    </w:p>
    <w:bookmarkEnd w:id="18"/>
    <w:bookmarkEnd w:id="19"/>
    <w:bookmarkEnd w:id="20"/>
    <w:p>
      <w:pPr>
        <w:spacing w:line="360" w:lineRule="auto"/>
        <w:ind w:firstLine="480" w:firstLineChars="200"/>
        <w:contextualSpacing/>
        <w:jc w:val="left"/>
        <w:rPr>
          <w:rFonts w:ascii="宋体" w:hAnsi="宋体"/>
          <w:sz w:val="24"/>
        </w:rPr>
      </w:pPr>
      <w:bookmarkStart w:id="27" w:name="_Toc278309982"/>
      <w:bookmarkStart w:id="28" w:name="_Toc281214565"/>
      <w:r>
        <w:rPr>
          <w:rFonts w:hint="eastAsia" w:ascii="宋体" w:hAnsi="宋体"/>
          <w:sz w:val="24"/>
        </w:rPr>
        <w:t>该矿为新建矿山，截止本方案编制前矿产资源尚未开发利用。</w:t>
      </w:r>
    </w:p>
    <w:p>
      <w:pPr>
        <w:spacing w:line="360" w:lineRule="auto"/>
        <w:ind w:firstLine="480" w:firstLineChars="200"/>
        <w:contextualSpacing/>
        <w:jc w:val="left"/>
        <w:rPr>
          <w:rFonts w:ascii="宋体" w:hAnsi="宋体"/>
          <w:sz w:val="24"/>
        </w:rPr>
      </w:pPr>
      <w:r>
        <w:rPr>
          <w:rFonts w:hint="eastAsia" w:ascii="宋体" w:hAnsi="宋体"/>
          <w:sz w:val="24"/>
        </w:rPr>
        <w:t>矿山破碎加工设施已建成，位于矿区南东侧约100m处。</w:t>
      </w:r>
    </w:p>
    <w:p>
      <w:pPr>
        <w:keepNext/>
        <w:keepLines/>
        <w:numPr>
          <w:ilvl w:val="1"/>
          <w:numId w:val="2"/>
        </w:numPr>
        <w:spacing w:line="360" w:lineRule="auto"/>
        <w:outlineLvl w:val="1"/>
        <w:rPr>
          <w:rFonts w:ascii="宋体" w:hAnsi="宋体" w:cs="宋体"/>
          <w:b/>
          <w:bCs/>
          <w:color w:val="000000"/>
          <w:sz w:val="30"/>
          <w:szCs w:val="30"/>
        </w:rPr>
      </w:pPr>
      <w:bookmarkStart w:id="29" w:name="_Toc456610935"/>
      <w:bookmarkStart w:id="30" w:name="_Toc17283"/>
      <w:r>
        <w:rPr>
          <w:rFonts w:hint="eastAsia" w:ascii="宋体" w:hAnsi="宋体" w:cs="宋体"/>
          <w:b/>
          <w:bCs/>
          <w:color w:val="000000"/>
          <w:sz w:val="30"/>
          <w:szCs w:val="30"/>
        </w:rPr>
        <w:t>编制依据</w:t>
      </w:r>
      <w:bookmarkEnd w:id="29"/>
      <w:bookmarkEnd w:id="30"/>
    </w:p>
    <w:bookmarkEnd w:id="27"/>
    <w:bookmarkEnd w:id="28"/>
    <w:p>
      <w:pPr>
        <w:numPr>
          <w:ilvl w:val="2"/>
          <w:numId w:val="3"/>
        </w:numPr>
        <w:tabs>
          <w:tab w:val="left" w:pos="851"/>
          <w:tab w:val="clear" w:pos="709"/>
        </w:tabs>
        <w:spacing w:line="360" w:lineRule="auto"/>
        <w:outlineLvl w:val="2"/>
        <w:rPr>
          <w:rFonts w:ascii="宋体"/>
          <w:b/>
          <w:sz w:val="28"/>
          <w:szCs w:val="28"/>
        </w:rPr>
      </w:pPr>
      <w:bookmarkStart w:id="31" w:name="_Toc428439487"/>
      <w:bookmarkStart w:id="32" w:name="_Toc198809231"/>
      <w:bookmarkStart w:id="33" w:name="_Toc286168411"/>
      <w:bookmarkStart w:id="34" w:name="_Toc30287"/>
      <w:r>
        <w:rPr>
          <w:rFonts w:hint="eastAsia" w:ascii="宋体"/>
          <w:b/>
          <w:sz w:val="28"/>
          <w:szCs w:val="28"/>
        </w:rPr>
        <w:t>有</w:t>
      </w:r>
      <w:r>
        <w:rPr>
          <w:rFonts w:ascii="宋体"/>
          <w:b/>
          <w:sz w:val="28"/>
          <w:szCs w:val="28"/>
        </w:rPr>
        <w:t>关法律、法规、条例等</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《中华人民共和国矿产资源法》 （中华人民共和国主席令第74号，2009年8月27日修正）；</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《中华人民共和国安全生产法》 （中华人民共和国主席令第13号，2014年12月1日施行）；</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《中华人民共和国矿山安全法》 （中华人民共和国主席令第65号，2009年8月27日修正）；</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《中华人民共和国环境保护法》 （中华人民共和国主席令第22号，2014年4月24日修正）；</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《中华人民共和国水土保护法》 （中华人民共和国主席令第39号，2011年3月1日施行）；</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《中华人民共和国固体废弃物污染环境防治法》（中华人民共和国主席令第58号，2005年4月1日实行）；</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《中华人民共和国水污染防治法》（中华人民共和国主席令第87号，2008年6月1日施行）；</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《中华人民共和国大气污染防治法》（中华人民共和国主席令第31号，2016年1月1日施行）；</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《中华人民共和国职业病防治法》（中华人民共和国主席令第52号，2011年12月31日）；</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《中华人民共和国消防法》（中华人民共和国主席令第6号，2009年5月1日施行）；</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《国务院关于进一步加强企业安全生产工作的通知》（国发【2010】23号）；</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《小型露天采石场安全管理与监督检查规定》（国家安全生产监督管理总局令39号）；</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《国家安全监督总局关于在非煤矿山推广使用安全生产先进适用技术和装备的指导意见》（安监总管一【2009】177号）；</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《国家安全监督总局关于加强金属非金属矿山安全基础管理的指导意见》（安监总管一【2007】214号）；</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《企业安全生产费用提取和使用管理办法》（财企【2012】16号）；</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《建设项目安全设施“三同时”监督管理暂行办法》（国家安全生产监督管理总局令第36号令）；</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《工作场所职业卫生监督管理规定》（国家安全生产监督管理总局令第47号令）；</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《建设项目职业卫生“三同时”监督管理暂行办法》（国家安全生产监督总理总局令第51号令）；</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《国家安全监督总局关于进一步加强金属非金属矿山防治水工作的意见》（安监总管一【2010】75号）；</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《国家安全监督总局关于修改&lt;生产经营单位安全培训规定&gt;等11件规章的规定》（国家安全生产监督管理总局令第63号令）；</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《国家安全监督总局关于废止和修改劳动防护用品和安全培训等领域十部规章的决定》（国家安全生产监督管理总局第80号令）；</w:t>
      </w:r>
    </w:p>
    <w:p>
      <w:pPr>
        <w:pStyle w:val="78"/>
        <w:numPr>
          <w:ilvl w:val="1"/>
          <w:numId w:val="4"/>
        </w:numPr>
        <w:tabs>
          <w:tab w:val="left" w:pos="0"/>
          <w:tab w:val="left" w:pos="780"/>
          <w:tab w:val="clear" w:pos="960"/>
        </w:tabs>
        <w:spacing w:line="360" w:lineRule="auto"/>
        <w:ind w:left="0" w:firstLine="540" w:firstLineChars="225"/>
        <w:textAlignment w:val="baseline"/>
        <w:rPr>
          <w:rFonts w:hAnsi="宋体" w:cs="宋体"/>
          <w:color w:val="000000"/>
          <w:sz w:val="24"/>
        </w:rPr>
      </w:pPr>
      <w:r>
        <w:rPr>
          <w:rFonts w:hint="eastAsia" w:hAnsi="宋体" w:cs="宋体"/>
          <w:color w:val="000000"/>
          <w:sz w:val="24"/>
        </w:rPr>
        <w:t>《关于进一步加强小型露天采石（砂）场、粘土矿安全监管工作的通知》（青安检一{2011}201号）。</w:t>
      </w:r>
    </w:p>
    <w:p>
      <w:pPr>
        <w:numPr>
          <w:ilvl w:val="2"/>
          <w:numId w:val="5"/>
        </w:numPr>
        <w:tabs>
          <w:tab w:val="left" w:pos="851"/>
          <w:tab w:val="clear" w:pos="709"/>
        </w:tabs>
        <w:spacing w:line="360" w:lineRule="auto"/>
        <w:outlineLvl w:val="2"/>
        <w:rPr>
          <w:rFonts w:ascii="宋体"/>
          <w:b/>
          <w:sz w:val="28"/>
          <w:szCs w:val="28"/>
        </w:rPr>
      </w:pPr>
      <w:r>
        <w:rPr>
          <w:rFonts w:hint="eastAsia" w:ascii="宋体"/>
          <w:b/>
          <w:sz w:val="28"/>
          <w:szCs w:val="28"/>
        </w:rPr>
        <w:t>相关规范、规程及标准</w:t>
      </w:r>
    </w:p>
    <w:p>
      <w:pPr>
        <w:pStyle w:val="78"/>
        <w:numPr>
          <w:ilvl w:val="0"/>
          <w:numId w:val="6"/>
        </w:numPr>
        <w:spacing w:line="360" w:lineRule="auto"/>
        <w:rPr>
          <w:sz w:val="24"/>
          <w:szCs w:val="24"/>
        </w:rPr>
      </w:pPr>
      <w:r>
        <w:rPr>
          <w:rFonts w:hint="eastAsia"/>
          <w:sz w:val="24"/>
          <w:szCs w:val="24"/>
        </w:rPr>
        <w:t>《金属非金属矿山安全规程》（GB16423-2006）；</w:t>
      </w:r>
    </w:p>
    <w:p>
      <w:pPr>
        <w:pStyle w:val="78"/>
        <w:numPr>
          <w:ilvl w:val="0"/>
          <w:numId w:val="6"/>
        </w:numPr>
        <w:spacing w:line="360" w:lineRule="auto"/>
        <w:rPr>
          <w:sz w:val="24"/>
          <w:szCs w:val="24"/>
        </w:rPr>
      </w:pPr>
      <w:r>
        <w:rPr>
          <w:rFonts w:hint="eastAsia"/>
          <w:sz w:val="24"/>
          <w:szCs w:val="24"/>
        </w:rPr>
        <w:t>《开发建设项目水土保持方案技术规范》（GB50433-2008）；</w:t>
      </w:r>
    </w:p>
    <w:p>
      <w:pPr>
        <w:pStyle w:val="78"/>
        <w:numPr>
          <w:ilvl w:val="0"/>
          <w:numId w:val="6"/>
        </w:numPr>
        <w:spacing w:line="360" w:lineRule="auto"/>
        <w:rPr>
          <w:sz w:val="24"/>
          <w:szCs w:val="24"/>
        </w:rPr>
      </w:pPr>
      <w:r>
        <w:rPr>
          <w:rFonts w:hint="eastAsia"/>
          <w:sz w:val="24"/>
          <w:szCs w:val="24"/>
        </w:rPr>
        <w:t>《矿山电力设计规范》（GB50070-2009）；</w:t>
      </w:r>
    </w:p>
    <w:p>
      <w:pPr>
        <w:pStyle w:val="78"/>
        <w:numPr>
          <w:ilvl w:val="0"/>
          <w:numId w:val="6"/>
        </w:numPr>
        <w:spacing w:line="360" w:lineRule="auto"/>
        <w:rPr>
          <w:sz w:val="24"/>
          <w:szCs w:val="24"/>
        </w:rPr>
      </w:pPr>
      <w:r>
        <w:rPr>
          <w:rFonts w:hint="eastAsia"/>
          <w:sz w:val="24"/>
          <w:szCs w:val="24"/>
        </w:rPr>
        <w:t>《低压配电设计户规范》（GB50054-2011）；</w:t>
      </w:r>
    </w:p>
    <w:p>
      <w:pPr>
        <w:pStyle w:val="78"/>
        <w:numPr>
          <w:ilvl w:val="0"/>
          <w:numId w:val="6"/>
        </w:numPr>
        <w:spacing w:line="360" w:lineRule="auto"/>
        <w:rPr>
          <w:sz w:val="24"/>
          <w:szCs w:val="24"/>
        </w:rPr>
      </w:pPr>
      <w:r>
        <w:rPr>
          <w:rFonts w:hint="eastAsia"/>
          <w:sz w:val="24"/>
          <w:szCs w:val="24"/>
        </w:rPr>
        <w:t>《工业企业噪音控制设计规范》（GB50087-2013）；</w:t>
      </w:r>
    </w:p>
    <w:p>
      <w:pPr>
        <w:pStyle w:val="78"/>
        <w:numPr>
          <w:ilvl w:val="0"/>
          <w:numId w:val="6"/>
        </w:numPr>
        <w:spacing w:line="360" w:lineRule="auto"/>
        <w:rPr>
          <w:sz w:val="24"/>
          <w:szCs w:val="24"/>
        </w:rPr>
      </w:pPr>
      <w:r>
        <w:rPr>
          <w:rFonts w:hint="eastAsia"/>
          <w:sz w:val="24"/>
          <w:szCs w:val="24"/>
        </w:rPr>
        <w:t>《水土保持综合治理技术规范》（GB/T16453-2008）；</w:t>
      </w:r>
    </w:p>
    <w:p>
      <w:pPr>
        <w:pStyle w:val="78"/>
        <w:numPr>
          <w:ilvl w:val="0"/>
          <w:numId w:val="6"/>
        </w:numPr>
        <w:spacing w:line="360" w:lineRule="auto"/>
        <w:rPr>
          <w:sz w:val="24"/>
          <w:szCs w:val="24"/>
        </w:rPr>
      </w:pPr>
      <w:r>
        <w:rPr>
          <w:rFonts w:hint="eastAsia"/>
          <w:sz w:val="24"/>
          <w:szCs w:val="24"/>
        </w:rPr>
        <w:t>《工业企业设计卫生标准》（GBZ1-2002）；</w:t>
      </w:r>
    </w:p>
    <w:p>
      <w:pPr>
        <w:pStyle w:val="78"/>
        <w:numPr>
          <w:ilvl w:val="0"/>
          <w:numId w:val="6"/>
        </w:numPr>
        <w:spacing w:line="360" w:lineRule="auto"/>
        <w:rPr>
          <w:sz w:val="24"/>
          <w:szCs w:val="24"/>
        </w:rPr>
      </w:pPr>
      <w:r>
        <w:rPr>
          <w:rFonts w:hint="eastAsia"/>
          <w:sz w:val="24"/>
          <w:szCs w:val="24"/>
        </w:rPr>
        <w:t>《土壤侵蚀分类分级标准》（SL190-2007）；</w:t>
      </w:r>
    </w:p>
    <w:p>
      <w:pPr>
        <w:pStyle w:val="78"/>
        <w:numPr>
          <w:ilvl w:val="0"/>
          <w:numId w:val="6"/>
        </w:numPr>
        <w:spacing w:line="360" w:lineRule="auto"/>
        <w:rPr>
          <w:sz w:val="24"/>
          <w:szCs w:val="24"/>
        </w:rPr>
      </w:pPr>
      <w:r>
        <w:rPr>
          <w:rFonts w:hint="eastAsia"/>
          <w:sz w:val="24"/>
          <w:szCs w:val="24"/>
        </w:rPr>
        <w:t>《地表水环境质量标准》（GB3838-2002）；</w:t>
      </w:r>
    </w:p>
    <w:p>
      <w:pPr>
        <w:pStyle w:val="78"/>
        <w:numPr>
          <w:ilvl w:val="0"/>
          <w:numId w:val="6"/>
        </w:numPr>
        <w:spacing w:line="360" w:lineRule="auto"/>
        <w:rPr>
          <w:sz w:val="24"/>
          <w:szCs w:val="24"/>
        </w:rPr>
      </w:pPr>
      <w:r>
        <w:rPr>
          <w:rFonts w:hint="eastAsia"/>
          <w:sz w:val="24"/>
          <w:szCs w:val="24"/>
        </w:rPr>
        <w:t>《地下水环境质量标准》（GB/T14848-93）；</w:t>
      </w:r>
    </w:p>
    <w:p>
      <w:pPr>
        <w:pStyle w:val="78"/>
        <w:numPr>
          <w:ilvl w:val="0"/>
          <w:numId w:val="6"/>
        </w:numPr>
        <w:spacing w:line="360" w:lineRule="auto"/>
        <w:rPr>
          <w:sz w:val="24"/>
          <w:szCs w:val="24"/>
        </w:rPr>
      </w:pPr>
      <w:r>
        <w:rPr>
          <w:rFonts w:hint="eastAsia"/>
          <w:sz w:val="24"/>
          <w:szCs w:val="24"/>
        </w:rPr>
        <w:t>《生活饮用水卫生标准》（GB5749-2006）；</w:t>
      </w:r>
    </w:p>
    <w:p>
      <w:pPr>
        <w:pStyle w:val="78"/>
        <w:numPr>
          <w:ilvl w:val="0"/>
          <w:numId w:val="6"/>
        </w:numPr>
        <w:spacing w:line="360" w:lineRule="auto"/>
        <w:rPr>
          <w:sz w:val="24"/>
          <w:szCs w:val="24"/>
        </w:rPr>
      </w:pPr>
      <w:r>
        <w:rPr>
          <w:rFonts w:hint="eastAsia"/>
          <w:sz w:val="24"/>
          <w:szCs w:val="24"/>
        </w:rPr>
        <w:t>《生活杂用水水质标准》（CJ/T48-1999）；</w:t>
      </w:r>
    </w:p>
    <w:p>
      <w:pPr>
        <w:pStyle w:val="78"/>
        <w:numPr>
          <w:ilvl w:val="0"/>
          <w:numId w:val="6"/>
        </w:numPr>
        <w:spacing w:line="360" w:lineRule="auto"/>
        <w:rPr>
          <w:sz w:val="24"/>
          <w:szCs w:val="24"/>
        </w:rPr>
      </w:pPr>
      <w:r>
        <w:rPr>
          <w:rFonts w:hint="eastAsia"/>
          <w:sz w:val="24"/>
          <w:szCs w:val="24"/>
        </w:rPr>
        <w:t>《污水综合排放标准》（GB8978-1996）；</w:t>
      </w:r>
    </w:p>
    <w:p>
      <w:pPr>
        <w:pStyle w:val="78"/>
        <w:numPr>
          <w:ilvl w:val="0"/>
          <w:numId w:val="6"/>
        </w:numPr>
        <w:spacing w:line="360" w:lineRule="auto"/>
        <w:rPr>
          <w:sz w:val="24"/>
          <w:szCs w:val="24"/>
        </w:rPr>
      </w:pPr>
      <w:r>
        <w:rPr>
          <w:rFonts w:hint="eastAsia"/>
          <w:sz w:val="24"/>
          <w:szCs w:val="24"/>
        </w:rPr>
        <w:t>《水土保持综合治理规划通则》（GB/T15772-2008）；</w:t>
      </w:r>
    </w:p>
    <w:p>
      <w:pPr>
        <w:pStyle w:val="78"/>
        <w:numPr>
          <w:ilvl w:val="0"/>
          <w:numId w:val="6"/>
        </w:numPr>
        <w:spacing w:line="360" w:lineRule="auto"/>
        <w:rPr>
          <w:sz w:val="24"/>
          <w:szCs w:val="24"/>
        </w:rPr>
      </w:pPr>
      <w:r>
        <w:rPr>
          <w:rFonts w:hint="eastAsia"/>
          <w:sz w:val="24"/>
          <w:szCs w:val="24"/>
        </w:rPr>
        <w:t>《环境空气质量标准》（GB3095-2012）；</w:t>
      </w:r>
    </w:p>
    <w:p>
      <w:pPr>
        <w:pStyle w:val="78"/>
        <w:numPr>
          <w:ilvl w:val="0"/>
          <w:numId w:val="6"/>
        </w:numPr>
        <w:spacing w:line="360" w:lineRule="auto"/>
        <w:rPr>
          <w:sz w:val="24"/>
          <w:szCs w:val="24"/>
        </w:rPr>
      </w:pPr>
      <w:r>
        <w:rPr>
          <w:rFonts w:hint="eastAsia"/>
          <w:sz w:val="24"/>
          <w:szCs w:val="24"/>
        </w:rPr>
        <w:t>《大气污染物排放标准》（GB16297-1996）；</w:t>
      </w:r>
    </w:p>
    <w:p>
      <w:pPr>
        <w:pStyle w:val="78"/>
        <w:numPr>
          <w:ilvl w:val="0"/>
          <w:numId w:val="6"/>
        </w:numPr>
        <w:spacing w:line="360" w:lineRule="auto"/>
        <w:rPr>
          <w:sz w:val="24"/>
          <w:szCs w:val="24"/>
        </w:rPr>
      </w:pPr>
      <w:r>
        <w:rPr>
          <w:rFonts w:hint="eastAsia"/>
          <w:sz w:val="24"/>
          <w:szCs w:val="24"/>
        </w:rPr>
        <w:t>《工业企业厂界环境噪声排放标准》（GB12348-2008）；</w:t>
      </w:r>
    </w:p>
    <w:p>
      <w:pPr>
        <w:pStyle w:val="78"/>
        <w:numPr>
          <w:ilvl w:val="0"/>
          <w:numId w:val="6"/>
        </w:numPr>
        <w:spacing w:line="360" w:lineRule="auto"/>
        <w:rPr>
          <w:sz w:val="24"/>
          <w:szCs w:val="24"/>
        </w:rPr>
      </w:pPr>
      <w:r>
        <w:rPr>
          <w:rFonts w:hint="eastAsia"/>
          <w:sz w:val="24"/>
          <w:szCs w:val="24"/>
        </w:rPr>
        <w:t>《一般工业固体废物储存、处置场污染控制标准》（GB18599-2001）；</w:t>
      </w:r>
    </w:p>
    <w:p>
      <w:pPr>
        <w:pStyle w:val="78"/>
        <w:numPr>
          <w:ilvl w:val="0"/>
          <w:numId w:val="6"/>
        </w:numPr>
        <w:spacing w:line="360" w:lineRule="auto"/>
        <w:rPr>
          <w:sz w:val="24"/>
          <w:szCs w:val="24"/>
        </w:rPr>
      </w:pPr>
      <w:r>
        <w:rPr>
          <w:rFonts w:hint="eastAsia"/>
          <w:sz w:val="24"/>
          <w:szCs w:val="24"/>
        </w:rPr>
        <w:t>《建筑设计防火规范》（GB50016-2014）；</w:t>
      </w:r>
    </w:p>
    <w:p>
      <w:pPr>
        <w:pStyle w:val="78"/>
        <w:numPr>
          <w:ilvl w:val="0"/>
          <w:numId w:val="6"/>
        </w:numPr>
        <w:spacing w:line="360" w:lineRule="auto"/>
        <w:rPr>
          <w:sz w:val="24"/>
          <w:szCs w:val="24"/>
        </w:rPr>
      </w:pPr>
      <w:r>
        <w:rPr>
          <w:rFonts w:hint="eastAsia"/>
          <w:sz w:val="24"/>
          <w:szCs w:val="24"/>
        </w:rPr>
        <w:t>《普通混凝土用砂、石质量及检验方法标准》（JGJ52-2006）。</w:t>
      </w:r>
    </w:p>
    <w:p>
      <w:pPr>
        <w:numPr>
          <w:ilvl w:val="2"/>
          <w:numId w:val="7"/>
        </w:numPr>
        <w:tabs>
          <w:tab w:val="left" w:pos="851"/>
          <w:tab w:val="clear" w:pos="709"/>
        </w:tabs>
        <w:spacing w:line="360" w:lineRule="auto"/>
        <w:outlineLvl w:val="2"/>
        <w:rPr>
          <w:rFonts w:ascii="宋体"/>
          <w:b/>
          <w:sz w:val="28"/>
          <w:szCs w:val="28"/>
        </w:rPr>
      </w:pPr>
      <w:r>
        <w:rPr>
          <w:rFonts w:hint="eastAsia" w:ascii="宋体"/>
          <w:b/>
          <w:sz w:val="28"/>
          <w:szCs w:val="28"/>
        </w:rPr>
        <w:t>主要</w:t>
      </w:r>
      <w:r>
        <w:rPr>
          <w:rFonts w:ascii="宋体"/>
          <w:b/>
          <w:sz w:val="28"/>
          <w:szCs w:val="28"/>
        </w:rPr>
        <w:t>文件与资料</w:t>
      </w:r>
    </w:p>
    <w:p>
      <w:pPr>
        <w:spacing w:line="360" w:lineRule="auto"/>
        <w:ind w:firstLine="480" w:firstLineChars="200"/>
        <w:rPr>
          <w:rFonts w:ascii="宋体" w:hAnsi="宋体" w:cs="宋体"/>
          <w:sz w:val="24"/>
        </w:rPr>
      </w:pPr>
      <w:bookmarkStart w:id="35" w:name="_Toc67828489"/>
      <w:bookmarkStart w:id="36" w:name="_Toc67828692"/>
      <w:r>
        <w:rPr>
          <w:rFonts w:hint="eastAsia" w:ascii="宋体" w:hAnsi="宋体" w:cs="宋体"/>
          <w:sz w:val="24"/>
        </w:rPr>
        <w:t>1、</w:t>
      </w:r>
      <w:r>
        <w:rPr>
          <w:rFonts w:hint="eastAsia" w:ascii="宋体" w:hAnsi="宋体" w:cs="宋体"/>
          <w:sz w:val="24"/>
          <w:lang w:eastAsia="zh-CN"/>
        </w:rPr>
        <w:t>********</w:t>
      </w:r>
      <w:r>
        <w:rPr>
          <w:rFonts w:hint="eastAsia" w:ascii="宋体" w:hAnsi="宋体" w:cs="宋体"/>
          <w:sz w:val="24"/>
        </w:rPr>
        <w:t>于2013年7月编写的《</w:t>
      </w:r>
      <w:r>
        <w:rPr>
          <w:rFonts w:hint="eastAsia" w:ascii="宋体" w:hAnsi="宋体" w:cs="宋体"/>
          <w:sz w:val="24"/>
          <w:lang w:val="zh-TW" w:eastAsia="zh-CN"/>
        </w:rPr>
        <w:t>********</w:t>
      </w:r>
      <w:r>
        <w:rPr>
          <w:rFonts w:hint="eastAsia" w:ascii="宋体" w:hAnsi="宋体" w:cs="宋体"/>
          <w:sz w:val="24"/>
          <w:lang w:val="zh-TW"/>
        </w:rPr>
        <w:t>砂石矿资源量估算报告</w:t>
      </w:r>
      <w:r>
        <w:rPr>
          <w:rFonts w:hint="eastAsia" w:ascii="宋体" w:hAnsi="宋体" w:cs="宋体"/>
          <w:sz w:val="24"/>
        </w:rPr>
        <w:t>》及评审意见；</w:t>
      </w:r>
    </w:p>
    <w:p>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lang w:eastAsia="zh-CN"/>
        </w:rPr>
        <w:t>********</w:t>
      </w:r>
      <w:r>
        <w:rPr>
          <w:rFonts w:hint="eastAsia" w:ascii="宋体" w:hAnsi="宋体" w:cs="宋体"/>
          <w:sz w:val="24"/>
        </w:rPr>
        <w:t>砂石矿矿产资源开发利用方案》的委托书；</w:t>
      </w:r>
    </w:p>
    <w:p>
      <w:pPr>
        <w:spacing w:line="360" w:lineRule="auto"/>
        <w:ind w:firstLine="480" w:firstLineChars="200"/>
        <w:rPr>
          <w:rFonts w:ascii="宋体" w:hAnsi="宋体" w:cs="宋体"/>
          <w:sz w:val="24"/>
        </w:rPr>
      </w:pPr>
      <w:r>
        <w:rPr>
          <w:rFonts w:hint="eastAsia" w:ascii="宋体" w:hAnsi="宋体" w:cs="宋体"/>
          <w:sz w:val="24"/>
        </w:rPr>
        <w:t>3、委托方提供的其它有关资料；</w:t>
      </w:r>
    </w:p>
    <w:bookmarkEnd w:id="35"/>
    <w:bookmarkEnd w:id="36"/>
    <w:p>
      <w:pPr>
        <w:spacing w:line="360" w:lineRule="auto"/>
        <w:ind w:firstLine="480" w:firstLineChars="200"/>
        <w:rPr>
          <w:rFonts w:ascii="宋体" w:hAnsi="宋体" w:cs="宋体"/>
          <w:sz w:val="24"/>
        </w:rPr>
      </w:pPr>
      <w:r>
        <w:rPr>
          <w:rFonts w:hint="eastAsia" w:ascii="宋体" w:hAnsi="宋体" w:cs="宋体"/>
          <w:sz w:val="24"/>
        </w:rPr>
        <w:t>4、开发利用方案编制内容要求。</w:t>
      </w:r>
    </w:p>
    <w:bookmarkEnd w:id="31"/>
    <w:bookmarkEnd w:id="32"/>
    <w:bookmarkEnd w:id="33"/>
    <w:bookmarkEnd w:id="34"/>
    <w:p>
      <w:pPr>
        <w:pStyle w:val="2"/>
        <w:snapToGrid w:val="0"/>
        <w:spacing w:before="0" w:after="240" w:line="360" w:lineRule="auto"/>
        <w:ind w:firstLine="540"/>
        <w:rPr>
          <w:rFonts w:ascii="宋体" w:hAnsi="宋体"/>
          <w:color w:val="000000"/>
          <w:sz w:val="24"/>
          <w:szCs w:val="24"/>
        </w:rPr>
        <w:sectPr>
          <w:headerReference r:id="rId9" w:type="default"/>
          <w:footerReference r:id="rId10" w:type="default"/>
          <w:pgSz w:w="11906" w:h="16838"/>
          <w:pgMar w:top="1440" w:right="1803" w:bottom="1440" w:left="1803" w:header="1049" w:footer="992" w:gutter="0"/>
          <w:pgNumType w:start="1"/>
          <w:cols w:space="720" w:num="1"/>
          <w:docGrid w:linePitch="312" w:charSpace="0"/>
        </w:sectPr>
      </w:pPr>
      <w:bookmarkStart w:id="37" w:name="_Toc17799"/>
      <w:bookmarkStart w:id="38" w:name="_Toc154392555"/>
      <w:bookmarkStart w:id="39" w:name="_Toc286168412"/>
      <w:bookmarkStart w:id="40" w:name="_Toc428439488"/>
      <w:bookmarkStart w:id="41" w:name="_Toc198809232"/>
    </w:p>
    <w:p>
      <w:pPr>
        <w:pStyle w:val="2"/>
        <w:numPr>
          <w:ilvl w:val="0"/>
          <w:numId w:val="2"/>
        </w:numPr>
        <w:snapToGrid w:val="0"/>
        <w:spacing w:before="0" w:after="240" w:line="360" w:lineRule="auto"/>
        <w:jc w:val="center"/>
        <w:rPr>
          <w:color w:val="000000"/>
          <w:sz w:val="32"/>
          <w:szCs w:val="32"/>
        </w:rPr>
      </w:pPr>
      <w:bookmarkStart w:id="42" w:name="_Toc20120"/>
      <w:bookmarkStart w:id="43" w:name="_Toc456610936"/>
      <w:r>
        <w:rPr>
          <w:rFonts w:hint="eastAsia"/>
          <w:color w:val="000000"/>
          <w:sz w:val="32"/>
          <w:szCs w:val="32"/>
        </w:rPr>
        <w:t>矿产品需求现状和预测</w:t>
      </w:r>
      <w:bookmarkEnd w:id="42"/>
      <w:bookmarkEnd w:id="43"/>
    </w:p>
    <w:p>
      <w:pPr>
        <w:keepNext/>
        <w:keepLines/>
        <w:numPr>
          <w:ilvl w:val="1"/>
          <w:numId w:val="2"/>
        </w:numPr>
        <w:spacing w:line="480" w:lineRule="auto"/>
        <w:outlineLvl w:val="1"/>
        <w:rPr>
          <w:rFonts w:ascii="宋体" w:hAnsi="宋体" w:cs="宋体"/>
          <w:b/>
          <w:bCs/>
          <w:color w:val="000000"/>
          <w:sz w:val="30"/>
          <w:szCs w:val="30"/>
        </w:rPr>
      </w:pPr>
      <w:bookmarkStart w:id="44" w:name="_Toc456610937"/>
      <w:bookmarkStart w:id="45" w:name="_Toc19963"/>
      <w:r>
        <w:rPr>
          <w:rFonts w:hint="eastAsia" w:ascii="宋体" w:hAnsi="宋体" w:cs="宋体"/>
          <w:b/>
          <w:bCs/>
          <w:color w:val="000000"/>
          <w:sz w:val="30"/>
          <w:szCs w:val="30"/>
        </w:rPr>
        <w:t>矿产品供需现状及预测</w:t>
      </w:r>
      <w:bookmarkEnd w:id="44"/>
      <w:bookmarkEnd w:id="45"/>
    </w:p>
    <w:p>
      <w:pPr>
        <w:numPr>
          <w:ilvl w:val="2"/>
          <w:numId w:val="2"/>
        </w:numPr>
        <w:spacing w:line="480" w:lineRule="auto"/>
        <w:outlineLvl w:val="2"/>
        <w:rPr>
          <w:rFonts w:ascii="宋体"/>
          <w:b/>
          <w:sz w:val="28"/>
          <w:szCs w:val="28"/>
        </w:rPr>
      </w:pPr>
      <w:r>
        <w:rPr>
          <w:rFonts w:hint="eastAsia" w:ascii="宋体"/>
          <w:b/>
          <w:sz w:val="28"/>
          <w:szCs w:val="28"/>
        </w:rPr>
        <w:t>矿产品现状及加工利用趋向</w:t>
      </w:r>
    </w:p>
    <w:bookmarkEnd w:id="37"/>
    <w:bookmarkEnd w:id="38"/>
    <w:bookmarkEnd w:id="39"/>
    <w:bookmarkEnd w:id="40"/>
    <w:bookmarkEnd w:id="41"/>
    <w:p>
      <w:pPr>
        <w:spacing w:line="360" w:lineRule="auto"/>
        <w:ind w:firstLine="480" w:firstLineChars="200"/>
        <w:rPr>
          <w:rFonts w:ascii="宋体" w:hAnsi="宋体"/>
          <w:sz w:val="24"/>
        </w:rPr>
      </w:pPr>
      <w:r>
        <w:rPr>
          <w:rFonts w:hint="eastAsia" w:ascii="宋体" w:hAnsi="宋体"/>
          <w:sz w:val="24"/>
          <w:lang w:eastAsia="zh-CN"/>
        </w:rPr>
        <w:t>********</w:t>
      </w:r>
      <w:r>
        <w:rPr>
          <w:rFonts w:ascii="宋体" w:hAnsi="宋体"/>
          <w:sz w:val="24"/>
        </w:rPr>
        <w:t>地处在我国西北的青藏高原上，山脉众多，各种矿产资源极其丰富。目前，我国国民经济飞速发展，人民生活水平的日益提高，随着西部大开发步伐的不断加快，各种建筑、建设工程全面展开，对各种原材料的需求不断增长，原材料的产量也不断增长。因此，本矿产品具有较大的竞争力，市场前景好。特别</w:t>
      </w:r>
      <w:r>
        <w:rPr>
          <w:rFonts w:hint="eastAsia" w:ascii="宋体" w:hAnsi="宋体"/>
          <w:sz w:val="24"/>
        </w:rPr>
        <w:t>是</w:t>
      </w:r>
      <w:r>
        <w:rPr>
          <w:rFonts w:ascii="宋体" w:hAnsi="宋体"/>
          <w:sz w:val="24"/>
        </w:rPr>
        <w:t>乡镇</w:t>
      </w:r>
      <w:r>
        <w:rPr>
          <w:rFonts w:hint="eastAsia" w:ascii="宋体" w:hAnsi="宋体"/>
          <w:sz w:val="24"/>
        </w:rPr>
        <w:t>、</w:t>
      </w:r>
      <w:r>
        <w:rPr>
          <w:rFonts w:ascii="宋体" w:hAnsi="宋体"/>
          <w:sz w:val="24"/>
        </w:rPr>
        <w:t>市政建设、交通和工业建设、民用和商用高层建筑都在发展迅速，对建筑碎石的需求也大幅增长，这为本企业的发展提供了可靠的发展空间。本地农村的建筑市</w:t>
      </w:r>
      <w:r>
        <w:rPr>
          <w:rFonts w:hint="eastAsia" w:ascii="宋体" w:hAnsi="宋体"/>
          <w:sz w:val="24"/>
        </w:rPr>
        <w:t>场也较为广阔，市场容量大，前景广阔。近年来，建筑碎石年产销量极大，经济收入可观，市场稳定，已成为本地的支柱性工业产业之一。</w:t>
      </w:r>
    </w:p>
    <w:p>
      <w:pPr>
        <w:spacing w:line="360" w:lineRule="auto"/>
        <w:ind w:firstLine="480" w:firstLineChars="200"/>
        <w:rPr>
          <w:rFonts w:ascii="宋体" w:hAnsi="宋体"/>
          <w:sz w:val="24"/>
        </w:rPr>
      </w:pPr>
      <w:r>
        <w:rPr>
          <w:rFonts w:hint="eastAsia" w:ascii="宋体" w:hAnsi="宋体"/>
          <w:sz w:val="24"/>
        </w:rPr>
        <w:t>随着</w:t>
      </w:r>
      <w:r>
        <w:rPr>
          <w:rFonts w:hint="eastAsia" w:ascii="宋体" w:hAnsi="宋体"/>
          <w:sz w:val="24"/>
          <w:lang w:eastAsia="zh-CN"/>
        </w:rPr>
        <w:t>********</w:t>
      </w:r>
      <w:r>
        <w:rPr>
          <w:rFonts w:hint="eastAsia" w:ascii="宋体" w:hAnsi="宋体"/>
          <w:sz w:val="24"/>
        </w:rPr>
        <w:t>的各类道路工程、住房建设、旅游设施、电力附属设施及矿山设施等投入不断加大，对建筑集料的需求量也在不断加大。砂石作为建筑材料有以下四个方面的用途：①作为配料制造灰砂砖，砂石的用量约占75%；②配制混凝土的集料，砂石的用量约占75%；③配制建筑砂浆，在砂浆中砂石与其他固体物质的体积比为5:1.44；④用于配制三合土。根据矿山砂石的岩矿组成，矿石质量及物理性能，本砂石矿产品主要用于后三种用途。</w:t>
      </w:r>
    </w:p>
    <w:p>
      <w:pPr>
        <w:spacing w:line="360" w:lineRule="auto"/>
        <w:ind w:firstLine="480" w:firstLineChars="200"/>
        <w:rPr>
          <w:rFonts w:ascii="宋体" w:hAnsi="宋体"/>
          <w:sz w:val="24"/>
        </w:rPr>
      </w:pPr>
      <w:r>
        <w:rPr>
          <w:rFonts w:hint="eastAsia" w:ascii="宋体" w:hAnsi="宋体"/>
          <w:sz w:val="24"/>
        </w:rPr>
        <w:t>目前，该项目还具有进一步开发潜力和增加产业链前景。根据砂岩矿矿石物理性能及本矿山的加工利用情况，采出的原矿石，进行破碎加工可直接外售，矿石主要用于房屋建筑、市政工程、兴修公路桥梁等。建筑用石料产品需求量较大，市场销售情况较好。</w:t>
      </w:r>
    </w:p>
    <w:p>
      <w:pPr>
        <w:numPr>
          <w:ilvl w:val="2"/>
          <w:numId w:val="2"/>
        </w:numPr>
        <w:spacing w:line="360" w:lineRule="auto"/>
        <w:outlineLvl w:val="2"/>
        <w:rPr>
          <w:rFonts w:ascii="宋体"/>
          <w:b/>
          <w:sz w:val="28"/>
          <w:szCs w:val="28"/>
        </w:rPr>
      </w:pPr>
      <w:r>
        <w:rPr>
          <w:rFonts w:hint="eastAsia" w:ascii="宋体"/>
          <w:b/>
          <w:sz w:val="28"/>
          <w:szCs w:val="28"/>
        </w:rPr>
        <w:t>矿产品需求和主要销向预测</w:t>
      </w:r>
    </w:p>
    <w:p>
      <w:pPr>
        <w:spacing w:line="360" w:lineRule="auto"/>
        <w:ind w:firstLine="480" w:firstLineChars="200"/>
        <w:rPr>
          <w:sz w:val="24"/>
        </w:rPr>
      </w:pPr>
      <w:bookmarkStart w:id="46" w:name="_Toc456610938"/>
      <w:r>
        <w:rPr>
          <w:rFonts w:hint="eastAsia" w:ascii="宋体" w:hAnsi="宋体"/>
          <w:sz w:val="24"/>
        </w:rPr>
        <w:t>经市场调查，</w:t>
      </w:r>
      <w:r>
        <w:rPr>
          <w:rFonts w:hint="eastAsia" w:ascii="宋体" w:hAnsi="宋体"/>
          <w:sz w:val="24"/>
          <w:lang w:eastAsia="zh-CN"/>
        </w:rPr>
        <w:t>********</w:t>
      </w:r>
      <w:r>
        <w:rPr>
          <w:rFonts w:hint="eastAsia" w:ascii="宋体" w:hAnsi="宋体"/>
          <w:sz w:val="24"/>
        </w:rPr>
        <w:t>的各类道路工程、住房建设、旅游设施、电力附属设施、矿山设施及村级硬化路等对砂石类矿产品的需求量为150万m</w:t>
      </w:r>
      <w:r>
        <w:rPr>
          <w:rFonts w:hint="eastAsia" w:ascii="宋体" w:hAnsi="宋体"/>
          <w:sz w:val="24"/>
          <w:vertAlign w:val="superscript"/>
        </w:rPr>
        <w:t>3</w:t>
      </w:r>
      <w:r>
        <w:rPr>
          <w:rFonts w:hint="eastAsia" w:ascii="宋体" w:hAnsi="宋体"/>
          <w:sz w:val="24"/>
        </w:rPr>
        <w:t>左右。随着社会经济的发展，国家、省及当地对电力、矿业、旅游、环保及民生设施方面的投入不断加大，</w:t>
      </w:r>
      <w:r>
        <w:rPr>
          <w:rFonts w:hint="eastAsia"/>
          <w:sz w:val="24"/>
        </w:rPr>
        <w:t>建筑用砂的需求也随之增大。在未来的一段时间内，对建筑用砂岩需求量仍处于供不应求的状态，</w:t>
      </w:r>
      <w:r>
        <w:rPr>
          <w:rFonts w:hint="eastAsia" w:ascii="宋体" w:hAnsi="宋体"/>
          <w:sz w:val="24"/>
        </w:rPr>
        <w:t>市场前景较为乐观。</w:t>
      </w:r>
    </w:p>
    <w:p>
      <w:pPr>
        <w:keepNext/>
        <w:keepLines/>
        <w:numPr>
          <w:ilvl w:val="1"/>
          <w:numId w:val="2"/>
        </w:numPr>
        <w:spacing w:line="480" w:lineRule="auto"/>
        <w:outlineLvl w:val="1"/>
        <w:rPr>
          <w:rFonts w:ascii="宋体" w:hAnsi="宋体" w:cs="宋体"/>
          <w:b/>
          <w:bCs/>
          <w:color w:val="000000"/>
          <w:sz w:val="30"/>
          <w:szCs w:val="30"/>
        </w:rPr>
      </w:pPr>
      <w:bookmarkStart w:id="47" w:name="_Toc26703"/>
      <w:r>
        <w:rPr>
          <w:rFonts w:hint="eastAsia" w:ascii="宋体" w:hAnsi="宋体" w:cs="宋体"/>
          <w:b/>
          <w:bCs/>
          <w:color w:val="000000"/>
          <w:sz w:val="30"/>
          <w:szCs w:val="30"/>
        </w:rPr>
        <w:t>产品</w:t>
      </w:r>
      <w:r>
        <w:rPr>
          <w:rFonts w:ascii="宋体" w:hAnsi="宋体" w:cs="宋体"/>
          <w:b/>
          <w:bCs/>
          <w:color w:val="000000"/>
          <w:sz w:val="30"/>
          <w:szCs w:val="30"/>
        </w:rPr>
        <w:t>价格分析</w:t>
      </w:r>
      <w:bookmarkEnd w:id="46"/>
      <w:bookmarkEnd w:id="47"/>
    </w:p>
    <w:p>
      <w:pPr>
        <w:numPr>
          <w:ilvl w:val="2"/>
          <w:numId w:val="2"/>
        </w:numPr>
        <w:spacing w:line="480" w:lineRule="auto"/>
        <w:outlineLvl w:val="2"/>
        <w:rPr>
          <w:rFonts w:ascii="宋体"/>
          <w:b/>
          <w:sz w:val="28"/>
          <w:szCs w:val="28"/>
        </w:rPr>
      </w:pPr>
      <w:r>
        <w:rPr>
          <w:rFonts w:hint="eastAsia" w:ascii="宋体"/>
          <w:b/>
          <w:sz w:val="28"/>
          <w:szCs w:val="28"/>
        </w:rPr>
        <w:t>产品价格现状</w:t>
      </w:r>
    </w:p>
    <w:p>
      <w:pPr>
        <w:spacing w:line="360" w:lineRule="auto"/>
        <w:ind w:firstLine="480" w:firstLineChars="200"/>
        <w:rPr>
          <w:rFonts w:ascii="宋体" w:hAnsi="宋体"/>
          <w:sz w:val="24"/>
        </w:rPr>
      </w:pPr>
      <w:r>
        <w:rPr>
          <w:rFonts w:ascii="宋体" w:hAnsi="宋体"/>
          <w:sz w:val="24"/>
        </w:rPr>
        <w:t>建筑</w:t>
      </w:r>
      <w:r>
        <w:rPr>
          <w:rFonts w:hint="eastAsia" w:ascii="宋体" w:hAnsi="宋体"/>
          <w:sz w:val="24"/>
        </w:rPr>
        <w:t>石料</w:t>
      </w:r>
      <w:r>
        <w:rPr>
          <w:rFonts w:ascii="宋体" w:hAnsi="宋体"/>
          <w:sz w:val="24"/>
        </w:rPr>
        <w:t>用</w:t>
      </w:r>
      <w:r>
        <w:rPr>
          <w:rFonts w:hint="eastAsia" w:ascii="宋体" w:hAnsi="宋体"/>
          <w:sz w:val="24"/>
        </w:rPr>
        <w:t>砂岩矿做</w:t>
      </w:r>
      <w:r>
        <w:rPr>
          <w:rFonts w:ascii="宋体" w:hAnsi="宋体"/>
          <w:sz w:val="24"/>
        </w:rPr>
        <w:t>为一种低端的矿产品，其价格始终处于较低的水平，因地区资源的丰富程度及质量等因素的影响，建筑</w:t>
      </w:r>
      <w:r>
        <w:rPr>
          <w:rFonts w:hint="eastAsia" w:ascii="宋体" w:hAnsi="宋体"/>
          <w:sz w:val="24"/>
        </w:rPr>
        <w:t>石料</w:t>
      </w:r>
      <w:r>
        <w:rPr>
          <w:rFonts w:ascii="宋体" w:hAnsi="宋体"/>
          <w:sz w:val="24"/>
        </w:rPr>
        <w:t>用</w:t>
      </w:r>
      <w:r>
        <w:rPr>
          <w:rFonts w:hint="eastAsia" w:ascii="宋体" w:hAnsi="宋体"/>
          <w:sz w:val="24"/>
        </w:rPr>
        <w:t>砂岩矿</w:t>
      </w:r>
      <w:r>
        <w:rPr>
          <w:rFonts w:ascii="宋体" w:hAnsi="宋体"/>
          <w:sz w:val="24"/>
        </w:rPr>
        <w:t>的价格亦不相同。</w:t>
      </w:r>
      <w:r>
        <w:rPr>
          <w:rFonts w:hint="eastAsia" w:ascii="宋体" w:hAnsi="宋体"/>
          <w:sz w:val="24"/>
        </w:rPr>
        <w:t>本项目是为当地新农村建设而设，主要为周边乡村提供混凝土集料用砂及碎石，以解决当地砖混民用建筑及村级混凝土硬化道路对建筑用砂及碎石的需求，销售市场看好。矿区内部建设条件优越，外部交通便利，产品可向其周边地区销售，销售市场前景比较广阔，产品销售不成问题。从近三年周边矿山销售情况来看</w:t>
      </w:r>
      <w:r>
        <w:rPr>
          <w:rFonts w:ascii="宋体" w:hAnsi="宋体"/>
          <w:sz w:val="24"/>
        </w:rPr>
        <w:t>，目前</w:t>
      </w:r>
      <w:r>
        <w:rPr>
          <w:rFonts w:hint="eastAsia" w:ascii="宋体" w:hAnsi="宋体"/>
          <w:sz w:val="24"/>
          <w:lang w:eastAsia="zh-CN"/>
        </w:rPr>
        <w:t>********</w:t>
      </w:r>
      <w:r>
        <w:rPr>
          <w:rFonts w:hint="eastAsia" w:ascii="宋体" w:hAnsi="宋体"/>
          <w:sz w:val="24"/>
        </w:rPr>
        <w:t>及周边地区</w:t>
      </w:r>
      <w:r>
        <w:rPr>
          <w:rFonts w:ascii="宋体" w:hAnsi="宋体"/>
          <w:sz w:val="24"/>
        </w:rPr>
        <w:t>的砂石（建筑石料）价格为45～5</w:t>
      </w:r>
      <w:r>
        <w:rPr>
          <w:rFonts w:hint="eastAsia" w:ascii="宋体" w:hAnsi="宋体"/>
          <w:sz w:val="24"/>
        </w:rPr>
        <w:t>5</w:t>
      </w:r>
      <w:r>
        <w:rPr>
          <w:rFonts w:ascii="宋体" w:hAnsi="宋体"/>
          <w:sz w:val="24"/>
        </w:rPr>
        <w:t>元／m</w:t>
      </w:r>
      <w:r>
        <w:rPr>
          <w:rFonts w:ascii="宋体" w:hAnsi="宋体"/>
          <w:sz w:val="24"/>
          <w:vertAlign w:val="superscript"/>
        </w:rPr>
        <w:t>3</w:t>
      </w:r>
      <w:r>
        <w:rPr>
          <w:rFonts w:ascii="宋体" w:hAnsi="宋体"/>
          <w:sz w:val="24"/>
        </w:rPr>
        <w:t>。</w:t>
      </w:r>
    </w:p>
    <w:p>
      <w:pPr>
        <w:numPr>
          <w:ilvl w:val="2"/>
          <w:numId w:val="2"/>
        </w:numPr>
        <w:spacing w:line="480" w:lineRule="auto"/>
        <w:outlineLvl w:val="2"/>
        <w:rPr>
          <w:rFonts w:ascii="宋体"/>
          <w:b/>
          <w:sz w:val="28"/>
          <w:szCs w:val="28"/>
        </w:rPr>
      </w:pPr>
      <w:r>
        <w:rPr>
          <w:rFonts w:hint="eastAsia" w:ascii="宋体"/>
          <w:b/>
          <w:sz w:val="28"/>
          <w:szCs w:val="28"/>
        </w:rPr>
        <w:t>价格稳定性分析</w:t>
      </w:r>
    </w:p>
    <w:p>
      <w:pPr>
        <w:spacing w:line="360" w:lineRule="auto"/>
        <w:ind w:firstLine="616" w:firstLineChars="257"/>
        <w:contextualSpacing/>
        <w:jc w:val="left"/>
        <w:rPr>
          <w:rFonts w:ascii="宋体" w:hAnsi="宋体"/>
          <w:sz w:val="24"/>
        </w:rPr>
      </w:pPr>
      <w:r>
        <w:rPr>
          <w:rFonts w:hint="eastAsia" w:ascii="宋体" w:hAnsi="宋体"/>
          <w:sz w:val="24"/>
        </w:rPr>
        <w:t>综合当地近几年建筑石料用砂岩矿的销售价格来看，一直处于稳中有涨的态势。今年</w:t>
      </w:r>
      <w:r>
        <w:rPr>
          <w:rFonts w:ascii="宋体" w:hAnsi="宋体"/>
          <w:sz w:val="24"/>
        </w:rPr>
        <w:t>较之201</w:t>
      </w:r>
      <w:r>
        <w:rPr>
          <w:rFonts w:hint="eastAsia" w:ascii="宋体" w:hAnsi="宋体"/>
          <w:sz w:val="24"/>
        </w:rPr>
        <w:t>6</w:t>
      </w:r>
      <w:r>
        <w:rPr>
          <w:rFonts w:ascii="宋体" w:hAnsi="宋体"/>
          <w:sz w:val="24"/>
        </w:rPr>
        <w:t>年</w:t>
      </w:r>
      <w:r>
        <w:rPr>
          <w:rFonts w:hint="eastAsia" w:ascii="宋体" w:hAnsi="宋体"/>
          <w:sz w:val="24"/>
        </w:rPr>
        <w:t>又</w:t>
      </w:r>
      <w:r>
        <w:rPr>
          <w:rFonts w:ascii="宋体" w:hAnsi="宋体"/>
          <w:sz w:val="24"/>
        </w:rPr>
        <w:t>略有上涨。</w:t>
      </w:r>
      <w:r>
        <w:rPr>
          <w:rFonts w:hint="eastAsia" w:ascii="宋体" w:hAnsi="宋体"/>
          <w:sz w:val="24"/>
        </w:rPr>
        <w:t>目前，当地销售价格在60元/m</w:t>
      </w:r>
      <w:r>
        <w:rPr>
          <w:rFonts w:hint="eastAsia" w:ascii="宋体" w:hAnsi="宋体"/>
          <w:sz w:val="24"/>
          <w:vertAlign w:val="superscript"/>
        </w:rPr>
        <w:t>3</w:t>
      </w:r>
      <w:r>
        <w:rPr>
          <w:rFonts w:ascii="宋体" w:hAnsi="宋体"/>
          <w:sz w:val="24"/>
        </w:rPr>
        <w:t>左右。</w:t>
      </w:r>
      <w:bookmarkStart w:id="48" w:name="_Toc286168413"/>
      <w:bookmarkStart w:id="49" w:name="_Toc4067"/>
      <w:bookmarkStart w:id="50" w:name="_Toc198809233"/>
      <w:bookmarkStart w:id="51" w:name="_Toc154392559"/>
      <w:bookmarkStart w:id="52" w:name="_Toc428439489"/>
    </w:p>
    <w:p>
      <w:pPr>
        <w:pStyle w:val="2"/>
        <w:snapToGrid w:val="0"/>
        <w:spacing w:before="0" w:after="240" w:line="360" w:lineRule="auto"/>
        <w:jc w:val="center"/>
        <w:rPr>
          <w:color w:val="000000"/>
          <w:sz w:val="32"/>
          <w:szCs w:val="32"/>
        </w:rPr>
        <w:sectPr>
          <w:pgSz w:w="11900" w:h="16840"/>
          <w:pgMar w:top="1440" w:right="1800" w:bottom="1440" w:left="1800" w:header="851" w:footer="992" w:gutter="0"/>
          <w:cols w:space="720" w:num="1"/>
          <w:docGrid w:type="lines" w:linePitch="312" w:charSpace="0"/>
        </w:sectPr>
      </w:pPr>
    </w:p>
    <w:p>
      <w:pPr>
        <w:pStyle w:val="2"/>
        <w:numPr>
          <w:ilvl w:val="0"/>
          <w:numId w:val="2"/>
        </w:numPr>
        <w:snapToGrid w:val="0"/>
        <w:spacing w:before="0" w:after="240" w:line="360" w:lineRule="auto"/>
        <w:jc w:val="center"/>
        <w:rPr>
          <w:color w:val="000000"/>
          <w:sz w:val="32"/>
          <w:szCs w:val="32"/>
        </w:rPr>
      </w:pPr>
      <w:bookmarkStart w:id="53" w:name="_Toc29717"/>
      <w:bookmarkStart w:id="54" w:name="_Toc456610939"/>
      <w:r>
        <w:rPr>
          <w:rFonts w:hint="eastAsia"/>
          <w:color w:val="000000"/>
          <w:sz w:val="32"/>
          <w:szCs w:val="32"/>
        </w:rPr>
        <w:t>矿产资源概况</w:t>
      </w:r>
      <w:bookmarkEnd w:id="53"/>
      <w:bookmarkEnd w:id="54"/>
    </w:p>
    <w:p>
      <w:pPr>
        <w:keepNext/>
        <w:keepLines/>
        <w:numPr>
          <w:ilvl w:val="1"/>
          <w:numId w:val="2"/>
        </w:numPr>
        <w:spacing w:line="480" w:lineRule="auto"/>
        <w:outlineLvl w:val="1"/>
        <w:rPr>
          <w:rFonts w:ascii="宋体" w:hAnsi="宋体" w:cs="宋体"/>
          <w:b/>
          <w:bCs/>
          <w:color w:val="000000"/>
          <w:sz w:val="30"/>
          <w:szCs w:val="30"/>
        </w:rPr>
      </w:pPr>
      <w:bookmarkStart w:id="55" w:name="_Toc26606"/>
      <w:bookmarkStart w:id="56" w:name="_Toc456610940"/>
      <w:r>
        <w:rPr>
          <w:rFonts w:ascii="宋体" w:hAnsi="宋体" w:cs="宋体"/>
          <w:b/>
          <w:bCs/>
          <w:color w:val="000000"/>
          <w:sz w:val="30"/>
          <w:szCs w:val="30"/>
        </w:rPr>
        <w:t>矿区总体概况</w:t>
      </w:r>
      <w:bookmarkEnd w:id="55"/>
      <w:bookmarkEnd w:id="56"/>
    </w:p>
    <w:p>
      <w:pPr>
        <w:numPr>
          <w:ilvl w:val="2"/>
          <w:numId w:val="2"/>
        </w:numPr>
        <w:spacing w:line="480" w:lineRule="auto"/>
        <w:outlineLvl w:val="2"/>
        <w:rPr>
          <w:rFonts w:ascii="宋体"/>
          <w:b/>
          <w:sz w:val="28"/>
          <w:szCs w:val="28"/>
        </w:rPr>
      </w:pPr>
      <w:r>
        <w:rPr>
          <w:rFonts w:hint="eastAsia" w:ascii="宋体"/>
          <w:b/>
          <w:sz w:val="28"/>
          <w:szCs w:val="28"/>
        </w:rPr>
        <w:t>矿区总体规划情况</w:t>
      </w:r>
    </w:p>
    <w:bookmarkEnd w:id="48"/>
    <w:bookmarkEnd w:id="49"/>
    <w:bookmarkEnd w:id="50"/>
    <w:bookmarkEnd w:id="51"/>
    <w:bookmarkEnd w:id="52"/>
    <w:p>
      <w:pPr>
        <w:spacing w:line="360" w:lineRule="auto"/>
        <w:ind w:firstLine="480" w:firstLineChars="200"/>
        <w:rPr>
          <w:rFonts w:ascii="宋体" w:hAnsi="宋体"/>
          <w:sz w:val="24"/>
        </w:rPr>
      </w:pPr>
      <w:bookmarkStart w:id="57" w:name="_Hlt90294966"/>
      <w:bookmarkEnd w:id="57"/>
      <w:bookmarkStart w:id="58" w:name="OLE_LINK229"/>
      <w:bookmarkStart w:id="59" w:name="OLE_LINK228"/>
      <w:bookmarkStart w:id="60" w:name="OLE_LINK257"/>
      <w:bookmarkStart w:id="61" w:name="OLE_LINK256"/>
      <w:bookmarkStart w:id="62" w:name="OLE_LINK329"/>
      <w:bookmarkStart w:id="63" w:name="OLE_LINK14"/>
      <w:bookmarkStart w:id="64" w:name="_Toc361300352"/>
      <w:bookmarkStart w:id="65" w:name="_Toc238022085"/>
      <w:bookmarkStart w:id="66" w:name="_Toc238260888"/>
      <w:bookmarkStart w:id="67" w:name="_Toc238260941"/>
      <w:bookmarkStart w:id="68" w:name="_Toc238261055"/>
      <w:bookmarkStart w:id="69" w:name="_Toc238261002"/>
      <w:bookmarkStart w:id="70" w:name="_Toc238022087"/>
      <w:bookmarkStart w:id="71" w:name="_Toc238261057"/>
      <w:bookmarkStart w:id="72" w:name="_Toc428439491"/>
      <w:bookmarkStart w:id="73" w:name="_Toc245440567"/>
      <w:bookmarkStart w:id="74" w:name="_Toc238260943"/>
      <w:bookmarkStart w:id="75" w:name="_Toc286168415"/>
      <w:bookmarkStart w:id="76" w:name="_Toc361300363"/>
      <w:bookmarkStart w:id="77" w:name="_Toc24245"/>
      <w:bookmarkStart w:id="78" w:name="_Toc154392561"/>
      <w:bookmarkStart w:id="79" w:name="_Toc198809235"/>
      <w:bookmarkStart w:id="80" w:name="_Toc238261004"/>
      <w:bookmarkStart w:id="81" w:name="_Toc238260890"/>
      <w:bookmarkStart w:id="82" w:name="_Toc316994333"/>
      <w:r>
        <w:rPr>
          <w:rFonts w:hint="eastAsia" w:ascii="宋体" w:hAnsi="宋体"/>
          <w:sz w:val="24"/>
        </w:rPr>
        <w:t>采矿权范围东西宽167.8m,南北长123m，面积0.0167km</w:t>
      </w:r>
      <w:r>
        <w:rPr>
          <w:rFonts w:hint="eastAsia" w:ascii="宋体" w:hAnsi="宋体"/>
          <w:sz w:val="24"/>
          <w:vertAlign w:val="superscript"/>
        </w:rPr>
        <w:t>2</w:t>
      </w:r>
      <w:r>
        <w:rPr>
          <w:rFonts w:hint="eastAsia" w:ascii="宋体" w:hAnsi="宋体"/>
          <w:sz w:val="24"/>
        </w:rPr>
        <w:t>,由6个拐点连线围成，各点坐标见表3-1</w:t>
      </w:r>
      <w:bookmarkStart w:id="83" w:name="OLE_LINK226"/>
      <w:bookmarkStart w:id="84" w:name="OLE_LINK227"/>
      <w:r>
        <w:rPr>
          <w:rFonts w:hint="eastAsia" w:ascii="宋体" w:hAnsi="宋体"/>
          <w:sz w:val="24"/>
        </w:rPr>
        <w:t>。</w:t>
      </w:r>
      <w:bookmarkEnd w:id="83"/>
      <w:bookmarkEnd w:id="84"/>
    </w:p>
    <w:p>
      <w:pPr>
        <w:snapToGrid w:val="0"/>
        <w:spacing w:line="240" w:lineRule="atLeast"/>
        <w:jc w:val="center"/>
        <w:rPr>
          <w:rFonts w:ascii="宋体" w:hAnsi="宋体"/>
          <w:b/>
          <w:szCs w:val="21"/>
        </w:rPr>
      </w:pPr>
      <w:r>
        <w:rPr>
          <w:rFonts w:hint="eastAsia" w:ascii="宋体" w:hAnsi="宋体"/>
          <w:b/>
          <w:szCs w:val="21"/>
        </w:rPr>
        <w:t xml:space="preserve">表3-1   </w:t>
      </w:r>
      <w:bookmarkEnd w:id="58"/>
      <w:bookmarkEnd w:id="59"/>
      <w:bookmarkEnd w:id="60"/>
      <w:bookmarkEnd w:id="61"/>
      <w:r>
        <w:rPr>
          <w:rFonts w:hint="eastAsia" w:ascii="宋体" w:hAnsi="宋体"/>
          <w:b/>
          <w:szCs w:val="21"/>
        </w:rPr>
        <w:t>矿区范围拐点坐标表</w:t>
      </w:r>
      <w:bookmarkEnd w:id="62"/>
      <w:bookmarkEnd w:id="63"/>
    </w:p>
    <w:tbl>
      <w:tblPr>
        <w:tblStyle w:val="59"/>
        <w:tblW w:w="8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735"/>
        <w:gridCol w:w="1832"/>
        <w:gridCol w:w="2019"/>
        <w:gridCol w:w="1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044" w:type="dxa"/>
            <w:vMerge w:val="restart"/>
            <w:vAlign w:val="center"/>
          </w:tcPr>
          <w:p>
            <w:pPr>
              <w:jc w:val="center"/>
              <w:rPr>
                <w:rFonts w:ascii="Calibri"/>
                <w:szCs w:val="21"/>
              </w:rPr>
            </w:pPr>
            <w:r>
              <w:rPr>
                <w:rFonts w:hint="eastAsia" w:ascii="Calibri"/>
                <w:szCs w:val="21"/>
              </w:rPr>
              <w:t>序号</w:t>
            </w:r>
          </w:p>
        </w:tc>
        <w:tc>
          <w:tcPr>
            <w:tcW w:w="3567" w:type="dxa"/>
            <w:gridSpan w:val="2"/>
            <w:vAlign w:val="center"/>
          </w:tcPr>
          <w:p>
            <w:pPr>
              <w:jc w:val="center"/>
              <w:rPr>
                <w:rFonts w:ascii="Calibri"/>
                <w:szCs w:val="21"/>
              </w:rPr>
            </w:pPr>
            <w:r>
              <w:rPr>
                <w:rFonts w:hint="eastAsia" w:ascii="Calibri"/>
                <w:szCs w:val="21"/>
                <w:lang w:val="zh-TW"/>
              </w:rPr>
              <w:t>1980</w:t>
            </w:r>
            <w:r>
              <w:rPr>
                <w:rFonts w:hint="eastAsia" w:ascii="Calibri"/>
                <w:szCs w:val="21"/>
              </w:rPr>
              <w:t>西安坐标系（3°带）第</w:t>
            </w:r>
            <w:r>
              <w:rPr>
                <w:rFonts w:hint="eastAsia" w:ascii="Calibri"/>
                <w:szCs w:val="21"/>
                <w:lang w:val="zh-TW"/>
              </w:rPr>
              <w:t>34</w:t>
            </w:r>
            <w:r>
              <w:rPr>
                <w:rFonts w:hint="eastAsia" w:ascii="Calibri"/>
                <w:szCs w:val="21"/>
              </w:rPr>
              <w:t>带</w:t>
            </w:r>
          </w:p>
        </w:tc>
        <w:tc>
          <w:tcPr>
            <w:tcW w:w="3903" w:type="dxa"/>
            <w:gridSpan w:val="2"/>
            <w:vAlign w:val="center"/>
          </w:tcPr>
          <w:p>
            <w:pPr>
              <w:jc w:val="center"/>
              <w:rPr>
                <w:rFonts w:ascii="Calibri"/>
                <w:szCs w:val="21"/>
              </w:rPr>
            </w:pPr>
            <w:r>
              <w:rPr>
                <w:rFonts w:hint="eastAsia" w:ascii="Calibri"/>
                <w:szCs w:val="21"/>
              </w:rPr>
              <w:t>地理坐标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044" w:type="dxa"/>
            <w:vMerge w:val="continue"/>
            <w:vAlign w:val="center"/>
          </w:tcPr>
          <w:p>
            <w:pPr>
              <w:jc w:val="center"/>
              <w:rPr>
                <w:rFonts w:ascii="Calibri"/>
                <w:szCs w:val="21"/>
              </w:rPr>
            </w:pPr>
          </w:p>
        </w:tc>
        <w:tc>
          <w:tcPr>
            <w:tcW w:w="1735" w:type="dxa"/>
            <w:vAlign w:val="center"/>
          </w:tcPr>
          <w:p>
            <w:pPr>
              <w:jc w:val="center"/>
              <w:rPr>
                <w:rFonts w:ascii="Calibri"/>
                <w:szCs w:val="21"/>
                <w:lang w:val="fr-FR"/>
              </w:rPr>
            </w:pPr>
            <w:r>
              <w:rPr>
                <w:rFonts w:hint="eastAsia" w:ascii="Calibri"/>
                <w:szCs w:val="21"/>
                <w:lang w:val="fr-FR"/>
              </w:rPr>
              <w:t>X</w:t>
            </w:r>
          </w:p>
        </w:tc>
        <w:tc>
          <w:tcPr>
            <w:tcW w:w="1832" w:type="dxa"/>
            <w:vAlign w:val="center"/>
          </w:tcPr>
          <w:p>
            <w:pPr>
              <w:jc w:val="center"/>
              <w:rPr>
                <w:rFonts w:ascii="Calibri"/>
                <w:szCs w:val="21"/>
              </w:rPr>
            </w:pPr>
            <w:r>
              <w:rPr>
                <w:rFonts w:hint="eastAsia" w:ascii="Calibri"/>
                <w:szCs w:val="21"/>
                <w:lang w:val="fr-FR"/>
              </w:rPr>
              <w:t>Y</w:t>
            </w:r>
          </w:p>
        </w:tc>
        <w:tc>
          <w:tcPr>
            <w:tcW w:w="2019" w:type="dxa"/>
            <w:vAlign w:val="center"/>
          </w:tcPr>
          <w:p>
            <w:pPr>
              <w:jc w:val="center"/>
              <w:rPr>
                <w:rFonts w:ascii="Calibri"/>
                <w:szCs w:val="21"/>
                <w:lang w:val="fr-FR"/>
              </w:rPr>
            </w:pPr>
            <w:r>
              <w:rPr>
                <w:rFonts w:hint="eastAsia" w:ascii="Calibri"/>
                <w:szCs w:val="21"/>
                <w:lang w:val="fr-FR"/>
              </w:rPr>
              <w:t>经度</w:t>
            </w:r>
          </w:p>
        </w:tc>
        <w:tc>
          <w:tcPr>
            <w:tcW w:w="1884" w:type="dxa"/>
            <w:vAlign w:val="center"/>
          </w:tcPr>
          <w:p>
            <w:pPr>
              <w:jc w:val="center"/>
              <w:rPr>
                <w:rFonts w:ascii="Calibri"/>
                <w:szCs w:val="21"/>
                <w:lang w:val="fr-FR"/>
              </w:rPr>
            </w:pPr>
            <w:r>
              <w:rPr>
                <w:rFonts w:hint="eastAsia" w:ascii="Calibri"/>
                <w:szCs w:val="21"/>
                <w:lang w:val="fr-FR"/>
              </w:rPr>
              <w:t>纬度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8514" w:type="dxa"/>
            <w:gridSpan w:val="5"/>
            <w:vAlign w:val="center"/>
          </w:tcPr>
          <w:p>
            <w:pPr>
              <w:jc w:val="center"/>
              <w:rPr>
                <w:rFonts w:ascii="Calibri"/>
                <w:szCs w:val="21"/>
              </w:rPr>
            </w:pPr>
            <w:r>
              <w:rPr>
                <w:rFonts w:hint="eastAsia" w:ascii="Calibri"/>
                <w:szCs w:val="21"/>
              </w:rPr>
              <w:t>开采深度：</w:t>
            </w:r>
            <w:r>
              <w:rPr>
                <w:rFonts w:hint="eastAsia" w:ascii="Calibri"/>
                <w:szCs w:val="21"/>
                <w:lang w:val="zh-TW"/>
              </w:rPr>
              <w:t>2542</w:t>
            </w:r>
            <w:r>
              <w:rPr>
                <w:rFonts w:hint="eastAsia" w:ascii="Calibri"/>
                <w:szCs w:val="21"/>
              </w:rPr>
              <w:t>〜2475m标高，面积：0.0167km</w:t>
            </w:r>
            <w:r>
              <w:rPr>
                <w:rFonts w:hint="eastAsia" w:ascii="Calibri"/>
                <w:szCs w:val="21"/>
                <w:vertAlign w:val="superscript"/>
              </w:rPr>
              <w:t>2</w:t>
            </w:r>
          </w:p>
        </w:tc>
      </w:tr>
    </w:tbl>
    <w:p>
      <w:pPr>
        <w:numPr>
          <w:ilvl w:val="2"/>
          <w:numId w:val="2"/>
        </w:numPr>
        <w:spacing w:line="480" w:lineRule="auto"/>
        <w:outlineLvl w:val="2"/>
        <w:rPr>
          <w:rFonts w:ascii="宋体"/>
          <w:b/>
          <w:sz w:val="28"/>
          <w:szCs w:val="28"/>
        </w:rPr>
      </w:pPr>
      <w:r>
        <w:rPr>
          <w:rFonts w:hint="eastAsia" w:ascii="宋体"/>
          <w:b/>
          <w:sz w:val="28"/>
          <w:szCs w:val="28"/>
        </w:rPr>
        <w:t>矿区矿产资源概况</w:t>
      </w:r>
    </w:p>
    <w:p>
      <w:pPr>
        <w:spacing w:line="360" w:lineRule="auto"/>
        <w:ind w:firstLine="480" w:firstLineChars="200"/>
        <w:rPr>
          <w:rFonts w:ascii="宋体" w:hAnsi="宋体"/>
          <w:sz w:val="24"/>
        </w:rPr>
      </w:pPr>
      <w:r>
        <w:rPr>
          <w:rFonts w:hint="eastAsia" w:ascii="宋体" w:hAnsi="宋体"/>
          <w:sz w:val="24"/>
          <w:lang w:eastAsia="zh-CN"/>
        </w:rPr>
        <w:t>********</w:t>
      </w:r>
      <w:r>
        <w:rPr>
          <w:rFonts w:ascii="宋体" w:hAnsi="宋体"/>
          <w:sz w:val="24"/>
        </w:rPr>
        <w:t>于201</w:t>
      </w:r>
      <w:r>
        <w:rPr>
          <w:rFonts w:hint="eastAsia" w:ascii="宋体" w:hAnsi="宋体"/>
          <w:sz w:val="24"/>
        </w:rPr>
        <w:t>3</w:t>
      </w:r>
      <w:r>
        <w:rPr>
          <w:rFonts w:ascii="宋体" w:hAnsi="宋体"/>
          <w:sz w:val="24"/>
        </w:rPr>
        <w:t>年</w:t>
      </w:r>
      <w:r>
        <w:rPr>
          <w:rFonts w:hint="eastAsia" w:ascii="宋体" w:hAnsi="宋体"/>
          <w:sz w:val="24"/>
        </w:rPr>
        <w:t>7</w:t>
      </w:r>
      <w:r>
        <w:rPr>
          <w:rFonts w:ascii="宋体" w:hAnsi="宋体"/>
          <w:sz w:val="24"/>
        </w:rPr>
        <w:t>月编写的《</w:t>
      </w:r>
      <w:r>
        <w:rPr>
          <w:rFonts w:hint="eastAsia" w:ascii="宋体" w:hAnsi="宋体" w:cs="仿宋"/>
          <w:sz w:val="24"/>
          <w:lang w:eastAsia="zh-CN"/>
        </w:rPr>
        <w:t>********</w:t>
      </w:r>
      <w:r>
        <w:rPr>
          <w:rFonts w:hint="eastAsia" w:ascii="宋体" w:hAnsi="宋体" w:cs="仿宋"/>
          <w:sz w:val="24"/>
        </w:rPr>
        <w:t>砂石矿资源量估算报告</w:t>
      </w:r>
      <w:r>
        <w:rPr>
          <w:rFonts w:ascii="宋体" w:hAnsi="宋体"/>
          <w:sz w:val="24"/>
        </w:rPr>
        <w:t>》，估算矿石矿资源量（334）</w:t>
      </w:r>
      <w:r>
        <w:rPr>
          <w:rFonts w:hint="eastAsia" w:ascii="宋体" w:hAnsi="宋体"/>
          <w:sz w:val="24"/>
        </w:rPr>
        <w:t>23.88</w:t>
      </w:r>
      <w:r>
        <w:rPr>
          <w:rFonts w:ascii="宋体" w:hAnsi="宋体"/>
          <w:sz w:val="24"/>
        </w:rPr>
        <w:t>万</w:t>
      </w:r>
      <w:r>
        <w:rPr>
          <w:rFonts w:hint="eastAsia" w:ascii="宋体" w:hAnsi="宋体" w:cs="宋体"/>
          <w:sz w:val="24"/>
        </w:rPr>
        <w:t>m</w:t>
      </w:r>
      <w:r>
        <w:rPr>
          <w:rFonts w:hint="eastAsia" w:ascii="宋体" w:hAnsi="宋体" w:cs="宋体"/>
          <w:sz w:val="24"/>
          <w:vertAlign w:val="superscript"/>
        </w:rPr>
        <w:t>3</w:t>
      </w:r>
      <w:r>
        <w:rPr>
          <w:rFonts w:ascii="宋体" w:hAnsi="宋体"/>
          <w:sz w:val="24"/>
        </w:rPr>
        <w:t>。</w:t>
      </w:r>
    </w:p>
    <w:p>
      <w:pPr>
        <w:numPr>
          <w:ilvl w:val="2"/>
          <w:numId w:val="2"/>
        </w:numPr>
        <w:spacing w:line="480" w:lineRule="auto"/>
        <w:outlineLvl w:val="2"/>
        <w:rPr>
          <w:rFonts w:ascii="宋体"/>
          <w:b/>
          <w:sz w:val="28"/>
          <w:szCs w:val="28"/>
        </w:rPr>
      </w:pPr>
      <w:r>
        <w:rPr>
          <w:rFonts w:ascii="宋体"/>
          <w:b/>
          <w:sz w:val="28"/>
          <w:szCs w:val="28"/>
        </w:rPr>
        <w:t>本设计与矿区总体开发的关系</w:t>
      </w:r>
    </w:p>
    <w:bookmarkEnd w:id="64"/>
    <w:bookmarkEnd w:id="65"/>
    <w:bookmarkEnd w:id="66"/>
    <w:bookmarkEnd w:id="67"/>
    <w:bookmarkEnd w:id="68"/>
    <w:bookmarkEnd w:id="69"/>
    <w:p>
      <w:pPr>
        <w:spacing w:line="360" w:lineRule="auto"/>
        <w:ind w:firstLine="480" w:firstLineChars="200"/>
        <w:rPr>
          <w:rFonts w:ascii="宋体" w:hAnsi="宋体"/>
          <w:sz w:val="24"/>
        </w:rPr>
      </w:pPr>
      <w:bookmarkStart w:id="85" w:name="_Toc456610941"/>
      <w:r>
        <w:rPr>
          <w:rFonts w:hint="eastAsia" w:ascii="宋体" w:hAnsi="宋体" w:cs="仿宋"/>
          <w:sz w:val="24"/>
          <w:lang w:eastAsia="zh-CN"/>
        </w:rPr>
        <w:t>********</w:t>
      </w:r>
      <w:r>
        <w:rPr>
          <w:rFonts w:hint="eastAsia" w:ascii="宋体" w:hAnsi="宋体" w:cs="仿宋"/>
          <w:sz w:val="24"/>
        </w:rPr>
        <w:t>砂石矿</w:t>
      </w:r>
      <w:r>
        <w:rPr>
          <w:rFonts w:hint="eastAsia" w:ascii="宋体" w:hAnsi="宋体"/>
          <w:sz w:val="24"/>
        </w:rPr>
        <w:t>与其他矿山无矿界冲突，为</w:t>
      </w:r>
      <w:r>
        <w:rPr>
          <w:rFonts w:hint="eastAsia" w:ascii="宋体" w:hAnsi="宋体"/>
          <w:sz w:val="24"/>
          <w:lang w:eastAsia="zh-CN"/>
        </w:rPr>
        <w:t>********</w:t>
      </w:r>
      <w:r>
        <w:rPr>
          <w:rFonts w:hint="eastAsia" w:ascii="宋体" w:hAnsi="宋体"/>
          <w:sz w:val="24"/>
        </w:rPr>
        <w:t>国土资源部门统一规划挂牌出让的砂石矿山之一。为充分合理的利用国家矿产资源，本方案对该矿山实际情况等进行分析、研究的基础上，本着投资少、见效快的原则，对该矿山进行矿产资源的开发。</w:t>
      </w:r>
    </w:p>
    <w:p>
      <w:pPr>
        <w:keepNext/>
        <w:keepLines/>
        <w:numPr>
          <w:ilvl w:val="1"/>
          <w:numId w:val="2"/>
        </w:numPr>
        <w:spacing w:line="480" w:lineRule="auto"/>
        <w:outlineLvl w:val="1"/>
        <w:rPr>
          <w:rFonts w:ascii="宋体" w:hAnsi="宋体" w:cs="宋体"/>
          <w:b/>
          <w:bCs/>
          <w:color w:val="000000"/>
          <w:sz w:val="30"/>
          <w:szCs w:val="30"/>
        </w:rPr>
      </w:pPr>
      <w:bookmarkStart w:id="86" w:name="_Toc22392"/>
      <w:r>
        <w:rPr>
          <w:rFonts w:hint="eastAsia" w:ascii="宋体" w:hAnsi="宋体" w:cs="宋体"/>
          <w:b/>
          <w:bCs/>
          <w:color w:val="000000"/>
          <w:sz w:val="30"/>
          <w:szCs w:val="30"/>
        </w:rPr>
        <w:t>设计项目的资源概况</w:t>
      </w:r>
      <w:bookmarkEnd w:id="85"/>
      <w:bookmarkEnd w:id="86"/>
    </w:p>
    <w:p>
      <w:pPr>
        <w:numPr>
          <w:ilvl w:val="2"/>
          <w:numId w:val="2"/>
        </w:numPr>
        <w:spacing w:line="480" w:lineRule="auto"/>
        <w:outlineLvl w:val="2"/>
        <w:rPr>
          <w:rFonts w:ascii="宋体"/>
          <w:b/>
          <w:sz w:val="28"/>
          <w:szCs w:val="28"/>
        </w:rPr>
      </w:pPr>
      <w:r>
        <w:rPr>
          <w:rFonts w:hint="eastAsia" w:ascii="宋体"/>
          <w:b/>
          <w:sz w:val="28"/>
          <w:szCs w:val="28"/>
        </w:rPr>
        <w:t>矿区地质概况</w:t>
      </w:r>
    </w:p>
    <w:bookmarkEnd w:id="70"/>
    <w:bookmarkEnd w:id="71"/>
    <w:bookmarkEnd w:id="72"/>
    <w:bookmarkEnd w:id="73"/>
    <w:bookmarkEnd w:id="74"/>
    <w:bookmarkEnd w:id="75"/>
    <w:bookmarkEnd w:id="76"/>
    <w:bookmarkEnd w:id="77"/>
    <w:bookmarkEnd w:id="78"/>
    <w:bookmarkEnd w:id="79"/>
    <w:bookmarkEnd w:id="80"/>
    <w:bookmarkEnd w:id="81"/>
    <w:bookmarkEnd w:id="82"/>
    <w:p>
      <w:pPr>
        <w:spacing w:line="360" w:lineRule="auto"/>
        <w:ind w:firstLine="482" w:firstLineChars="200"/>
        <w:rPr>
          <w:rFonts w:ascii="宋体" w:hAnsi="宋体" w:cs="宋体"/>
          <w:sz w:val="24"/>
          <w:lang w:val="zh-TW"/>
        </w:rPr>
      </w:pPr>
      <w:bookmarkStart w:id="87" w:name="_Toc428439492"/>
      <w:bookmarkStart w:id="88" w:name="_Toc286168416"/>
      <w:bookmarkStart w:id="89" w:name="_Toc198809236"/>
      <w:bookmarkStart w:id="90" w:name="_Toc5306"/>
      <w:r>
        <w:rPr>
          <w:rFonts w:hint="eastAsia" w:ascii="宋体" w:hAnsi="宋体" w:cs="宋体"/>
          <w:b/>
          <w:bCs/>
          <w:sz w:val="24"/>
        </w:rPr>
        <w:t>1、</w:t>
      </w:r>
      <w:r>
        <w:rPr>
          <w:rFonts w:hint="eastAsia" w:ascii="宋体" w:hAnsi="宋体" w:cs="宋体"/>
          <w:b/>
          <w:bCs/>
          <w:sz w:val="24"/>
          <w:lang w:val="zh-TW"/>
        </w:rPr>
        <w:t>地层</w:t>
      </w:r>
    </w:p>
    <w:p>
      <w:pPr>
        <w:spacing w:line="360" w:lineRule="auto"/>
        <w:ind w:firstLine="480" w:firstLineChars="200"/>
        <w:rPr>
          <w:rFonts w:ascii="宋体" w:hAnsi="宋体" w:cs="宋体"/>
          <w:sz w:val="24"/>
          <w:lang w:val="zh-TW"/>
        </w:rPr>
      </w:pPr>
      <w:r>
        <w:rPr>
          <w:rFonts w:hint="eastAsia" w:ascii="宋体" w:hAnsi="宋体" w:cs="宋体"/>
          <w:sz w:val="24"/>
          <w:lang w:val="zh-TW"/>
        </w:rPr>
        <w:t>矿区内出露地层为第四系全新统冲积层</w:t>
      </w:r>
      <w:r>
        <w:rPr>
          <w:rFonts w:hint="eastAsia" w:ascii="宋体" w:hAnsi="宋体" w:cs="宋体"/>
          <w:sz w:val="24"/>
        </w:rPr>
        <w:t>（</w:t>
      </w:r>
      <w:r>
        <w:rPr>
          <w:rFonts w:hint="eastAsia" w:ascii="宋体" w:hAnsi="宋体" w:cs="宋体"/>
          <w:sz w:val="24"/>
          <w:lang w:val="zh-TW"/>
        </w:rPr>
        <w:t>Q</w:t>
      </w:r>
      <w:r>
        <w:rPr>
          <w:rFonts w:hint="eastAsia" w:ascii="宋体" w:hAnsi="宋体" w:cs="宋体"/>
          <w:sz w:val="24"/>
        </w:rPr>
        <w:t>h</w:t>
      </w:r>
      <w:r>
        <w:rPr>
          <w:rFonts w:hint="eastAsia" w:ascii="宋体" w:hAnsi="宋体" w:cs="宋体"/>
          <w:sz w:val="24"/>
          <w:vertAlign w:val="superscript"/>
        </w:rPr>
        <w:t>al</w:t>
      </w:r>
      <w:r>
        <w:rPr>
          <w:rFonts w:hint="eastAsia" w:ascii="宋体" w:hAnsi="宋体" w:cs="宋体"/>
          <w:sz w:val="24"/>
          <w:lang w:val="zh-TW"/>
        </w:rPr>
        <w:t>)</w:t>
      </w:r>
      <w:r>
        <w:rPr>
          <w:rFonts w:hint="eastAsia" w:ascii="宋体" w:hAnsi="宋体" w:cs="宋体"/>
          <w:sz w:val="24"/>
        </w:rPr>
        <w:t>、</w:t>
      </w:r>
      <w:r>
        <w:rPr>
          <w:rFonts w:hint="eastAsia" w:ascii="宋体" w:hAnsi="宋体" w:cs="宋体"/>
          <w:sz w:val="24"/>
          <w:lang w:val="zh-TW"/>
        </w:rPr>
        <w:t>人工填土</w:t>
      </w:r>
      <w:r>
        <w:rPr>
          <w:rFonts w:hint="eastAsia" w:ascii="宋体" w:hAnsi="宋体" w:cs="宋体"/>
          <w:sz w:val="24"/>
        </w:rPr>
        <w:t>（</w:t>
      </w:r>
      <w:r>
        <w:rPr>
          <w:rFonts w:hint="eastAsia" w:ascii="宋体" w:hAnsi="宋体" w:cs="宋体"/>
          <w:sz w:val="24"/>
          <w:lang w:val="zh-TW"/>
        </w:rPr>
        <w:t>Q</w:t>
      </w:r>
      <w:r>
        <w:rPr>
          <w:rFonts w:hint="eastAsia" w:ascii="宋体" w:hAnsi="宋体" w:cs="宋体"/>
          <w:sz w:val="24"/>
          <w:vertAlign w:val="subscript"/>
        </w:rPr>
        <w:t>4</w:t>
      </w:r>
      <w:r>
        <w:rPr>
          <w:rFonts w:hint="eastAsia" w:ascii="宋体" w:hAnsi="宋体" w:cs="宋体"/>
          <w:sz w:val="24"/>
          <w:vertAlign w:val="superscript"/>
        </w:rPr>
        <w:t>ml</w:t>
      </w:r>
      <w:r>
        <w:rPr>
          <w:rFonts w:hint="eastAsia" w:ascii="宋体" w:hAnsi="宋体" w:cs="宋体"/>
          <w:sz w:val="24"/>
          <w:lang w:val="zh-TW"/>
        </w:rPr>
        <w:t>)</w:t>
      </w:r>
      <w:r>
        <w:rPr>
          <w:rFonts w:hint="eastAsia" w:ascii="宋体" w:hAnsi="宋体" w:cs="宋体"/>
          <w:sz w:val="24"/>
        </w:rPr>
        <w:t>、</w:t>
      </w:r>
      <w:r>
        <w:rPr>
          <w:rFonts w:hint="eastAsia" w:ascii="宋体" w:hAnsi="宋体" w:cs="宋体"/>
          <w:sz w:val="24"/>
          <w:lang w:val="zh-TW"/>
        </w:rPr>
        <w:t>冲洪积层</w:t>
      </w:r>
      <w:r>
        <w:rPr>
          <w:rFonts w:hint="eastAsia" w:ascii="宋体" w:hAnsi="宋体" w:cs="宋体"/>
          <w:sz w:val="24"/>
        </w:rPr>
        <w:t>（</w:t>
      </w:r>
      <w:r>
        <w:rPr>
          <w:rFonts w:hint="eastAsia" w:ascii="宋体" w:hAnsi="宋体" w:cs="宋体"/>
          <w:sz w:val="24"/>
          <w:lang w:val="zh-TW"/>
        </w:rPr>
        <w:t>Q</w:t>
      </w:r>
      <w:r>
        <w:rPr>
          <w:rFonts w:hint="eastAsia" w:ascii="宋体" w:hAnsi="宋体" w:cs="宋体"/>
          <w:sz w:val="24"/>
        </w:rPr>
        <w:t>h</w:t>
      </w:r>
      <w:r>
        <w:rPr>
          <w:rFonts w:hint="eastAsia" w:ascii="宋体" w:hAnsi="宋体" w:cs="宋体"/>
          <w:sz w:val="24"/>
          <w:vertAlign w:val="superscript"/>
        </w:rPr>
        <w:t>pal</w:t>
      </w:r>
      <w:r>
        <w:rPr>
          <w:rFonts w:hint="eastAsia" w:ascii="宋体" w:hAnsi="宋体" w:cs="宋体"/>
          <w:sz w:val="24"/>
          <w:lang w:val="zh-TW"/>
        </w:rPr>
        <w:t>) 简述如下：</w:t>
      </w:r>
    </w:p>
    <w:p>
      <w:pPr>
        <w:spacing w:line="360" w:lineRule="auto"/>
        <w:ind w:firstLine="480" w:firstLineChars="200"/>
        <w:rPr>
          <w:rFonts w:ascii="宋体" w:hAnsi="宋体" w:cs="宋体"/>
          <w:sz w:val="24"/>
          <w:lang w:val="zh-TW"/>
        </w:rPr>
      </w:pPr>
      <w:r>
        <w:rPr>
          <w:rFonts w:hint="eastAsia" w:ascii="宋体" w:hAnsi="宋体" w:cs="宋体"/>
          <w:sz w:val="24"/>
        </w:rPr>
        <w:t>（1）</w:t>
      </w:r>
      <w:r>
        <w:rPr>
          <w:rFonts w:hint="eastAsia" w:ascii="宋体" w:hAnsi="宋体" w:cs="宋体"/>
          <w:sz w:val="24"/>
          <w:lang w:val="zh-TW"/>
        </w:rPr>
        <w:t>第四系全新统冲积</w:t>
      </w:r>
      <w:r>
        <w:rPr>
          <w:rFonts w:hint="eastAsia" w:ascii="宋体" w:hAnsi="宋体" w:cs="宋体"/>
          <w:sz w:val="24"/>
        </w:rPr>
        <w:t>（</w:t>
      </w:r>
      <w:r>
        <w:rPr>
          <w:rFonts w:hint="eastAsia" w:ascii="宋体" w:hAnsi="宋体" w:cs="宋体"/>
          <w:sz w:val="24"/>
          <w:lang w:val="zh-TW"/>
        </w:rPr>
        <w:t>Q</w:t>
      </w:r>
      <w:r>
        <w:rPr>
          <w:rFonts w:hint="eastAsia" w:ascii="宋体" w:hAnsi="宋体" w:cs="宋体"/>
          <w:sz w:val="24"/>
        </w:rPr>
        <w:t>h</w:t>
      </w:r>
      <w:r>
        <w:rPr>
          <w:rFonts w:hint="eastAsia" w:ascii="宋体" w:hAnsi="宋体" w:cs="宋体"/>
          <w:sz w:val="24"/>
          <w:vertAlign w:val="superscript"/>
        </w:rPr>
        <w:t>al</w:t>
      </w:r>
      <w:r>
        <w:rPr>
          <w:rFonts w:hint="eastAsia" w:ascii="宋体" w:hAnsi="宋体" w:cs="宋体"/>
          <w:sz w:val="24"/>
          <w:lang w:val="zh-TW"/>
        </w:rPr>
        <w:t>)：分布于矿区北部。岩性为近代河床卵石、砾石、砂、亚砂土。厚度约11〜24m</w:t>
      </w:r>
      <w:r>
        <w:rPr>
          <w:rFonts w:hint="eastAsia" w:ascii="宋体" w:hAnsi="宋体" w:cs="宋体"/>
          <w:sz w:val="24"/>
        </w:rPr>
        <w:t>。</w:t>
      </w:r>
    </w:p>
    <w:p>
      <w:pPr>
        <w:spacing w:line="360" w:lineRule="auto"/>
        <w:ind w:firstLine="480" w:firstLineChars="200"/>
        <w:rPr>
          <w:rFonts w:ascii="宋体" w:hAnsi="宋体" w:cs="宋体"/>
          <w:sz w:val="24"/>
          <w:lang w:val="zh-TW"/>
        </w:rPr>
      </w:pPr>
      <w:r>
        <w:rPr>
          <w:rFonts w:hint="eastAsia" w:ascii="宋体" w:hAnsi="宋体" w:cs="宋体"/>
          <w:sz w:val="24"/>
        </w:rPr>
        <w:t>（2）</w:t>
      </w:r>
      <w:r>
        <w:rPr>
          <w:rFonts w:hint="eastAsia" w:ascii="宋体" w:hAnsi="宋体" w:cs="宋体"/>
          <w:sz w:val="24"/>
          <w:lang w:val="zh-TW"/>
        </w:rPr>
        <w:t>人工填土</w:t>
      </w:r>
      <w:r>
        <w:rPr>
          <w:rFonts w:hint="eastAsia" w:ascii="宋体" w:hAnsi="宋体" w:cs="宋体"/>
          <w:sz w:val="24"/>
        </w:rPr>
        <w:t>（</w:t>
      </w:r>
      <w:r>
        <w:rPr>
          <w:rFonts w:hint="eastAsia" w:ascii="宋体" w:hAnsi="宋体" w:cs="宋体"/>
          <w:sz w:val="24"/>
          <w:lang w:val="zh-TW"/>
        </w:rPr>
        <w:t>Q</w:t>
      </w:r>
      <w:r>
        <w:rPr>
          <w:rFonts w:hint="eastAsia" w:ascii="宋体" w:hAnsi="宋体" w:cs="宋体"/>
          <w:sz w:val="24"/>
          <w:vertAlign w:val="subscript"/>
        </w:rPr>
        <w:t>4</w:t>
      </w:r>
      <w:r>
        <w:rPr>
          <w:rFonts w:hint="eastAsia" w:ascii="宋体" w:hAnsi="宋体" w:cs="宋体"/>
          <w:sz w:val="24"/>
          <w:vertAlign w:val="superscript"/>
        </w:rPr>
        <w:t>ml</w:t>
      </w:r>
      <w:r>
        <w:rPr>
          <w:rFonts w:hint="eastAsia" w:ascii="宋体" w:hAnsi="宋体" w:cs="宋体"/>
          <w:sz w:val="24"/>
          <w:lang w:val="zh-TW"/>
        </w:rPr>
        <w:t>)：分布于矿区中下部。岩性为褐红色砂砾、砾石、亚砂土。厚度8〜11m</w:t>
      </w:r>
      <w:r>
        <w:rPr>
          <w:rFonts w:hint="eastAsia" w:ascii="宋体" w:hAnsi="宋体" w:cs="宋体"/>
          <w:sz w:val="24"/>
        </w:rPr>
        <w:t>。</w:t>
      </w:r>
    </w:p>
    <w:p>
      <w:pPr>
        <w:spacing w:line="360" w:lineRule="auto"/>
        <w:ind w:firstLine="480" w:firstLineChars="200"/>
        <w:rPr>
          <w:rFonts w:ascii="宋体" w:hAnsi="宋体" w:cs="宋体"/>
          <w:sz w:val="24"/>
          <w:lang w:val="zh-TW"/>
        </w:rPr>
      </w:pPr>
      <w:r>
        <w:rPr>
          <w:rFonts w:hint="eastAsia" w:ascii="宋体" w:hAnsi="宋体" w:cs="宋体"/>
          <w:sz w:val="24"/>
          <w:lang w:val="zh-TW"/>
        </w:rPr>
        <w:t>（</w:t>
      </w:r>
      <w:r>
        <w:rPr>
          <w:rFonts w:hint="eastAsia" w:ascii="宋体" w:hAnsi="宋体" w:cs="宋体"/>
          <w:sz w:val="24"/>
        </w:rPr>
        <w:t>3</w:t>
      </w:r>
      <w:r>
        <w:rPr>
          <w:rFonts w:hint="eastAsia" w:ascii="宋体" w:hAnsi="宋体" w:cs="宋体"/>
          <w:sz w:val="24"/>
          <w:lang w:val="zh-TW"/>
        </w:rPr>
        <w:t>）冲洪积</w:t>
      </w:r>
      <w:r>
        <w:rPr>
          <w:rFonts w:hint="eastAsia" w:ascii="宋体" w:hAnsi="宋体" w:cs="宋体"/>
          <w:sz w:val="24"/>
        </w:rPr>
        <w:t>（</w:t>
      </w:r>
      <w:r>
        <w:rPr>
          <w:rFonts w:hint="eastAsia" w:ascii="宋体" w:hAnsi="宋体" w:cs="宋体"/>
          <w:sz w:val="24"/>
          <w:lang w:val="zh-TW"/>
        </w:rPr>
        <w:t>Q</w:t>
      </w:r>
      <w:r>
        <w:rPr>
          <w:rFonts w:hint="eastAsia" w:ascii="宋体" w:hAnsi="宋体" w:cs="宋体"/>
          <w:sz w:val="24"/>
        </w:rPr>
        <w:t>h</w:t>
      </w:r>
      <w:r>
        <w:rPr>
          <w:rFonts w:hint="eastAsia" w:ascii="宋体" w:hAnsi="宋体" w:cs="宋体"/>
          <w:sz w:val="24"/>
          <w:vertAlign w:val="superscript"/>
        </w:rPr>
        <w:t>pal</w:t>
      </w:r>
      <w:r>
        <w:rPr>
          <w:rFonts w:hint="eastAsia" w:ascii="宋体" w:hAnsi="宋体" w:cs="宋体"/>
          <w:sz w:val="24"/>
          <w:lang w:val="zh-TW"/>
        </w:rPr>
        <w:t>):在矿区分布较广，为主要含矿层。岩性为砂砾石、亚砂土。厚度4-27m。</w:t>
      </w:r>
    </w:p>
    <w:p>
      <w:pPr>
        <w:spacing w:line="360" w:lineRule="auto"/>
        <w:ind w:firstLine="480" w:firstLineChars="200"/>
        <w:rPr>
          <w:rFonts w:ascii="宋体" w:hAnsi="宋体" w:cs="宋体"/>
          <w:sz w:val="24"/>
          <w:lang w:val="zh-TW"/>
        </w:rPr>
      </w:pPr>
      <w:r>
        <w:rPr>
          <w:rFonts w:hint="eastAsia" w:ascii="宋体" w:hAnsi="宋体" w:cs="宋体"/>
          <w:sz w:val="24"/>
          <w:lang w:val="zh-TW"/>
        </w:rPr>
        <w:t>砂砾石：呈浅灰色，巨厚层状，致密块状，是砂和砾石的混合物，主要成份由硅质岩、砂岩、板岩、花岗岩等，含少量的石英砾石、砂粒。砾石的直径&gt;2mm</w:t>
      </w:r>
      <w:r>
        <w:rPr>
          <w:rFonts w:hint="eastAsia" w:ascii="宋体" w:hAnsi="宋体" w:cs="宋体"/>
          <w:sz w:val="24"/>
        </w:rPr>
        <w:t>，</w:t>
      </w:r>
      <w:r>
        <w:rPr>
          <w:rFonts w:hint="eastAsia" w:ascii="宋体" w:hAnsi="宋体" w:cs="宋体"/>
          <w:sz w:val="24"/>
          <w:lang w:val="zh-TW"/>
        </w:rPr>
        <w:t>颗粒硬度大，是风化岩石经水流长期搬运而形成的粒径介于2〜60mm之间的颗粒状无粘性的天然材料。分选性好，磨圆度呈次圆状〜圆状。</w:t>
      </w:r>
    </w:p>
    <w:p>
      <w:pPr>
        <w:spacing w:line="360" w:lineRule="auto"/>
        <w:ind w:firstLine="480" w:firstLineChars="200"/>
        <w:rPr>
          <w:rFonts w:ascii="宋体" w:hAnsi="宋体" w:cs="宋体"/>
          <w:sz w:val="24"/>
          <w:lang w:val="zh-TW"/>
        </w:rPr>
      </w:pPr>
      <w:r>
        <w:rPr>
          <w:rFonts w:hint="eastAsia" w:ascii="宋体" w:hAnsi="宋体" w:cs="宋体"/>
          <w:sz w:val="24"/>
          <w:lang w:val="zh-TW"/>
        </w:rPr>
        <w:t>亚砂土：又称作粘砂土，指粘砾含量在6%〜10%之间的砂土，呈灰色〜深灰色，颗粒较粘土粗，可塑范围较粘土小。</w:t>
      </w:r>
    </w:p>
    <w:p>
      <w:pPr>
        <w:spacing w:line="360" w:lineRule="auto"/>
        <w:ind w:firstLine="480" w:firstLineChars="200"/>
        <w:rPr>
          <w:rFonts w:ascii="宋体" w:hAnsi="宋体" w:cs="宋体"/>
          <w:sz w:val="24"/>
          <w:lang w:val="zh-TW"/>
        </w:rPr>
      </w:pPr>
      <w:r>
        <w:rPr>
          <w:rFonts w:hint="eastAsia" w:ascii="宋体" w:hAnsi="宋体" w:cs="宋体"/>
          <w:sz w:val="24"/>
          <w:lang w:val="zh-TW"/>
        </w:rPr>
        <w:t>呈褐红色，具有粘土质结构，片状构造，主要成分为石英、长石、云母及硅酸岩、硫化物、碳酸盐。颗粒细小，隔水性极强，呈晶体或非晶体。</w:t>
      </w:r>
    </w:p>
    <w:p>
      <w:pPr>
        <w:spacing w:line="360" w:lineRule="auto"/>
        <w:ind w:firstLine="480" w:firstLineChars="200"/>
        <w:rPr>
          <w:rFonts w:ascii="宋体" w:hAnsi="宋体" w:cs="宋体"/>
          <w:sz w:val="24"/>
          <w:lang w:val="zh-TW"/>
        </w:rPr>
      </w:pPr>
      <w:r>
        <w:rPr>
          <w:rFonts w:hint="eastAsia" w:ascii="宋体" w:hAnsi="宋体" w:cs="宋体"/>
          <w:sz w:val="24"/>
          <w:lang w:val="zh-TW"/>
        </w:rPr>
        <w:t>粘土含砂砾极少，水分不易从中通过，具可塑性，包括高岭土、多水高岭土、颗粒非常小（一般&lt;2um)的硅酸铝盐、除A</w:t>
      </w:r>
      <w:r>
        <w:rPr>
          <w:rFonts w:hint="eastAsia" w:ascii="宋体" w:hAnsi="宋体" w:cs="宋体"/>
          <w:sz w:val="24"/>
        </w:rPr>
        <w:t>l</w:t>
      </w:r>
      <w:r>
        <w:rPr>
          <w:rFonts w:hint="eastAsia" w:ascii="宋体" w:hAnsi="宋体" w:cs="宋体"/>
          <w:sz w:val="24"/>
          <w:lang w:val="zh-TW"/>
        </w:rPr>
        <w:t>还有Mg</w:t>
      </w:r>
      <w:r>
        <w:rPr>
          <w:rFonts w:hint="eastAsia" w:ascii="宋体" w:hAnsi="宋体" w:cs="宋体"/>
          <w:sz w:val="24"/>
        </w:rPr>
        <w:t>、</w:t>
      </w:r>
      <w:r>
        <w:rPr>
          <w:rFonts w:hint="eastAsia" w:ascii="宋体" w:hAnsi="宋体" w:cs="宋体"/>
          <w:sz w:val="24"/>
          <w:lang w:val="zh-TW"/>
        </w:rPr>
        <w:t>Fe</w:t>
      </w:r>
      <w:r>
        <w:rPr>
          <w:rFonts w:hint="eastAsia" w:ascii="宋体" w:hAnsi="宋体" w:cs="宋体"/>
          <w:sz w:val="24"/>
        </w:rPr>
        <w:t>、</w:t>
      </w:r>
      <w:r>
        <w:rPr>
          <w:rFonts w:hint="eastAsia" w:ascii="宋体" w:hAnsi="宋体" w:cs="宋体"/>
          <w:sz w:val="24"/>
          <w:lang w:val="zh-TW"/>
        </w:rPr>
        <w:t>Na</w:t>
      </w:r>
      <w:r>
        <w:rPr>
          <w:rFonts w:hint="eastAsia" w:ascii="宋体" w:hAnsi="宋体" w:cs="宋体"/>
          <w:sz w:val="24"/>
        </w:rPr>
        <w:t>、</w:t>
      </w:r>
      <w:r>
        <w:rPr>
          <w:rFonts w:hint="eastAsia" w:ascii="宋体" w:hAnsi="宋体" w:cs="宋体"/>
          <w:sz w:val="24"/>
          <w:lang w:val="zh-TW"/>
        </w:rPr>
        <w:t>K</w:t>
      </w:r>
      <w:r>
        <w:rPr>
          <w:rFonts w:hint="eastAsia" w:ascii="宋体" w:hAnsi="宋体" w:cs="宋体"/>
          <w:sz w:val="24"/>
        </w:rPr>
        <w:t>、</w:t>
      </w:r>
      <w:r>
        <w:rPr>
          <w:rFonts w:hint="eastAsia" w:ascii="宋体" w:hAnsi="宋体" w:cs="宋体"/>
          <w:sz w:val="24"/>
          <w:lang w:val="zh-TW"/>
        </w:rPr>
        <w:t>Ca等。在较小压力下可变形并能长期保持原状。</w:t>
      </w:r>
    </w:p>
    <w:p>
      <w:pPr>
        <w:numPr>
          <w:ilvl w:val="0"/>
          <w:numId w:val="8"/>
        </w:numPr>
        <w:spacing w:line="360" w:lineRule="auto"/>
        <w:ind w:firstLine="480" w:firstLineChars="200"/>
        <w:rPr>
          <w:rFonts w:ascii="宋体" w:hAnsi="宋体" w:cs="宋体"/>
          <w:sz w:val="24"/>
        </w:rPr>
      </w:pPr>
      <w:r>
        <w:rPr>
          <w:rFonts w:hint="eastAsia" w:ascii="宋体" w:hAnsi="宋体" w:cs="宋体"/>
          <w:sz w:val="24"/>
        </w:rPr>
        <w:t>上三叠系桔红色砂岩、泥岩夹砂砾岩、泥灰岩（N）</w:t>
      </w:r>
    </w:p>
    <w:p>
      <w:pPr>
        <w:spacing w:line="360" w:lineRule="auto"/>
        <w:rPr>
          <w:rFonts w:ascii="宋体" w:hAnsi="宋体" w:cs="宋体"/>
          <w:sz w:val="24"/>
        </w:rPr>
      </w:pPr>
      <w:r>
        <w:rPr>
          <w:rFonts w:hint="eastAsia" w:ascii="宋体" w:hAnsi="宋体" w:cs="宋体"/>
          <w:sz w:val="24"/>
        </w:rPr>
        <w:t xml:space="preserve">    局部河道内经第四系现代河流冲蚀出露。</w:t>
      </w:r>
    </w:p>
    <w:p>
      <w:pPr>
        <w:spacing w:line="360" w:lineRule="auto"/>
        <w:ind w:firstLine="480" w:firstLineChars="200"/>
        <w:rPr>
          <w:rFonts w:ascii="宋体" w:hAnsi="宋体" w:cs="宋体"/>
          <w:sz w:val="24"/>
        </w:rPr>
      </w:pPr>
      <w:r>
        <w:rPr>
          <w:rFonts w:hint="eastAsia" w:ascii="宋体" w:hAnsi="宋体" w:cs="宋体"/>
          <w:sz w:val="24"/>
        </w:rPr>
        <w:t>砂岩：岩石呈桔红色，中细粒结构，中-厚层构造。颗粒物粒径为0.5-1mm主要为石英、长石，胶结物为泥质粉砂质。</w:t>
      </w:r>
    </w:p>
    <w:p>
      <w:pPr>
        <w:spacing w:line="360" w:lineRule="auto"/>
        <w:ind w:firstLine="480" w:firstLineChars="200"/>
        <w:rPr>
          <w:rFonts w:ascii="宋体" w:hAnsi="宋体" w:cs="宋体"/>
          <w:sz w:val="24"/>
          <w:lang w:val="zh-TW"/>
        </w:rPr>
      </w:pPr>
      <w:r>
        <w:rPr>
          <w:rFonts w:hint="eastAsia" w:ascii="宋体" w:hAnsi="宋体" w:cs="宋体"/>
          <w:sz w:val="24"/>
        </w:rPr>
        <w:t>泥岩夹砂砾岩：岩石呈灰-红色，砾石粒径约：5-13mm，分选磨圆较差。</w:t>
      </w:r>
    </w:p>
    <w:p>
      <w:pPr>
        <w:spacing w:line="360" w:lineRule="auto"/>
        <w:ind w:firstLine="482" w:firstLineChars="200"/>
        <w:rPr>
          <w:rFonts w:ascii="宋体" w:hAnsi="宋体" w:cs="宋体"/>
          <w:b/>
          <w:bCs/>
          <w:sz w:val="24"/>
          <w:lang w:val="zh-TW"/>
        </w:rPr>
      </w:pPr>
      <w:r>
        <w:rPr>
          <w:rFonts w:hint="eastAsia" w:ascii="宋体" w:hAnsi="宋体" w:cs="宋体"/>
          <w:b/>
          <w:bCs/>
          <w:sz w:val="24"/>
        </w:rPr>
        <w:t>2、</w:t>
      </w:r>
      <w:r>
        <w:rPr>
          <w:rFonts w:hint="eastAsia" w:ascii="宋体" w:hAnsi="宋体" w:cs="宋体"/>
          <w:b/>
          <w:bCs/>
          <w:sz w:val="24"/>
          <w:lang w:val="zh-TW"/>
        </w:rPr>
        <w:t>构造</w:t>
      </w:r>
    </w:p>
    <w:p>
      <w:pPr>
        <w:spacing w:line="360" w:lineRule="auto"/>
        <w:ind w:firstLine="480" w:firstLineChars="200"/>
        <w:rPr>
          <w:rFonts w:ascii="宋体" w:hAnsi="宋体" w:cs="宋体"/>
          <w:sz w:val="24"/>
          <w:lang w:val="zh-TW"/>
        </w:rPr>
      </w:pPr>
      <w:r>
        <w:rPr>
          <w:rFonts w:hint="eastAsia" w:ascii="宋体" w:hAnsi="宋体" w:cs="宋体"/>
          <w:sz w:val="24"/>
          <w:lang w:val="zh-TW"/>
        </w:rPr>
        <w:t>矿区内未发现断裂构造。第四系主要为冲积、洪积、冲洪积分布于</w:t>
      </w:r>
      <w:r>
        <w:rPr>
          <w:rFonts w:hint="eastAsia" w:ascii="宋体" w:hAnsi="宋体" w:cs="宋体"/>
          <w:sz w:val="24"/>
          <w:lang w:val="zh-TW" w:eastAsia="zh-CN"/>
        </w:rPr>
        <w:t>********</w:t>
      </w:r>
      <w:r>
        <w:rPr>
          <w:rFonts w:hint="eastAsia" w:ascii="宋体" w:hAnsi="宋体" w:cs="宋体"/>
          <w:sz w:val="24"/>
          <w:lang w:val="zh-TW"/>
        </w:rPr>
        <w:t>的3级阶地上，呈水平层状产出。</w:t>
      </w:r>
    </w:p>
    <w:p>
      <w:pPr>
        <w:spacing w:line="360" w:lineRule="auto"/>
        <w:ind w:firstLine="482" w:firstLineChars="200"/>
        <w:rPr>
          <w:rFonts w:ascii="宋体" w:hAnsi="宋体" w:cs="宋体"/>
          <w:b/>
          <w:bCs/>
          <w:sz w:val="24"/>
          <w:lang w:val="zh-TW"/>
        </w:rPr>
      </w:pPr>
      <w:r>
        <w:rPr>
          <w:rFonts w:hint="eastAsia" w:ascii="宋体" w:hAnsi="宋体" w:cs="宋体"/>
          <w:b/>
          <w:bCs/>
          <w:sz w:val="24"/>
        </w:rPr>
        <w:t>3、</w:t>
      </w:r>
      <w:r>
        <w:rPr>
          <w:rFonts w:hint="eastAsia" w:ascii="宋体" w:hAnsi="宋体" w:cs="宋体"/>
          <w:b/>
          <w:bCs/>
          <w:sz w:val="24"/>
          <w:lang w:val="zh-TW"/>
        </w:rPr>
        <w:t>岩浆岩</w:t>
      </w:r>
    </w:p>
    <w:p>
      <w:pPr>
        <w:spacing w:line="360" w:lineRule="auto"/>
        <w:ind w:firstLine="480" w:firstLineChars="200"/>
        <w:rPr>
          <w:rFonts w:ascii="宋体" w:hAnsi="宋体" w:cs="宋体"/>
          <w:sz w:val="24"/>
          <w:lang w:val="zh-TW"/>
        </w:rPr>
      </w:pPr>
      <w:r>
        <w:rPr>
          <w:rFonts w:hint="eastAsia" w:ascii="宋体" w:hAnsi="宋体" w:cs="宋体"/>
          <w:sz w:val="24"/>
          <w:lang w:val="zh-TW"/>
        </w:rPr>
        <w:t>矿区内无岩浆岩出露。</w:t>
      </w:r>
    </w:p>
    <w:p>
      <w:pPr>
        <w:numPr>
          <w:ilvl w:val="2"/>
          <w:numId w:val="2"/>
        </w:numPr>
        <w:spacing w:line="480" w:lineRule="auto"/>
        <w:outlineLvl w:val="2"/>
        <w:rPr>
          <w:rFonts w:ascii="宋体"/>
          <w:b/>
          <w:sz w:val="28"/>
          <w:szCs w:val="28"/>
        </w:rPr>
      </w:pPr>
      <w:r>
        <w:rPr>
          <w:rFonts w:hint="eastAsia" w:ascii="宋体"/>
          <w:b/>
          <w:sz w:val="28"/>
          <w:szCs w:val="28"/>
        </w:rPr>
        <w:t>矿床特征</w:t>
      </w:r>
    </w:p>
    <w:p>
      <w:pPr>
        <w:spacing w:line="360" w:lineRule="auto"/>
        <w:ind w:firstLine="482" w:firstLineChars="200"/>
        <w:rPr>
          <w:rFonts w:ascii="宋体" w:hAnsi="宋体" w:cs="宋体"/>
          <w:b/>
          <w:bCs/>
          <w:sz w:val="24"/>
          <w:lang w:val="zh-TW"/>
        </w:rPr>
      </w:pPr>
      <w:r>
        <w:rPr>
          <w:rFonts w:hint="eastAsia" w:ascii="宋体" w:hAnsi="宋体" w:cs="宋体"/>
          <w:b/>
          <w:bCs/>
          <w:sz w:val="24"/>
        </w:rPr>
        <w:t>1、</w:t>
      </w:r>
      <w:r>
        <w:rPr>
          <w:rFonts w:hint="eastAsia" w:ascii="宋体" w:hAnsi="宋体" w:cs="宋体"/>
          <w:b/>
          <w:bCs/>
          <w:sz w:val="24"/>
          <w:lang w:val="zh-TW"/>
        </w:rPr>
        <w:t>矿体规模、形态及产状</w:t>
      </w:r>
    </w:p>
    <w:p>
      <w:pPr>
        <w:spacing w:line="360" w:lineRule="auto"/>
        <w:ind w:firstLine="480" w:firstLineChars="200"/>
        <w:rPr>
          <w:rFonts w:ascii="宋体" w:hAnsi="宋体" w:cs="宋体"/>
          <w:sz w:val="24"/>
          <w:lang w:val="zh-TW"/>
        </w:rPr>
      </w:pPr>
      <w:r>
        <w:rPr>
          <w:rFonts w:hint="eastAsia" w:ascii="宋体" w:hAnsi="宋体" w:cs="宋体"/>
          <w:sz w:val="24"/>
          <w:lang w:val="zh-TW"/>
        </w:rPr>
        <w:t>矿区仅有一个矿体（编号</w:t>
      </w:r>
      <w:r>
        <w:rPr>
          <w:rFonts w:hint="eastAsia" w:ascii="宋体" w:hAnsi="宋体" w:cs="宋体"/>
          <w:sz w:val="24"/>
        </w:rPr>
        <w:t>M</w:t>
      </w:r>
      <w:r>
        <w:rPr>
          <w:rFonts w:hint="eastAsia" w:ascii="宋体" w:hAnsi="宋体" w:cs="宋体"/>
          <w:sz w:val="24"/>
          <w:lang w:val="zh-TW"/>
        </w:rPr>
        <w:t>)赋存于第四系全新统冲洪积物（Q</w:t>
      </w:r>
      <w:r>
        <w:rPr>
          <w:rFonts w:hint="eastAsia" w:ascii="宋体" w:hAnsi="宋体" w:cs="宋体"/>
          <w:sz w:val="24"/>
        </w:rPr>
        <w:t>h</w:t>
      </w:r>
      <w:r>
        <w:rPr>
          <w:rFonts w:hint="eastAsia" w:ascii="宋体" w:hAnsi="宋体" w:cs="宋体"/>
          <w:sz w:val="24"/>
          <w:vertAlign w:val="superscript"/>
        </w:rPr>
        <w:t>pal</w:t>
      </w:r>
      <w:r>
        <w:rPr>
          <w:rFonts w:hint="eastAsia" w:ascii="宋体" w:hAnsi="宋体" w:cs="宋体"/>
          <w:sz w:val="24"/>
          <w:lang w:val="zh-TW"/>
        </w:rPr>
        <w:t>)中，地表主要由近代河流冲洪积堆积物组成。岩性为卵石、砾石、砂土。走向近似东西向，出露长236m，东西宽74〜109m，厚度ll〜49m，中高两边低，地面坡角30〜35</w:t>
      </w:r>
      <w:r>
        <w:rPr>
          <w:rFonts w:hint="eastAsia" w:ascii="宋体" w:hAnsi="宋体" w:cs="宋体"/>
          <w:sz w:val="24"/>
        </w:rPr>
        <w:t>°</w:t>
      </w:r>
      <w:r>
        <w:rPr>
          <w:rFonts w:hint="eastAsia" w:ascii="宋体" w:hAnsi="宋体" w:cs="宋体"/>
          <w:sz w:val="24"/>
          <w:lang w:val="zh-TW"/>
        </w:rPr>
        <w:t>，变化稳定。出露标高2200〜2162m，呈水平层状产出。</w:t>
      </w:r>
    </w:p>
    <w:p>
      <w:pPr>
        <w:spacing w:line="360" w:lineRule="auto"/>
        <w:ind w:firstLine="482" w:firstLineChars="200"/>
        <w:rPr>
          <w:rFonts w:ascii="宋体" w:hAnsi="宋体" w:cs="宋体"/>
          <w:sz w:val="24"/>
          <w:lang w:val="zh-TW"/>
        </w:rPr>
      </w:pPr>
      <w:r>
        <w:rPr>
          <w:rFonts w:hint="eastAsia" w:ascii="宋体" w:hAnsi="宋体" w:cs="宋体"/>
          <w:b/>
          <w:bCs/>
          <w:sz w:val="24"/>
        </w:rPr>
        <w:t>2、</w:t>
      </w:r>
      <w:r>
        <w:rPr>
          <w:rFonts w:hint="eastAsia" w:ascii="宋体" w:hAnsi="宋体" w:cs="宋体"/>
          <w:b/>
          <w:bCs/>
          <w:sz w:val="24"/>
          <w:lang w:val="zh-TW"/>
        </w:rPr>
        <w:t>矿石质量</w:t>
      </w:r>
    </w:p>
    <w:p>
      <w:pPr>
        <w:spacing w:line="360" w:lineRule="auto"/>
        <w:ind w:firstLine="480" w:firstLineChars="200"/>
        <w:rPr>
          <w:rFonts w:ascii="宋体" w:hAnsi="宋体" w:cs="宋体"/>
          <w:sz w:val="24"/>
          <w:lang w:val="zh-TW"/>
        </w:rPr>
      </w:pPr>
      <w:r>
        <w:rPr>
          <w:rFonts w:hint="eastAsia" w:ascii="宋体" w:hAnsi="宋体" w:cs="宋体"/>
          <w:sz w:val="24"/>
          <w:lang w:val="zh-TW"/>
        </w:rPr>
        <w:t>矿石为砂砾石，主要由近代河流冲积、洪积堆积物，杂色〜灰色，由卵石、砾石、砂粒及少量泥土组成。现场样品筛分试验结果：粒径&lt;2.36mm含量约占15.4%、粒径</w:t>
      </w:r>
      <w:r>
        <w:rPr>
          <w:rFonts w:hint="eastAsia" w:ascii="宋体" w:hAnsi="宋体" w:cs="宋体"/>
          <w:sz w:val="24"/>
        </w:rPr>
        <w:t>2.</w:t>
      </w:r>
      <w:r>
        <w:rPr>
          <w:rFonts w:hint="eastAsia" w:ascii="宋体" w:hAnsi="宋体" w:cs="宋体"/>
          <w:sz w:val="24"/>
          <w:lang w:val="zh-TW"/>
        </w:rPr>
        <w:t>36mm的含量约占7.7%、粒径4.75mm的含量约占7.3%、粒径9.5mm的含量约占6.6%、粒径16</w:t>
      </w:r>
      <w:r>
        <w:rPr>
          <w:rFonts w:hint="eastAsia" w:ascii="宋体" w:hAnsi="宋体" w:cs="宋体"/>
          <w:sz w:val="24"/>
        </w:rPr>
        <w:t>mm</w:t>
      </w:r>
      <w:r>
        <w:rPr>
          <w:rFonts w:hint="eastAsia" w:ascii="宋体" w:hAnsi="宋体" w:cs="宋体"/>
          <w:sz w:val="24"/>
          <w:lang w:val="zh-TW"/>
        </w:rPr>
        <w:t>的含量约占4.2%、粒径19</w:t>
      </w:r>
      <w:r>
        <w:rPr>
          <w:rFonts w:hint="eastAsia" w:ascii="宋体" w:hAnsi="宋体" w:cs="宋体"/>
          <w:sz w:val="24"/>
        </w:rPr>
        <w:t>mm</w:t>
      </w:r>
      <w:r>
        <w:rPr>
          <w:rFonts w:hint="eastAsia" w:ascii="宋体" w:hAnsi="宋体" w:cs="宋体"/>
          <w:sz w:val="24"/>
          <w:lang w:val="zh-TW"/>
        </w:rPr>
        <w:t>的含量约占6.8%、粒径26.5mm的含量约占4.7%,粒径31.5mm的含量约占6.1%、粒径37.5mm的含量约占12.4%、粒径53</w:t>
      </w:r>
      <w:r>
        <w:rPr>
          <w:rFonts w:hint="eastAsia" w:ascii="宋体" w:hAnsi="宋体" w:cs="宋体"/>
          <w:sz w:val="24"/>
        </w:rPr>
        <w:t>mm</w:t>
      </w:r>
      <w:r>
        <w:rPr>
          <w:rFonts w:hint="eastAsia" w:ascii="宋体" w:hAnsi="宋体" w:cs="宋体"/>
          <w:sz w:val="24"/>
          <w:lang w:val="zh-TW"/>
        </w:rPr>
        <w:t>的含量约占4.4%、粒径63</w:t>
      </w:r>
      <w:r>
        <w:rPr>
          <w:rFonts w:hint="eastAsia" w:ascii="宋体" w:hAnsi="宋体" w:cs="宋体"/>
          <w:sz w:val="24"/>
        </w:rPr>
        <w:t>mm</w:t>
      </w:r>
      <w:r>
        <w:rPr>
          <w:rFonts w:hint="eastAsia" w:ascii="宋体" w:hAnsi="宋体" w:cs="宋体"/>
          <w:sz w:val="24"/>
          <w:lang w:val="zh-TW"/>
        </w:rPr>
        <w:t>的含量约占5.2%、粒径75mm的含量约占6.3%、粒径90mm的含量约占5.2%、粒径&gt;100</w:t>
      </w:r>
      <w:r>
        <w:rPr>
          <w:rFonts w:hint="eastAsia" w:ascii="宋体" w:hAnsi="宋体" w:cs="宋体"/>
          <w:sz w:val="24"/>
        </w:rPr>
        <w:t>mm</w:t>
      </w:r>
      <w:r>
        <w:rPr>
          <w:rFonts w:hint="eastAsia" w:ascii="宋体" w:hAnsi="宋体" w:cs="宋体"/>
          <w:sz w:val="24"/>
          <w:lang w:val="zh-TW"/>
        </w:rPr>
        <w:t>的含量约占7.7%。</w:t>
      </w:r>
    </w:p>
    <w:p>
      <w:pPr>
        <w:spacing w:line="360" w:lineRule="auto"/>
        <w:ind w:firstLine="480" w:firstLineChars="200"/>
        <w:rPr>
          <w:rFonts w:ascii="宋体" w:hAnsi="宋体" w:cs="宋体"/>
          <w:sz w:val="24"/>
          <w:lang w:val="zh-TW"/>
        </w:rPr>
      </w:pPr>
      <w:r>
        <w:rPr>
          <w:rFonts w:hint="eastAsia" w:ascii="宋体" w:hAnsi="宋体" w:cs="宋体"/>
          <w:sz w:val="24"/>
          <w:lang w:val="zh-TW"/>
        </w:rPr>
        <w:t>矿石稍湿至饱和，松散至中密。以圆砾为主，多呈滚圆状，磨圆度、分选性、颗粒级配均良好。主要由硅质岩、砂岩、板岩、花岗岩等组成，含少量的石英砾石、砂粒。</w:t>
      </w:r>
    </w:p>
    <w:p>
      <w:pPr>
        <w:spacing w:line="360" w:lineRule="auto"/>
        <w:ind w:firstLine="482" w:firstLineChars="200"/>
        <w:rPr>
          <w:rFonts w:ascii="宋体" w:hAnsi="宋体" w:cs="宋体"/>
          <w:sz w:val="24"/>
          <w:lang w:val="zh-TW"/>
        </w:rPr>
      </w:pPr>
      <w:r>
        <w:rPr>
          <w:rFonts w:hint="eastAsia" w:ascii="宋体" w:hAnsi="宋体" w:cs="宋体"/>
          <w:b/>
          <w:bCs/>
          <w:sz w:val="24"/>
        </w:rPr>
        <w:t>3、矿体围岩、</w:t>
      </w:r>
      <w:r>
        <w:rPr>
          <w:rFonts w:hint="eastAsia" w:ascii="宋体" w:hAnsi="宋体" w:cs="宋体"/>
          <w:b/>
          <w:bCs/>
          <w:sz w:val="24"/>
          <w:lang w:val="zh-TW"/>
        </w:rPr>
        <w:t>覆盖层及夹（石）层特征</w:t>
      </w:r>
    </w:p>
    <w:p>
      <w:pPr>
        <w:spacing w:line="360" w:lineRule="auto"/>
        <w:ind w:firstLine="480" w:firstLineChars="200"/>
        <w:rPr>
          <w:rFonts w:ascii="宋体" w:hAnsi="宋体" w:cs="宋体"/>
          <w:sz w:val="24"/>
        </w:rPr>
      </w:pPr>
      <w:r>
        <w:rPr>
          <w:rFonts w:hint="eastAsia" w:ascii="宋体" w:hAnsi="宋体" w:cs="宋体"/>
          <w:sz w:val="24"/>
          <w:lang w:val="zh-TW"/>
        </w:rPr>
        <w:t>矿区上部覆盖着粘土及黄土</w:t>
      </w:r>
      <w:r>
        <w:rPr>
          <w:rFonts w:hint="eastAsia" w:ascii="宋体" w:hAnsi="宋体" w:cs="宋体"/>
          <w:sz w:val="24"/>
        </w:rPr>
        <w:t>,矿区内第四系全新统近代河床卵石、砾石、砂、亚砂土为矿体顶板，底板岩性与矿体一致。</w:t>
      </w:r>
    </w:p>
    <w:p>
      <w:pPr>
        <w:spacing w:line="360" w:lineRule="auto"/>
        <w:ind w:firstLine="480" w:firstLineChars="200"/>
        <w:rPr>
          <w:rFonts w:ascii="宋体" w:hAnsi="宋体" w:cs="宋体"/>
          <w:sz w:val="24"/>
          <w:lang w:val="zh-TW"/>
        </w:rPr>
      </w:pPr>
      <w:r>
        <w:rPr>
          <w:rFonts w:hint="eastAsia" w:ascii="宋体" w:hAnsi="宋体" w:cs="宋体"/>
          <w:sz w:val="24"/>
        </w:rPr>
        <w:t>矿体内未发现夹层</w:t>
      </w:r>
      <w:r>
        <w:rPr>
          <w:rFonts w:hint="eastAsia" w:ascii="宋体" w:hAnsi="宋体" w:cs="宋体"/>
          <w:sz w:val="24"/>
          <w:lang w:val="zh-TW"/>
        </w:rPr>
        <w:t>。</w:t>
      </w:r>
    </w:p>
    <w:p>
      <w:pPr>
        <w:spacing w:line="360" w:lineRule="auto"/>
        <w:ind w:firstLine="482" w:firstLineChars="200"/>
        <w:rPr>
          <w:rFonts w:ascii="宋体" w:hAnsi="宋体" w:cs="宋体"/>
          <w:b/>
          <w:bCs/>
          <w:sz w:val="24"/>
          <w:lang w:val="zh-TW"/>
        </w:rPr>
      </w:pPr>
      <w:r>
        <w:rPr>
          <w:rFonts w:hint="eastAsia" w:ascii="宋体" w:hAnsi="宋体" w:cs="宋体"/>
          <w:b/>
          <w:bCs/>
          <w:sz w:val="24"/>
        </w:rPr>
        <w:t>4、</w:t>
      </w:r>
      <w:r>
        <w:rPr>
          <w:rFonts w:hint="eastAsia" w:ascii="宋体" w:hAnsi="宋体" w:cs="宋体"/>
          <w:b/>
          <w:bCs/>
          <w:sz w:val="24"/>
          <w:lang w:val="zh-TW"/>
        </w:rPr>
        <w:t>矿床成因类型</w:t>
      </w:r>
    </w:p>
    <w:p>
      <w:pPr>
        <w:spacing w:line="360" w:lineRule="auto"/>
        <w:ind w:firstLine="480" w:firstLineChars="200"/>
        <w:rPr>
          <w:rFonts w:ascii="宋体" w:hAnsi="宋体"/>
          <w:sz w:val="24"/>
        </w:rPr>
      </w:pPr>
      <w:r>
        <w:rPr>
          <w:rFonts w:hint="eastAsia" w:ascii="宋体" w:hAnsi="宋体" w:cs="宋体"/>
          <w:sz w:val="24"/>
          <w:lang w:val="zh-TW"/>
        </w:rPr>
        <w:t>矿区位于</w:t>
      </w:r>
      <w:r>
        <w:rPr>
          <w:rFonts w:hint="eastAsia" w:ascii="宋体" w:hAnsi="宋体" w:cs="宋体"/>
          <w:sz w:val="24"/>
          <w:lang w:val="zh-TW" w:eastAsia="zh-CN"/>
        </w:rPr>
        <w:t>********</w:t>
      </w:r>
      <w:r>
        <w:rPr>
          <w:rFonts w:hint="eastAsia" w:ascii="宋体" w:hAnsi="宋体" w:cs="宋体"/>
          <w:sz w:val="24"/>
          <w:lang w:val="zh-TW"/>
        </w:rPr>
        <w:t>南西向</w:t>
      </w:r>
      <w:r>
        <w:rPr>
          <w:rFonts w:hint="eastAsia" w:ascii="宋体" w:hAnsi="宋体"/>
          <w:sz w:val="24"/>
          <w:lang w:eastAsia="zh-CN"/>
        </w:rPr>
        <w:t>********</w:t>
      </w:r>
      <w:r>
        <w:rPr>
          <w:rFonts w:hint="eastAsia" w:ascii="宋体" w:hAnsi="宋体"/>
          <w:sz w:val="24"/>
        </w:rPr>
        <w:t>第3级阶地，为沉积型矿床。第四系冲洪积砂砾石出露较广。经矿区外围调查，矿区内石英砂岩矿层矿权范围外均有延伸，区域内分布广泛，矿床远景较大。</w:t>
      </w:r>
    </w:p>
    <w:p>
      <w:pPr>
        <w:numPr>
          <w:ilvl w:val="2"/>
          <w:numId w:val="2"/>
        </w:numPr>
        <w:spacing w:line="480" w:lineRule="auto"/>
        <w:outlineLvl w:val="2"/>
        <w:rPr>
          <w:rFonts w:ascii="宋体"/>
          <w:b/>
          <w:sz w:val="28"/>
          <w:szCs w:val="28"/>
        </w:rPr>
      </w:pPr>
      <w:bookmarkStart w:id="91" w:name="_Toc20222"/>
      <w:bookmarkStart w:id="92" w:name="_Toc7194"/>
      <w:bookmarkStart w:id="93" w:name="_Toc5259"/>
      <w:bookmarkStart w:id="94" w:name="_Toc20306"/>
      <w:bookmarkStart w:id="95" w:name="_Toc13789"/>
      <w:bookmarkStart w:id="96" w:name="_Toc9946"/>
      <w:bookmarkStart w:id="97" w:name="_Toc401742803"/>
      <w:r>
        <w:rPr>
          <w:rFonts w:hint="eastAsia" w:ascii="宋体"/>
          <w:b/>
          <w:bCs/>
          <w:sz w:val="28"/>
          <w:szCs w:val="28"/>
        </w:rPr>
        <w:t>矿石类型</w:t>
      </w:r>
      <w:bookmarkEnd w:id="91"/>
      <w:bookmarkEnd w:id="92"/>
      <w:bookmarkEnd w:id="93"/>
      <w:bookmarkEnd w:id="94"/>
      <w:bookmarkEnd w:id="95"/>
      <w:bookmarkEnd w:id="96"/>
      <w:bookmarkEnd w:id="97"/>
    </w:p>
    <w:p>
      <w:pPr>
        <w:spacing w:line="360" w:lineRule="auto"/>
        <w:ind w:firstLine="482" w:firstLineChars="200"/>
        <w:rPr>
          <w:rFonts w:ascii="宋体" w:hAnsi="宋体" w:cs="宋体"/>
          <w:b/>
          <w:bCs/>
          <w:sz w:val="24"/>
          <w:lang w:val="zh-TW"/>
        </w:rPr>
      </w:pPr>
      <w:bookmarkStart w:id="98" w:name="_Toc12258"/>
      <w:bookmarkStart w:id="99" w:name="_Toc401742804"/>
      <w:bookmarkStart w:id="100" w:name="_Toc5052"/>
      <w:bookmarkStart w:id="101" w:name="_Toc27465"/>
      <w:bookmarkStart w:id="102" w:name="_Toc25532"/>
      <w:bookmarkStart w:id="103" w:name="_Toc26833"/>
      <w:bookmarkStart w:id="104" w:name="_Toc28619"/>
      <w:bookmarkStart w:id="105" w:name="_Toc1175"/>
      <w:r>
        <w:rPr>
          <w:rFonts w:hint="eastAsia" w:ascii="宋体" w:hAnsi="宋体" w:cs="宋体"/>
          <w:b/>
          <w:bCs/>
          <w:sz w:val="24"/>
        </w:rPr>
        <w:t>1、</w:t>
      </w:r>
      <w:r>
        <w:rPr>
          <w:rFonts w:hint="eastAsia" w:ascii="宋体" w:hAnsi="宋体" w:cs="宋体"/>
          <w:b/>
          <w:bCs/>
          <w:sz w:val="24"/>
          <w:lang w:val="zh-TW"/>
        </w:rPr>
        <w:t>矿石自然类型</w:t>
      </w:r>
      <w:bookmarkEnd w:id="98"/>
      <w:bookmarkEnd w:id="99"/>
      <w:bookmarkEnd w:id="100"/>
      <w:bookmarkEnd w:id="101"/>
      <w:bookmarkEnd w:id="102"/>
      <w:bookmarkEnd w:id="103"/>
      <w:bookmarkEnd w:id="104"/>
      <w:bookmarkEnd w:id="105"/>
    </w:p>
    <w:p>
      <w:pPr>
        <w:spacing w:line="360" w:lineRule="auto"/>
        <w:ind w:firstLine="480" w:firstLineChars="200"/>
        <w:rPr>
          <w:rFonts w:ascii="宋体" w:hAnsi="宋体" w:cs="宋体"/>
          <w:sz w:val="24"/>
          <w:lang w:val="zh-TW"/>
        </w:rPr>
      </w:pPr>
      <w:bookmarkStart w:id="106" w:name="_Toc4146"/>
      <w:bookmarkStart w:id="107" w:name="_Toc2358"/>
      <w:bookmarkStart w:id="108" w:name="_Toc401742805"/>
      <w:bookmarkStart w:id="109" w:name="_Toc7940"/>
      <w:bookmarkStart w:id="110" w:name="_Toc27262"/>
      <w:bookmarkStart w:id="111" w:name="_Toc29478"/>
      <w:bookmarkStart w:id="112" w:name="_Toc30081"/>
      <w:bookmarkStart w:id="113" w:name="_Toc14149"/>
      <w:r>
        <w:rPr>
          <w:rFonts w:hint="eastAsia" w:ascii="宋体" w:hAnsi="宋体" w:cs="宋体"/>
          <w:sz w:val="24"/>
          <w:lang w:val="zh-TW"/>
        </w:rPr>
        <w:t>根据矿石的颜色、结构、构造特征，矿区内矿石的自然类型可分为灰色砂砾石一种自然类型。</w:t>
      </w:r>
    </w:p>
    <w:p>
      <w:pPr>
        <w:spacing w:line="360" w:lineRule="auto"/>
        <w:ind w:firstLine="482" w:firstLineChars="200"/>
        <w:rPr>
          <w:rFonts w:ascii="宋体" w:hAnsi="宋体" w:cs="宋体"/>
          <w:b/>
          <w:bCs/>
          <w:sz w:val="24"/>
          <w:lang w:val="zh-TW"/>
        </w:rPr>
      </w:pPr>
      <w:r>
        <w:rPr>
          <w:rFonts w:hint="eastAsia" w:ascii="宋体" w:hAnsi="宋体" w:cs="宋体"/>
          <w:b/>
          <w:bCs/>
          <w:sz w:val="24"/>
        </w:rPr>
        <w:t>2、</w:t>
      </w:r>
      <w:r>
        <w:rPr>
          <w:rFonts w:hint="eastAsia" w:ascii="宋体" w:hAnsi="宋体" w:cs="宋体"/>
          <w:b/>
          <w:bCs/>
          <w:sz w:val="24"/>
          <w:lang w:val="zh-TW"/>
        </w:rPr>
        <w:t>矿石工业类型</w:t>
      </w:r>
      <w:bookmarkEnd w:id="106"/>
      <w:bookmarkEnd w:id="107"/>
      <w:bookmarkEnd w:id="108"/>
      <w:bookmarkEnd w:id="109"/>
      <w:bookmarkEnd w:id="110"/>
      <w:bookmarkEnd w:id="111"/>
      <w:bookmarkEnd w:id="112"/>
      <w:bookmarkEnd w:id="113"/>
    </w:p>
    <w:p>
      <w:pPr>
        <w:spacing w:line="360" w:lineRule="auto"/>
        <w:ind w:firstLine="480" w:firstLineChars="200"/>
        <w:rPr>
          <w:rFonts w:ascii="宋体" w:hAnsi="宋体"/>
          <w:color w:val="000000"/>
          <w:sz w:val="24"/>
        </w:rPr>
      </w:pPr>
      <w:r>
        <w:rPr>
          <w:rFonts w:hint="eastAsia" w:ascii="宋体" w:hAnsi="宋体" w:cs="宋体"/>
          <w:sz w:val="24"/>
          <w:lang w:val="zh-TW"/>
        </w:rPr>
        <w:t>根据矿石的物质成分，依照《矿产资源工业要求手册》（2010)中“非金属矿产工业砾砂、卵石、碎石（集料用）、板岩、花岗岩”原料质量要求，区内矿体的矿石工业类型可划分为建筑用天然砾砂一种工业类型。</w:t>
      </w:r>
    </w:p>
    <w:p>
      <w:pPr>
        <w:numPr>
          <w:ilvl w:val="2"/>
          <w:numId w:val="2"/>
        </w:numPr>
        <w:spacing w:line="480" w:lineRule="auto"/>
        <w:outlineLvl w:val="2"/>
        <w:rPr>
          <w:rFonts w:ascii="宋体"/>
          <w:b/>
          <w:sz w:val="28"/>
          <w:szCs w:val="28"/>
        </w:rPr>
      </w:pPr>
      <w:r>
        <w:rPr>
          <w:rFonts w:hint="eastAsia" w:ascii="宋体"/>
          <w:b/>
          <w:sz w:val="28"/>
          <w:szCs w:val="28"/>
        </w:rPr>
        <w:t>矿床开采技术条件</w:t>
      </w:r>
    </w:p>
    <w:p>
      <w:pPr>
        <w:pStyle w:val="107"/>
        <w:ind w:firstLine="482"/>
        <w:rPr>
          <w:rFonts w:ascii="宋体" w:hAnsi="宋体"/>
          <w:b/>
          <w:bCs/>
          <w:szCs w:val="22"/>
        </w:rPr>
      </w:pPr>
      <w:r>
        <w:rPr>
          <w:rFonts w:hint="eastAsia" w:ascii="宋体" w:hAnsi="宋体"/>
          <w:b/>
          <w:bCs/>
          <w:szCs w:val="22"/>
        </w:rPr>
        <w:t>1、矿区地貌特征</w:t>
      </w:r>
    </w:p>
    <w:p>
      <w:pPr>
        <w:spacing w:line="360" w:lineRule="auto"/>
        <w:ind w:firstLine="480" w:firstLineChars="200"/>
        <w:rPr>
          <w:rFonts w:ascii="宋体" w:hAnsi="宋体"/>
          <w:szCs w:val="22"/>
        </w:rPr>
      </w:pPr>
      <w:r>
        <w:rPr>
          <w:rFonts w:hint="eastAsia" w:ascii="宋体" w:hAnsi="宋体" w:cs="宋体"/>
          <w:sz w:val="24"/>
          <w:lang w:val="zh-TW"/>
        </w:rPr>
        <w:t>矿区位于</w:t>
      </w:r>
      <w:r>
        <w:rPr>
          <w:rFonts w:hint="eastAsia" w:ascii="宋体" w:hAnsi="宋体" w:cs="宋体"/>
          <w:sz w:val="24"/>
          <w:lang w:val="zh-TW" w:eastAsia="zh-CN"/>
        </w:rPr>
        <w:t>********</w:t>
      </w:r>
      <w:r>
        <w:rPr>
          <w:rFonts w:hint="eastAsia" w:ascii="宋体" w:hAnsi="宋体" w:cs="宋体"/>
          <w:sz w:val="24"/>
          <w:lang w:val="zh-TW"/>
        </w:rPr>
        <w:t>沟以南的3级阶地上，海拔2560.38〜2465. 72m，最大相对高差达94.66m。地势总体北高南低，最低侵蚀基准面为2465.72m，区内山高沟深，地形切割强烈，属中低山丘陵区。区内无封闭洼地，区内地形自然排水条件良好。</w:t>
      </w:r>
    </w:p>
    <w:p>
      <w:pPr>
        <w:pStyle w:val="107"/>
        <w:ind w:firstLine="482"/>
        <w:rPr>
          <w:rFonts w:ascii="宋体" w:hAnsi="宋体"/>
          <w:b/>
          <w:bCs/>
          <w:szCs w:val="22"/>
        </w:rPr>
      </w:pPr>
      <w:r>
        <w:rPr>
          <w:rFonts w:hint="eastAsia" w:ascii="宋体" w:hAnsi="宋体"/>
          <w:b/>
          <w:bCs/>
          <w:szCs w:val="22"/>
        </w:rPr>
        <w:t>2、水文地质条件</w:t>
      </w:r>
    </w:p>
    <w:p>
      <w:pPr>
        <w:pStyle w:val="107"/>
        <w:ind w:left="420" w:leftChars="200" w:firstLine="0" w:firstLineChars="0"/>
        <w:rPr>
          <w:rFonts w:ascii="宋体" w:hAnsi="宋体" w:cs="宋体"/>
          <w:lang w:val="zh-TW"/>
        </w:rPr>
      </w:pPr>
      <w:r>
        <w:rPr>
          <w:rFonts w:hint="eastAsia" w:ascii="宋体" w:hAnsi="宋体" w:cs="宋体"/>
          <w:lang w:val="zh-TW"/>
        </w:rPr>
        <w:t>（</w:t>
      </w:r>
      <w:r>
        <w:rPr>
          <w:rFonts w:hint="eastAsia" w:ascii="宋体" w:hAnsi="宋体" w:cs="宋体"/>
        </w:rPr>
        <w:t>1</w:t>
      </w:r>
      <w:r>
        <w:rPr>
          <w:rFonts w:hint="eastAsia" w:ascii="宋体" w:hAnsi="宋体" w:cs="宋体"/>
          <w:lang w:val="zh-TW"/>
        </w:rPr>
        <w:t>）地表水</w:t>
      </w:r>
    </w:p>
    <w:p>
      <w:pPr>
        <w:pStyle w:val="107"/>
        <w:rPr>
          <w:rFonts w:ascii="宋体" w:hAnsi="宋体" w:cs="宋体"/>
          <w:lang w:val="zh-TW"/>
        </w:rPr>
      </w:pPr>
      <w:r>
        <w:rPr>
          <w:rFonts w:hint="eastAsia" w:ascii="宋体" w:hAnsi="宋体" w:cs="宋体"/>
          <w:lang w:val="zh-TW"/>
        </w:rPr>
        <w:t>矿区周围多为干沟，无溪流。地表水体主要为大气降水，年降水量约470毫米。雨水多集中在7〜9月份，属雨季，暴雨后有形成水量较大的洪流，北侧地形较低，沟谷宽阔，有利于洪水的排泄，矿区水文地质条件简单。</w:t>
      </w:r>
    </w:p>
    <w:p>
      <w:pPr>
        <w:pStyle w:val="107"/>
        <w:ind w:left="400" w:firstLine="0" w:firstLineChars="0"/>
        <w:rPr>
          <w:rFonts w:ascii="宋体" w:hAnsi="宋体" w:cs="宋体"/>
          <w:lang w:val="zh-TW"/>
        </w:rPr>
      </w:pPr>
      <w:r>
        <w:rPr>
          <w:rFonts w:hint="eastAsia" w:ascii="宋体" w:hAnsi="宋体" w:cs="宋体"/>
          <w:lang w:val="zh-TW"/>
        </w:rPr>
        <w:t>（</w:t>
      </w:r>
      <w:r>
        <w:rPr>
          <w:rFonts w:hint="eastAsia" w:ascii="宋体" w:hAnsi="宋体" w:cs="宋体"/>
        </w:rPr>
        <w:t>2</w:t>
      </w:r>
      <w:r>
        <w:rPr>
          <w:rFonts w:hint="eastAsia" w:ascii="宋体" w:hAnsi="宋体" w:cs="宋体"/>
          <w:lang w:val="zh-TW"/>
        </w:rPr>
        <w:t>）地下水</w:t>
      </w:r>
    </w:p>
    <w:p>
      <w:pPr>
        <w:pStyle w:val="107"/>
        <w:rPr>
          <w:rFonts w:ascii="宋体" w:hAnsi="宋体" w:cs="宋体"/>
          <w:lang w:val="zh-TW"/>
        </w:rPr>
      </w:pPr>
      <w:r>
        <w:rPr>
          <w:rFonts w:hint="eastAsia" w:ascii="宋体" w:hAnsi="宋体" w:cs="宋体"/>
          <w:lang w:val="zh-TW"/>
        </w:rPr>
        <w:t>矿区内地下水主要为松散岩类孔隙潜水。</w:t>
      </w:r>
    </w:p>
    <w:p>
      <w:pPr>
        <w:pStyle w:val="107"/>
        <w:rPr>
          <w:rFonts w:ascii="宋体" w:hAnsi="宋体" w:cs="宋体"/>
          <w:lang w:val="zh-TW"/>
        </w:rPr>
      </w:pPr>
      <w:r>
        <w:rPr>
          <w:rFonts w:hint="eastAsia" w:ascii="宋体" w:hAnsi="宋体" w:cs="宋体"/>
          <w:lang w:val="zh-TW"/>
        </w:rPr>
        <w:t>主要赋存在矿区内第四系全新统冲洪积物（Q</w:t>
      </w:r>
      <w:r>
        <w:rPr>
          <w:rFonts w:hint="eastAsia" w:ascii="宋体" w:hAnsi="宋体" w:cs="宋体"/>
        </w:rPr>
        <w:t>h</w:t>
      </w:r>
      <w:r>
        <w:rPr>
          <w:rFonts w:hint="eastAsia" w:ascii="宋体" w:hAnsi="宋体" w:cs="宋体"/>
          <w:vertAlign w:val="superscript"/>
        </w:rPr>
        <w:t>p</w:t>
      </w:r>
      <w:r>
        <w:rPr>
          <w:rFonts w:hint="eastAsia" w:ascii="宋体" w:hAnsi="宋体" w:cs="宋体"/>
          <w:vertAlign w:val="superscript"/>
          <w:lang w:val="zh-TW"/>
        </w:rPr>
        <w:t>al</w:t>
      </w:r>
      <w:r>
        <w:rPr>
          <w:rFonts w:hint="eastAsia" w:ascii="宋体" w:hAnsi="宋体" w:cs="宋体"/>
          <w:lang w:val="zh-TW"/>
        </w:rPr>
        <w:t>)中，该类地质体组构松散，孔隙度大，透水性良好。主要为褐色亚砂土、砂砾石，堆积表土等组成，厚度&gt;40m。</w:t>
      </w:r>
    </w:p>
    <w:p>
      <w:pPr>
        <w:pStyle w:val="107"/>
        <w:ind w:left="400" w:firstLine="0" w:firstLineChars="0"/>
        <w:rPr>
          <w:rFonts w:ascii="宋体" w:hAnsi="宋体" w:cs="宋体"/>
          <w:lang w:val="zh-TW"/>
        </w:rPr>
      </w:pPr>
      <w:r>
        <w:rPr>
          <w:rFonts w:hint="eastAsia" w:ascii="宋体" w:hAnsi="宋体" w:cs="宋体"/>
          <w:lang w:val="zh-TW"/>
        </w:rPr>
        <w:t>（</w:t>
      </w:r>
      <w:r>
        <w:rPr>
          <w:rFonts w:hint="eastAsia" w:ascii="宋体" w:hAnsi="宋体" w:cs="宋体"/>
        </w:rPr>
        <w:t>3</w:t>
      </w:r>
      <w:r>
        <w:rPr>
          <w:rFonts w:hint="eastAsia" w:ascii="宋体" w:hAnsi="宋体" w:cs="宋体"/>
          <w:lang w:val="zh-TW"/>
        </w:rPr>
        <w:t>）矿区含水层</w:t>
      </w:r>
    </w:p>
    <w:p>
      <w:pPr>
        <w:pStyle w:val="107"/>
        <w:rPr>
          <w:rFonts w:ascii="宋体" w:hAnsi="宋体" w:cs="宋体"/>
          <w:lang w:val="zh-TW"/>
        </w:rPr>
      </w:pPr>
      <w:r>
        <w:rPr>
          <w:rFonts w:hint="eastAsia" w:ascii="宋体" w:hAnsi="宋体" w:cs="宋体"/>
          <w:lang w:val="zh-TW"/>
        </w:rPr>
        <w:t>矿区内第四系上更新统冲积物组构松散，为卵石、砾石、砂、亚砂土，孔隙度大，透水性强，为区内相对含水层。</w:t>
      </w:r>
    </w:p>
    <w:p>
      <w:pPr>
        <w:pStyle w:val="107"/>
        <w:ind w:left="400" w:firstLine="0" w:firstLineChars="0"/>
        <w:rPr>
          <w:rFonts w:ascii="宋体" w:hAnsi="宋体" w:cs="宋体"/>
          <w:lang w:val="zh-TW"/>
        </w:rPr>
      </w:pPr>
      <w:r>
        <w:rPr>
          <w:rFonts w:hint="eastAsia" w:ascii="宋体" w:hAnsi="宋体" w:cs="宋体"/>
          <w:lang w:val="zh-TW"/>
        </w:rPr>
        <w:t>（</w:t>
      </w:r>
      <w:r>
        <w:rPr>
          <w:rFonts w:hint="eastAsia" w:ascii="宋体" w:hAnsi="宋体" w:cs="宋体"/>
        </w:rPr>
        <w:t>4</w:t>
      </w:r>
      <w:r>
        <w:rPr>
          <w:rFonts w:hint="eastAsia" w:ascii="宋体" w:hAnsi="宋体" w:cs="宋体"/>
          <w:lang w:val="zh-TW"/>
        </w:rPr>
        <w:t>）矿区隔水层</w:t>
      </w:r>
    </w:p>
    <w:p>
      <w:pPr>
        <w:pStyle w:val="107"/>
        <w:rPr>
          <w:rFonts w:ascii="宋体" w:hAnsi="宋体" w:cs="宋体"/>
          <w:lang w:val="zh-TW"/>
        </w:rPr>
      </w:pPr>
      <w:r>
        <w:rPr>
          <w:rFonts w:hint="eastAsia" w:ascii="宋体" w:hAnsi="宋体" w:cs="宋体"/>
          <w:lang w:val="zh-TW"/>
        </w:rPr>
        <w:t>矿区内的隔水层主要为山上的红土层，厚度&gt;10</w:t>
      </w:r>
      <w:r>
        <w:rPr>
          <w:rFonts w:hint="eastAsia" w:ascii="宋体" w:hAnsi="宋体" w:cs="宋体"/>
        </w:rPr>
        <w:t>m</w:t>
      </w:r>
      <w:r>
        <w:rPr>
          <w:rFonts w:hint="eastAsia" w:ascii="宋体" w:hAnsi="宋体" w:cs="宋体"/>
          <w:lang w:val="zh-TW"/>
        </w:rPr>
        <w:t>，多为不透水层。雨水不易渗透而形成地下水，为区内相对隔水层。</w:t>
      </w:r>
    </w:p>
    <w:p>
      <w:pPr>
        <w:pStyle w:val="107"/>
        <w:ind w:left="400" w:firstLine="0" w:firstLineChars="0"/>
        <w:rPr>
          <w:rFonts w:ascii="宋体" w:hAnsi="宋体" w:cs="宋体"/>
          <w:lang w:val="zh-TW"/>
        </w:rPr>
      </w:pPr>
      <w:r>
        <w:rPr>
          <w:rFonts w:hint="eastAsia" w:ascii="宋体" w:hAnsi="宋体" w:cs="宋体"/>
          <w:lang w:val="zh-TW"/>
        </w:rPr>
        <w:t>（</w:t>
      </w:r>
      <w:r>
        <w:rPr>
          <w:rFonts w:hint="eastAsia" w:ascii="宋体" w:hAnsi="宋体" w:cs="宋体"/>
        </w:rPr>
        <w:t>5</w:t>
      </w:r>
      <w:r>
        <w:rPr>
          <w:rFonts w:hint="eastAsia" w:ascii="宋体" w:hAnsi="宋体" w:cs="宋体"/>
          <w:lang w:val="zh-TW"/>
        </w:rPr>
        <w:t>）矿坑主要充水因素</w:t>
      </w:r>
    </w:p>
    <w:p>
      <w:pPr>
        <w:pStyle w:val="107"/>
        <w:rPr>
          <w:rFonts w:ascii="宋体" w:hAnsi="宋体" w:cs="宋体"/>
          <w:lang w:val="zh-TW"/>
        </w:rPr>
      </w:pPr>
      <w:r>
        <w:rPr>
          <w:rFonts w:hint="eastAsia" w:ascii="宋体" w:hAnsi="宋体" w:cs="宋体"/>
          <w:lang w:val="zh-TW"/>
        </w:rPr>
        <w:t>矿坑的主要充水因素为大气降水，矿区所处地带为一中间高两边低的山坡地貌，地下水侧向补给有限，地下水沿孔隙及裂隙自山梁向南、北山坡径流，在地形低洼地带排泄于矿区东西侧的沟谷中。矿山开采的最低开釆基高2475m，远高出冲沟中的最高洪水水位，故矿山开采时洪水不会对矿坑造成影响。</w:t>
      </w:r>
    </w:p>
    <w:p>
      <w:pPr>
        <w:pStyle w:val="107"/>
        <w:rPr>
          <w:rFonts w:ascii="宋体" w:hAnsi="宋体" w:cs="宋体"/>
          <w:lang w:val="zh-TW"/>
        </w:rPr>
      </w:pPr>
      <w:r>
        <w:rPr>
          <w:rFonts w:hint="eastAsia" w:ascii="宋体" w:hAnsi="宋体" w:cs="宋体"/>
          <w:lang w:val="zh-TW"/>
        </w:rPr>
        <w:t>矿区地表水不发育，大气降水有限，地下水的侧向补给亦有限，不会对未来矿山开采造成影响。</w:t>
      </w:r>
    </w:p>
    <w:p>
      <w:pPr>
        <w:pStyle w:val="107"/>
        <w:rPr>
          <w:rFonts w:ascii="宋体" w:hAnsi="宋体"/>
          <w:szCs w:val="22"/>
        </w:rPr>
      </w:pPr>
      <w:r>
        <w:rPr>
          <w:rFonts w:hint="eastAsia" w:ascii="宋体" w:hAnsi="宋体"/>
          <w:szCs w:val="22"/>
        </w:rPr>
        <w:t>综上所述，矿体最低开釆标高为2475m,矿床位于当地侵蚀基准面2465.72m以上，坡度30〜35°，沟谷宽度较大，有利于地表水和地下水的排泄，未来矿坑的直接充水因素为沟谷的短时洪水，建议做好防洪措施。总之矿区水文地质条件简单。</w:t>
      </w:r>
    </w:p>
    <w:p>
      <w:pPr>
        <w:pStyle w:val="107"/>
        <w:ind w:firstLine="482"/>
        <w:rPr>
          <w:rFonts w:ascii="宋体" w:hAnsi="宋体"/>
          <w:b/>
          <w:bCs/>
          <w:szCs w:val="22"/>
        </w:rPr>
      </w:pPr>
      <w:r>
        <w:rPr>
          <w:rFonts w:hint="eastAsia" w:ascii="宋体" w:hAnsi="宋体"/>
          <w:b/>
          <w:bCs/>
          <w:szCs w:val="22"/>
        </w:rPr>
        <w:t>3、工程地质条件</w:t>
      </w:r>
    </w:p>
    <w:p>
      <w:pPr>
        <w:pStyle w:val="107"/>
        <w:rPr>
          <w:rFonts w:ascii="宋体" w:hAnsi="宋体"/>
          <w:szCs w:val="22"/>
        </w:rPr>
      </w:pPr>
      <w:r>
        <w:rPr>
          <w:rFonts w:hint="eastAsia" w:ascii="宋体" w:hAnsi="宋体"/>
          <w:szCs w:val="22"/>
        </w:rPr>
        <w:t>根据岩石的岩土体工程地质特征分为松散土体和软岩体两种类型，分述如下：</w:t>
      </w:r>
    </w:p>
    <w:p>
      <w:pPr>
        <w:pStyle w:val="107"/>
        <w:ind w:left="400" w:firstLine="0" w:firstLineChars="0"/>
        <w:rPr>
          <w:rFonts w:ascii="宋体" w:hAnsi="宋体"/>
          <w:szCs w:val="22"/>
        </w:rPr>
      </w:pPr>
      <w:r>
        <w:rPr>
          <w:rFonts w:hint="eastAsia" w:ascii="宋体" w:hAnsi="宋体"/>
          <w:szCs w:val="22"/>
        </w:rPr>
        <w:t>（1）松散土体工程地质特征</w:t>
      </w:r>
    </w:p>
    <w:p>
      <w:pPr>
        <w:pStyle w:val="107"/>
        <w:rPr>
          <w:rFonts w:ascii="宋体" w:hAnsi="宋体"/>
          <w:szCs w:val="22"/>
        </w:rPr>
      </w:pPr>
      <w:r>
        <w:rPr>
          <w:rFonts w:hint="eastAsia" w:ascii="宋体" w:hAnsi="宋体"/>
          <w:szCs w:val="22"/>
        </w:rPr>
        <w:t>由第四系上更新统冲积、冲洪积层构成，岩性为卵石、砂砾石、亚砂土、砾砂粒层构成，砂状结构，松散状，中细孔隙结构，具低压缩性；主要矿物成分为粘粒，其次为细粉砂，含少量中砂，砂粒以石英为主。多分布在矿区中部及北部地形较低的地方，厚度&gt;100m。力学强度很低，极易受雨水的冲刷，稳定性较差。</w:t>
      </w:r>
    </w:p>
    <w:p>
      <w:pPr>
        <w:pStyle w:val="107"/>
        <w:ind w:left="400" w:firstLine="0" w:firstLineChars="0"/>
        <w:rPr>
          <w:rFonts w:ascii="宋体" w:hAnsi="宋体"/>
          <w:szCs w:val="22"/>
        </w:rPr>
      </w:pPr>
      <w:r>
        <w:rPr>
          <w:rFonts w:hint="eastAsia" w:ascii="宋体" w:hAnsi="宋体"/>
          <w:szCs w:val="22"/>
        </w:rPr>
        <w:t>（2）软岩体工程地质特征</w:t>
      </w:r>
    </w:p>
    <w:p>
      <w:pPr>
        <w:pStyle w:val="107"/>
        <w:rPr>
          <w:rFonts w:ascii="宋体" w:hAnsi="宋体"/>
          <w:szCs w:val="22"/>
        </w:rPr>
      </w:pPr>
      <w:r>
        <w:rPr>
          <w:rFonts w:hint="eastAsia" w:ascii="宋体" w:hAnsi="宋体"/>
          <w:szCs w:val="22"/>
        </w:rPr>
        <w:t>由第四系上更新统洪积物构成，岩性为砂质粘土岩，褐红色，砂状泥质结构，水平层状构造，具韵律层理，厚度&gt;20m。稍湿〜干，弱固结。主要矿物成分为粘粒，其次为粉砂，含少量中细砂，砂粒以石英为主。粘土岩风化后成黄土状粘土。多分布于矿区南北部，力学强度很低，极易受雨水的冲刷，稳定性较差。</w:t>
      </w:r>
    </w:p>
    <w:p>
      <w:pPr>
        <w:pStyle w:val="107"/>
        <w:ind w:left="400" w:firstLine="0" w:firstLineChars="0"/>
        <w:rPr>
          <w:rFonts w:ascii="宋体" w:hAnsi="宋体"/>
          <w:szCs w:val="22"/>
        </w:rPr>
      </w:pPr>
      <w:r>
        <w:rPr>
          <w:rFonts w:hint="eastAsia" w:ascii="宋体" w:hAnsi="宋体"/>
          <w:szCs w:val="22"/>
        </w:rPr>
        <w:t>（3）不良地质工程地质特征</w:t>
      </w:r>
    </w:p>
    <w:p>
      <w:pPr>
        <w:pStyle w:val="107"/>
        <w:numPr>
          <w:ilvl w:val="0"/>
          <w:numId w:val="9"/>
        </w:numPr>
        <w:ind w:firstLine="480"/>
        <w:rPr>
          <w:rFonts w:ascii="宋体" w:hAnsi="宋体"/>
          <w:szCs w:val="22"/>
        </w:rPr>
      </w:pPr>
      <w:r>
        <w:rPr>
          <w:rFonts w:hint="eastAsia" w:ascii="宋体" w:hAnsi="宋体"/>
          <w:szCs w:val="22"/>
        </w:rPr>
        <w:t>不稳定斜坡</w:t>
      </w:r>
    </w:p>
    <w:p>
      <w:pPr>
        <w:pStyle w:val="107"/>
        <w:rPr>
          <w:rFonts w:ascii="宋体" w:hAnsi="宋体"/>
          <w:szCs w:val="22"/>
        </w:rPr>
      </w:pPr>
      <w:r>
        <w:rPr>
          <w:rFonts w:hint="eastAsia" w:ascii="宋体" w:hAnsi="宋体"/>
          <w:szCs w:val="22"/>
        </w:rPr>
        <w:t>矿床开采后南东部将形成45°的较陡斜坡，斜坡上的岩土体在人工开挖不当的情况下，尤其雨季极易顺软弱带发生崩塌，碎落等形式的破环，采矿时应注意防护。</w:t>
      </w:r>
    </w:p>
    <w:p>
      <w:pPr>
        <w:pStyle w:val="107"/>
        <w:numPr>
          <w:ilvl w:val="0"/>
          <w:numId w:val="9"/>
        </w:numPr>
        <w:ind w:firstLine="480"/>
        <w:rPr>
          <w:rFonts w:ascii="宋体" w:hAnsi="宋体"/>
          <w:szCs w:val="22"/>
        </w:rPr>
      </w:pPr>
      <w:r>
        <w:rPr>
          <w:rFonts w:hint="eastAsia" w:ascii="宋体" w:hAnsi="宋体"/>
          <w:szCs w:val="22"/>
        </w:rPr>
        <w:t>滑坡</w:t>
      </w:r>
    </w:p>
    <w:p>
      <w:pPr>
        <w:pStyle w:val="107"/>
        <w:rPr>
          <w:rFonts w:ascii="宋体" w:hAnsi="宋体"/>
          <w:szCs w:val="22"/>
        </w:rPr>
      </w:pPr>
      <w:r>
        <w:rPr>
          <w:rFonts w:hint="eastAsia" w:ascii="宋体" w:hAnsi="宋体"/>
          <w:szCs w:val="22"/>
        </w:rPr>
        <w:t>矿区内东部较高山坡软岩部分，地形坡度大、岩土体稳定性较差，抗工程扰动能力弱，开挖边坡时易诱发滑坡、崩塌等地质灾害。尤其在有雨水、人为管理不当等的影响下。雨水渗入松散地质体补给地下水，遇到泥岩时地下水发生积聚，对上覆盖黄土侵润能力加强，形成软化带，最终形成浅层滑坍或表土溜滑。釆矿过程中应注意防范。</w:t>
      </w:r>
    </w:p>
    <w:p>
      <w:pPr>
        <w:pStyle w:val="107"/>
        <w:ind w:left="400" w:firstLine="0" w:firstLineChars="0"/>
        <w:rPr>
          <w:rFonts w:ascii="宋体" w:hAnsi="宋体"/>
          <w:szCs w:val="22"/>
        </w:rPr>
      </w:pPr>
      <w:r>
        <w:rPr>
          <w:rFonts w:hint="eastAsia" w:ascii="宋体" w:hAnsi="宋体"/>
          <w:szCs w:val="22"/>
        </w:rPr>
        <w:t>（4）工程地质条件评价</w:t>
      </w:r>
    </w:p>
    <w:p>
      <w:pPr>
        <w:pStyle w:val="107"/>
        <w:rPr>
          <w:rFonts w:ascii="宋体" w:hAnsi="宋体"/>
          <w:szCs w:val="22"/>
        </w:rPr>
      </w:pPr>
      <w:r>
        <w:rPr>
          <w:rFonts w:hint="eastAsia" w:ascii="宋体" w:hAnsi="宋体"/>
          <w:szCs w:val="22"/>
        </w:rPr>
        <w:t>矿区地处</w:t>
      </w:r>
      <w:r>
        <w:rPr>
          <w:rFonts w:hint="eastAsia" w:ascii="宋体" w:hAnsi="宋体"/>
          <w:szCs w:val="22"/>
          <w:lang w:eastAsia="zh-CN"/>
        </w:rPr>
        <w:t>********</w:t>
      </w:r>
      <w:r>
        <w:rPr>
          <w:rFonts w:hint="eastAsia" w:ascii="宋体" w:hAnsi="宋体"/>
          <w:szCs w:val="22"/>
        </w:rPr>
        <w:t>3级阶地，矿区内砂砾石上部覆盖着粘土及黄土，在强降雨或暴雨时易发生崩塌、等地质灾害。对矿床开釆有较大危害，建议做好防治措施，总之矿区内工程地质条件良好经调查矿区及附近未发现泥石流、滑坡、断层等不良工程地质现象。</w:t>
      </w:r>
    </w:p>
    <w:p>
      <w:pPr>
        <w:pStyle w:val="107"/>
        <w:rPr>
          <w:rFonts w:ascii="宋体" w:hAnsi="宋体"/>
          <w:szCs w:val="22"/>
        </w:rPr>
      </w:pPr>
      <w:r>
        <w:rPr>
          <w:rFonts w:hint="eastAsia" w:ascii="宋体" w:hAnsi="宋体"/>
          <w:szCs w:val="22"/>
        </w:rPr>
        <w:t>综上所述，矿山工程地质条件简单。</w:t>
      </w:r>
    </w:p>
    <w:p>
      <w:pPr>
        <w:pStyle w:val="107"/>
        <w:ind w:firstLine="482"/>
        <w:rPr>
          <w:rFonts w:ascii="宋体" w:hAnsi="宋体"/>
          <w:b/>
          <w:bCs/>
          <w:szCs w:val="22"/>
        </w:rPr>
      </w:pPr>
      <w:r>
        <w:rPr>
          <w:rFonts w:hint="eastAsia" w:ascii="宋体" w:hAnsi="宋体"/>
          <w:b/>
          <w:bCs/>
          <w:szCs w:val="22"/>
        </w:rPr>
        <w:t>4、环境地质条件</w:t>
      </w:r>
    </w:p>
    <w:p>
      <w:pPr>
        <w:pStyle w:val="107"/>
        <w:rPr>
          <w:rFonts w:ascii="宋体" w:hAnsi="宋体"/>
        </w:rPr>
      </w:pPr>
      <w:r>
        <w:rPr>
          <w:rFonts w:hint="eastAsia" w:ascii="宋体" w:hAnsi="宋体"/>
          <w:szCs w:val="22"/>
        </w:rPr>
        <w:t>矿区位于</w:t>
      </w:r>
      <w:r>
        <w:rPr>
          <w:rFonts w:hint="eastAsia" w:ascii="宋体" w:hAnsi="宋体"/>
          <w:szCs w:val="22"/>
          <w:lang w:eastAsia="zh-CN"/>
        </w:rPr>
        <w:t>****************</w:t>
      </w:r>
      <w:r>
        <w:rPr>
          <w:rFonts w:hint="eastAsia" w:ascii="宋体" w:hAnsi="宋体"/>
        </w:rPr>
        <w:t>以南</w:t>
      </w:r>
      <w:r>
        <w:rPr>
          <w:rFonts w:hint="eastAsia" w:ascii="宋体" w:hAnsi="宋体"/>
          <w:lang w:eastAsia="zh-CN"/>
        </w:rPr>
        <w:t>********</w:t>
      </w:r>
      <w:r>
        <w:rPr>
          <w:rFonts w:hint="eastAsia" w:ascii="宋体" w:hAnsi="宋体"/>
        </w:rPr>
        <w:t>第3级阶地，区内山高沟深，地形切割强烈，属中低山丘陵区。地势中高两边低，最大相对高差达94.66m。矿区及附近无大的断裂构造和活动性断裂存在，矿区内目前不存在崩塌、滑坡、泥石流等地质灾害和环境污染情况。历年来未出现过烈度较强的地震，据1992年12月</w:t>
      </w:r>
      <w:r>
        <w:rPr>
          <w:rFonts w:hint="eastAsia" w:ascii="宋体" w:hAnsi="宋体"/>
          <w:lang w:eastAsia="zh-CN"/>
        </w:rPr>
        <w:t>********</w:t>
      </w:r>
      <w:r>
        <w:rPr>
          <w:rFonts w:hint="eastAsia" w:ascii="宋体" w:hAnsi="宋体"/>
        </w:rPr>
        <w:t>抗震办资料，区域地震烈度为 7度，基本地震加速度为0.10g，地震动反应谱特征周期为0.40s，区域稳定性较好。</w:t>
      </w:r>
    </w:p>
    <w:p>
      <w:pPr>
        <w:pStyle w:val="107"/>
        <w:rPr>
          <w:rFonts w:ascii="宋体" w:hAnsi="宋体"/>
        </w:rPr>
      </w:pPr>
      <w:r>
        <w:rPr>
          <w:rFonts w:hint="eastAsia" w:ascii="宋体" w:hAnsi="宋体"/>
        </w:rPr>
        <w:t>矿山开采时应对崩塌等地质灾害的工作做好防治。</w:t>
      </w:r>
    </w:p>
    <w:p>
      <w:pPr>
        <w:pStyle w:val="107"/>
        <w:rPr>
          <w:rFonts w:ascii="宋体" w:hAnsi="宋体"/>
        </w:rPr>
      </w:pPr>
      <w:r>
        <w:rPr>
          <w:rFonts w:hint="eastAsia" w:ascii="宋体" w:hAnsi="宋体"/>
        </w:rPr>
        <w:t>矿石中没有对人体有毒、有害元素，无放射性，对生产及人身安全无影响。</w:t>
      </w:r>
    </w:p>
    <w:p>
      <w:pPr>
        <w:pStyle w:val="107"/>
      </w:pPr>
      <w:r>
        <w:rPr>
          <w:rFonts w:hint="eastAsia" w:ascii="宋体" w:hAnsi="宋体"/>
        </w:rPr>
        <w:t>釆矿时应尽量保护周围的生态环境，勿乱采、滥挖</w:t>
      </w:r>
      <w:r>
        <w:rPr>
          <w:rFonts w:hint="eastAsia"/>
        </w:rPr>
        <w:t>。</w:t>
      </w:r>
    </w:p>
    <w:p>
      <w:pPr>
        <w:numPr>
          <w:ilvl w:val="2"/>
          <w:numId w:val="2"/>
        </w:numPr>
        <w:spacing w:line="360" w:lineRule="auto"/>
        <w:outlineLvl w:val="2"/>
        <w:rPr>
          <w:rFonts w:ascii="宋体"/>
          <w:b/>
          <w:sz w:val="28"/>
          <w:szCs w:val="28"/>
        </w:rPr>
      </w:pPr>
      <w:r>
        <w:rPr>
          <w:rFonts w:hint="eastAsia" w:ascii="宋体"/>
          <w:b/>
          <w:sz w:val="28"/>
          <w:szCs w:val="28"/>
        </w:rPr>
        <w:t>设计利用矿产资源储量</w:t>
      </w:r>
    </w:p>
    <w:p>
      <w:pPr>
        <w:pStyle w:val="107"/>
        <w:ind w:firstLine="482"/>
        <w:rPr>
          <w:rFonts w:ascii="宋体" w:hAnsi="宋体"/>
          <w:b/>
          <w:bCs/>
          <w:szCs w:val="22"/>
        </w:rPr>
      </w:pPr>
      <w:r>
        <w:rPr>
          <w:rFonts w:hint="eastAsia" w:ascii="宋体" w:hAnsi="宋体"/>
          <w:b/>
          <w:bCs/>
          <w:szCs w:val="22"/>
        </w:rPr>
        <w:t>1、备案认定的矿产资源量</w:t>
      </w:r>
    </w:p>
    <w:p>
      <w:pPr>
        <w:pStyle w:val="107"/>
        <w:rPr>
          <w:rFonts w:ascii="宋体" w:hAnsi="宋体"/>
          <w:szCs w:val="22"/>
        </w:rPr>
      </w:pPr>
      <w:r>
        <w:rPr>
          <w:rFonts w:hint="eastAsia" w:ascii="宋体" w:hAnsi="宋体"/>
          <w:szCs w:val="22"/>
          <w:lang w:val="zh-TW"/>
        </w:rPr>
        <w:t>资源量估算报告提交的预测</w:t>
      </w:r>
      <w:r>
        <w:rPr>
          <w:rFonts w:hint="eastAsia" w:ascii="宋体" w:hAnsi="宋体"/>
          <w:szCs w:val="22"/>
        </w:rPr>
        <w:t>的内蕴经济资源量</w:t>
      </w:r>
      <w:r>
        <w:rPr>
          <w:rFonts w:hint="eastAsia" w:ascii="宋体" w:hAnsi="宋体"/>
          <w:szCs w:val="22"/>
          <w:lang w:val="zh-TW"/>
        </w:rPr>
        <w:t>为（334）23.88万m</w:t>
      </w:r>
      <w:r>
        <w:rPr>
          <w:rFonts w:hint="eastAsia" w:ascii="宋体" w:hAnsi="宋体"/>
          <w:szCs w:val="22"/>
          <w:vertAlign w:val="superscript"/>
          <w:lang w:val="zh-TW"/>
        </w:rPr>
        <w:t>3</w:t>
      </w:r>
      <w:r>
        <w:rPr>
          <w:rFonts w:hint="eastAsia" w:ascii="宋体" w:hAnsi="宋体"/>
          <w:szCs w:val="22"/>
          <w:lang w:val="zh-TW"/>
        </w:rPr>
        <w:t>。</w:t>
      </w:r>
    </w:p>
    <w:p>
      <w:pPr>
        <w:pStyle w:val="107"/>
        <w:ind w:firstLine="482"/>
        <w:rPr>
          <w:rFonts w:ascii="宋体" w:hAnsi="宋体"/>
          <w:b/>
          <w:bCs/>
          <w:szCs w:val="22"/>
        </w:rPr>
      </w:pPr>
      <w:r>
        <w:rPr>
          <w:rFonts w:hint="eastAsia" w:ascii="宋体" w:hAnsi="宋体"/>
          <w:b/>
          <w:bCs/>
          <w:szCs w:val="22"/>
        </w:rPr>
        <w:t>2、设计利用的矿产资源量</w:t>
      </w:r>
    </w:p>
    <w:p>
      <w:pPr>
        <w:pStyle w:val="107"/>
        <w:rPr>
          <w:rFonts w:ascii="宋体" w:hAnsi="宋体"/>
          <w:szCs w:val="22"/>
        </w:rPr>
      </w:pPr>
      <w:r>
        <w:rPr>
          <w:rFonts w:hint="eastAsia" w:ascii="宋体" w:hAnsi="宋体"/>
          <w:szCs w:val="22"/>
        </w:rPr>
        <w:t>（1）工业指标</w:t>
      </w:r>
    </w:p>
    <w:p>
      <w:pPr>
        <w:pStyle w:val="107"/>
        <w:rPr>
          <w:rFonts w:ascii="宋体" w:hAnsi="宋体"/>
          <w:szCs w:val="22"/>
        </w:rPr>
      </w:pPr>
      <w:r>
        <w:rPr>
          <w:rFonts w:hint="eastAsia" w:ascii="宋体" w:hAnsi="宋体"/>
          <w:szCs w:val="22"/>
        </w:rPr>
        <w:t>本方案工业指标套用</w:t>
      </w:r>
      <w:r>
        <w:rPr>
          <w:rFonts w:hint="eastAsia" w:ascii="宋体" w:hAnsi="宋体"/>
          <w:szCs w:val="22"/>
          <w:lang w:eastAsia="zh-CN"/>
        </w:rPr>
        <w:t>********</w:t>
      </w:r>
      <w:r>
        <w:rPr>
          <w:rFonts w:hint="eastAsia" w:ascii="宋体" w:hAnsi="宋体"/>
          <w:szCs w:val="22"/>
        </w:rPr>
        <w:t>“</w:t>
      </w:r>
      <w:r>
        <w:rPr>
          <w:rFonts w:hint="eastAsia" w:ascii="宋体" w:hAnsi="宋体"/>
          <w:szCs w:val="22"/>
          <w:lang w:eastAsia="zh-CN"/>
        </w:rPr>
        <w:t>********</w:t>
      </w:r>
      <w:r>
        <w:rPr>
          <w:rFonts w:hint="eastAsia" w:ascii="宋体" w:hAnsi="宋体"/>
          <w:szCs w:val="22"/>
        </w:rPr>
        <w:t>砂石矿资源量估算报告”。</w:t>
      </w:r>
    </w:p>
    <w:p>
      <w:pPr>
        <w:pStyle w:val="107"/>
        <w:rPr>
          <w:rFonts w:ascii="宋体" w:hAnsi="宋体"/>
          <w:szCs w:val="22"/>
        </w:rPr>
      </w:pPr>
      <w:r>
        <w:rPr>
          <w:rFonts w:hint="eastAsia" w:ascii="宋体" w:hAnsi="宋体"/>
          <w:szCs w:val="22"/>
        </w:rPr>
        <w:t>根据附近砂石料场的釆选现状和要求，当地对砂石料的规格要求为：粒径100～40mm、40～20mm、20～5mm、＜5mm。并参照《矿产工业要求参考手册》中天然砂一般工业指标要求执行。主要指标具体如下：</w:t>
      </w:r>
    </w:p>
    <w:p>
      <w:pPr>
        <w:pStyle w:val="107"/>
        <w:rPr>
          <w:rFonts w:ascii="宋体" w:hAnsi="宋体"/>
          <w:b/>
          <w:bCs/>
          <w:sz w:val="21"/>
          <w:szCs w:val="21"/>
        </w:rPr>
      </w:pPr>
      <w:r>
        <w:rPr>
          <w:rFonts w:hint="eastAsia" w:ascii="宋体" w:hAnsi="宋体"/>
          <w:szCs w:val="22"/>
        </w:rPr>
        <w:t>据国家标准（GB/T14684—2001)，砂按产源分为天然砂、人工砂两类；天然砂分为河砂、湖砂、山砂、淡砂、海砂；按细度模数分为粗（3.7〜3.1mm)、中（3.0〜2.3mm)、细（2.2〜1.6mm)三种规格；按技术要求分为I、II、III(I类用于强度等级大于C60的混凝土、II类用于强度等于C30〜C60及抗冻、抗渗或其他要求的混凝土、III类用于强度等级小于C30的混凝土和建筑用砂浆）。作为细集料的砂的品质要求有；颗粒级配、含泥量、泥块含量、有害物质含量、坚固性、压碎指标、表观密度、堆积密度、孔隙率、碱集料等9项指标。（见表3-2)</w:t>
      </w:r>
      <w:r>
        <w:rPr>
          <w:rFonts w:hint="eastAsia" w:ascii="宋体" w:hAnsi="宋体"/>
          <w:szCs w:val="22"/>
        </w:rPr>
        <w:tab/>
      </w:r>
    </w:p>
    <w:p>
      <w:pPr>
        <w:jc w:val="center"/>
      </w:pPr>
      <w:r>
        <w:rPr>
          <w:rFonts w:hint="eastAsia" w:ascii="宋体" w:hAnsi="宋体"/>
          <w:b/>
          <w:bCs/>
          <w:szCs w:val="21"/>
        </w:rPr>
        <w:t>表3-2  细集料砂的品质要求一览表</w:t>
      </w:r>
    </w:p>
    <w:tbl>
      <w:tblPr>
        <w:tblStyle w:val="59"/>
        <w:tblW w:w="84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1088"/>
        <w:gridCol w:w="2881"/>
        <w:gridCol w:w="1035"/>
        <w:gridCol w:w="1062"/>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exact"/>
          <w:jc w:val="center"/>
        </w:trPr>
        <w:tc>
          <w:tcPr>
            <w:tcW w:w="4912" w:type="dxa"/>
            <w:gridSpan w:val="3"/>
            <w:vMerge w:val="restart"/>
            <w:shd w:val="clear" w:color="auto" w:fill="FFFFFF"/>
            <w:vAlign w:val="center"/>
          </w:tcPr>
          <w:p>
            <w:pPr>
              <w:jc w:val="center"/>
            </w:pPr>
            <w:r>
              <w:rPr>
                <w:rFonts w:hint="eastAsia"/>
              </w:rPr>
              <w:t>项目</w:t>
            </w:r>
          </w:p>
        </w:tc>
        <w:tc>
          <w:tcPr>
            <w:tcW w:w="3504" w:type="dxa"/>
            <w:gridSpan w:val="3"/>
            <w:shd w:val="clear" w:color="auto" w:fill="FFFFFF"/>
            <w:vAlign w:val="center"/>
          </w:tcPr>
          <w:p>
            <w:pPr>
              <w:jc w:val="center"/>
            </w:pPr>
            <w:r>
              <w:rPr>
                <w:rFonts w:hint="eastAsia"/>
              </w:rPr>
              <w:t>技术分类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912" w:type="dxa"/>
            <w:gridSpan w:val="3"/>
            <w:vMerge w:val="continue"/>
            <w:shd w:val="clear" w:color="auto" w:fill="FFFFFF"/>
            <w:vAlign w:val="center"/>
          </w:tcPr>
          <w:p>
            <w:pPr>
              <w:jc w:val="center"/>
            </w:pPr>
          </w:p>
        </w:tc>
        <w:tc>
          <w:tcPr>
            <w:tcW w:w="1035" w:type="dxa"/>
            <w:shd w:val="clear" w:color="auto" w:fill="FFFFFF"/>
            <w:vAlign w:val="center"/>
          </w:tcPr>
          <w:p>
            <w:pPr>
              <w:jc w:val="center"/>
            </w:pPr>
            <w:r>
              <w:rPr>
                <w:rFonts w:hint="eastAsia"/>
                <w:lang w:val="zh-TW"/>
              </w:rPr>
              <w:t>I</w:t>
            </w:r>
          </w:p>
        </w:tc>
        <w:tc>
          <w:tcPr>
            <w:tcW w:w="1062" w:type="dxa"/>
            <w:shd w:val="clear" w:color="auto" w:fill="FFFFFF"/>
            <w:vAlign w:val="center"/>
          </w:tcPr>
          <w:p>
            <w:pPr>
              <w:jc w:val="center"/>
            </w:pPr>
            <w:r>
              <w:rPr>
                <w:rFonts w:hint="eastAsia"/>
                <w:lang w:val="zh-TW"/>
              </w:rPr>
              <w:t>II</w:t>
            </w:r>
          </w:p>
        </w:tc>
        <w:tc>
          <w:tcPr>
            <w:tcW w:w="1407" w:type="dxa"/>
            <w:shd w:val="clear" w:color="auto" w:fill="FFFFFF"/>
            <w:vAlign w:val="center"/>
          </w:tcPr>
          <w:p>
            <w:pPr>
              <w:jc w:val="center"/>
            </w:pPr>
            <w:r>
              <w:rPr>
                <w:rFonts w:hint="eastAsia"/>
                <w:lang w:val="zh-TW"/>
              </w:rPr>
              <w:t>III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exact"/>
          <w:jc w:val="center"/>
        </w:trPr>
        <w:tc>
          <w:tcPr>
            <w:tcW w:w="4912" w:type="dxa"/>
            <w:gridSpan w:val="3"/>
            <w:shd w:val="clear" w:color="auto" w:fill="FFFFFF"/>
            <w:vAlign w:val="center"/>
          </w:tcPr>
          <w:p>
            <w:pPr>
              <w:jc w:val="center"/>
            </w:pPr>
            <w:r>
              <w:rPr>
                <w:rFonts w:hint="eastAsia"/>
              </w:rPr>
              <w:t>含泥量（％)</w:t>
            </w:r>
          </w:p>
        </w:tc>
        <w:tc>
          <w:tcPr>
            <w:tcW w:w="1035" w:type="dxa"/>
            <w:shd w:val="clear" w:color="auto" w:fill="FFFFFF"/>
            <w:vAlign w:val="center"/>
          </w:tcPr>
          <w:p>
            <w:pPr>
              <w:jc w:val="center"/>
            </w:pPr>
            <w:r>
              <w:rPr>
                <w:rFonts w:hint="eastAsia"/>
              </w:rPr>
              <w:t>&lt;1.</w:t>
            </w:r>
            <w:r>
              <w:rPr>
                <w:rFonts w:hint="eastAsia"/>
                <w:lang w:val="zh-TW"/>
              </w:rPr>
              <w:t>0</w:t>
            </w:r>
          </w:p>
        </w:tc>
        <w:tc>
          <w:tcPr>
            <w:tcW w:w="1062" w:type="dxa"/>
            <w:shd w:val="clear" w:color="auto" w:fill="FFFFFF"/>
            <w:vAlign w:val="center"/>
          </w:tcPr>
          <w:p>
            <w:pPr>
              <w:jc w:val="center"/>
            </w:pPr>
            <w:r>
              <w:rPr>
                <w:rFonts w:hint="eastAsia"/>
              </w:rPr>
              <w:t>&lt;3.</w:t>
            </w:r>
            <w:r>
              <w:rPr>
                <w:rFonts w:hint="eastAsia"/>
                <w:lang w:val="zh-TW"/>
              </w:rPr>
              <w:t>0</w:t>
            </w:r>
          </w:p>
        </w:tc>
        <w:tc>
          <w:tcPr>
            <w:tcW w:w="1407" w:type="dxa"/>
            <w:shd w:val="clear" w:color="auto" w:fill="FFFFFF"/>
            <w:vAlign w:val="center"/>
          </w:tcPr>
          <w:p>
            <w:pPr>
              <w:jc w:val="center"/>
            </w:pPr>
            <w:r>
              <w:rPr>
                <w:rFonts w:hint="eastAsia"/>
              </w:rPr>
              <w:t>&lt;5.</w:t>
            </w:r>
            <w:r>
              <w:rPr>
                <w:rFonts w:hint="eastAsia"/>
                <w:lang w:val="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exact"/>
          <w:jc w:val="center"/>
        </w:trPr>
        <w:tc>
          <w:tcPr>
            <w:tcW w:w="4912" w:type="dxa"/>
            <w:gridSpan w:val="3"/>
            <w:shd w:val="clear" w:color="auto" w:fill="FFFFFF"/>
            <w:vAlign w:val="center"/>
          </w:tcPr>
          <w:p>
            <w:pPr>
              <w:jc w:val="center"/>
            </w:pPr>
            <w:r>
              <w:rPr>
                <w:rFonts w:hint="eastAsia"/>
              </w:rPr>
              <w:t>泥块含量（％)</w:t>
            </w:r>
          </w:p>
        </w:tc>
        <w:tc>
          <w:tcPr>
            <w:tcW w:w="1035" w:type="dxa"/>
            <w:shd w:val="clear" w:color="auto" w:fill="FFFFFF"/>
            <w:vAlign w:val="center"/>
          </w:tcPr>
          <w:p>
            <w:pPr>
              <w:jc w:val="center"/>
            </w:pPr>
            <w:r>
              <w:rPr>
                <w:rFonts w:hint="eastAsia"/>
                <w:lang w:val="zh-TW"/>
              </w:rPr>
              <w:t>&lt;0</w:t>
            </w:r>
          </w:p>
        </w:tc>
        <w:tc>
          <w:tcPr>
            <w:tcW w:w="1062" w:type="dxa"/>
            <w:shd w:val="clear" w:color="auto" w:fill="FFFFFF"/>
            <w:vAlign w:val="center"/>
          </w:tcPr>
          <w:p>
            <w:pPr>
              <w:jc w:val="center"/>
            </w:pPr>
            <w:r>
              <w:rPr>
                <w:rFonts w:hint="eastAsia"/>
              </w:rPr>
              <w:t>&lt;1.</w:t>
            </w:r>
            <w:r>
              <w:rPr>
                <w:rFonts w:hint="eastAsia"/>
                <w:lang w:val="zh-TW"/>
              </w:rPr>
              <w:t>0</w:t>
            </w:r>
          </w:p>
        </w:tc>
        <w:tc>
          <w:tcPr>
            <w:tcW w:w="1407" w:type="dxa"/>
            <w:shd w:val="clear" w:color="auto" w:fill="FFFFFF"/>
            <w:vAlign w:val="center"/>
          </w:tcPr>
          <w:p>
            <w:pPr>
              <w:jc w:val="center"/>
            </w:pPr>
            <w:r>
              <w:rPr>
                <w:rFonts w:hint="eastAsia"/>
              </w:rPr>
              <w:t>&lt;2.</w:t>
            </w:r>
            <w:r>
              <w:rPr>
                <w:rFonts w:hint="eastAsia"/>
                <w:lang w:val="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943" w:type="dxa"/>
            <w:vMerge w:val="restart"/>
            <w:shd w:val="clear" w:color="auto" w:fill="FFFFFF"/>
            <w:vAlign w:val="center"/>
          </w:tcPr>
          <w:p>
            <w:pPr>
              <w:jc w:val="center"/>
            </w:pPr>
            <w:r>
              <w:rPr>
                <w:rFonts w:hint="eastAsia"/>
              </w:rPr>
              <w:t>有害物质含量</w:t>
            </w:r>
          </w:p>
        </w:tc>
        <w:tc>
          <w:tcPr>
            <w:tcW w:w="3969" w:type="dxa"/>
            <w:gridSpan w:val="2"/>
            <w:shd w:val="clear" w:color="auto" w:fill="FFFFFF"/>
            <w:vAlign w:val="center"/>
          </w:tcPr>
          <w:p>
            <w:pPr>
              <w:jc w:val="center"/>
            </w:pPr>
            <w:r>
              <w:rPr>
                <w:rFonts w:hint="eastAsia"/>
              </w:rPr>
              <w:t>云母</w:t>
            </w:r>
            <w:r>
              <w:rPr>
                <w:rFonts w:hint="eastAsia"/>
                <w:lang w:val="zh-TW"/>
              </w:rPr>
              <w:t>①</w:t>
            </w:r>
            <w:r>
              <w:rPr>
                <w:rFonts w:hint="eastAsia"/>
              </w:rPr>
              <w:t>（％)</w:t>
            </w:r>
          </w:p>
        </w:tc>
        <w:tc>
          <w:tcPr>
            <w:tcW w:w="1035" w:type="dxa"/>
            <w:shd w:val="clear" w:color="auto" w:fill="FFFFFF"/>
            <w:vAlign w:val="center"/>
          </w:tcPr>
          <w:p>
            <w:pPr>
              <w:jc w:val="center"/>
            </w:pPr>
            <w:r>
              <w:rPr>
                <w:rFonts w:hint="eastAsia"/>
              </w:rPr>
              <w:t>&lt;1.</w:t>
            </w:r>
            <w:r>
              <w:rPr>
                <w:rFonts w:hint="eastAsia"/>
                <w:lang w:val="zh-TW"/>
              </w:rPr>
              <w:t>0</w:t>
            </w:r>
          </w:p>
        </w:tc>
        <w:tc>
          <w:tcPr>
            <w:tcW w:w="1062" w:type="dxa"/>
            <w:shd w:val="clear" w:color="auto" w:fill="FFFFFF"/>
            <w:vAlign w:val="center"/>
          </w:tcPr>
          <w:p>
            <w:pPr>
              <w:jc w:val="center"/>
            </w:pPr>
            <w:r>
              <w:rPr>
                <w:rFonts w:hint="eastAsia"/>
              </w:rPr>
              <w:t>&lt;2.0</w:t>
            </w:r>
          </w:p>
        </w:tc>
        <w:tc>
          <w:tcPr>
            <w:tcW w:w="1407" w:type="dxa"/>
            <w:shd w:val="clear" w:color="auto" w:fill="FFFFFF"/>
            <w:vAlign w:val="center"/>
          </w:tcPr>
          <w:p>
            <w:pPr>
              <w:jc w:val="center"/>
            </w:pPr>
            <w:r>
              <w:rPr>
                <w:rFonts w:hint="eastAsia"/>
              </w:rPr>
              <w:t>&lt;2.</w:t>
            </w:r>
            <w:r>
              <w:rPr>
                <w:rFonts w:hint="eastAsia"/>
                <w:lang w:val="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943" w:type="dxa"/>
            <w:vMerge w:val="continue"/>
            <w:shd w:val="clear" w:color="auto" w:fill="FFFFFF"/>
            <w:vAlign w:val="center"/>
          </w:tcPr>
          <w:p>
            <w:pPr>
              <w:jc w:val="center"/>
            </w:pPr>
          </w:p>
        </w:tc>
        <w:tc>
          <w:tcPr>
            <w:tcW w:w="3969" w:type="dxa"/>
            <w:gridSpan w:val="2"/>
            <w:shd w:val="clear" w:color="auto" w:fill="FFFFFF"/>
            <w:vAlign w:val="center"/>
          </w:tcPr>
          <w:p>
            <w:pPr>
              <w:jc w:val="center"/>
            </w:pPr>
            <w:r>
              <w:rPr>
                <w:rFonts w:hint="eastAsia"/>
              </w:rPr>
              <w:t>轻物质</w:t>
            </w:r>
            <w:r>
              <w:rPr>
                <w:rFonts w:hint="eastAsia"/>
                <w:lang w:val="zh-TW"/>
              </w:rPr>
              <w:t>②</w:t>
            </w:r>
            <w:r>
              <w:rPr>
                <w:rFonts w:hint="eastAsia"/>
              </w:rPr>
              <w:t>（％)</w:t>
            </w:r>
          </w:p>
        </w:tc>
        <w:tc>
          <w:tcPr>
            <w:tcW w:w="3504" w:type="dxa"/>
            <w:gridSpan w:val="3"/>
            <w:shd w:val="clear" w:color="auto" w:fill="FFFFFF"/>
            <w:vAlign w:val="center"/>
          </w:tcPr>
          <w:p>
            <w:pPr>
              <w:jc w:val="center"/>
            </w:pPr>
            <w:r>
              <w:rPr>
                <w:rFonts w:hint="eastAsia"/>
              </w:rPr>
              <w:t>&lt;1.</w:t>
            </w:r>
            <w:r>
              <w:rPr>
                <w:rFonts w:hint="eastAsia"/>
                <w:lang w:val="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943" w:type="dxa"/>
            <w:vMerge w:val="continue"/>
            <w:shd w:val="clear" w:color="auto" w:fill="FFFFFF"/>
            <w:vAlign w:val="center"/>
          </w:tcPr>
          <w:p>
            <w:pPr>
              <w:jc w:val="center"/>
            </w:pPr>
          </w:p>
        </w:tc>
        <w:tc>
          <w:tcPr>
            <w:tcW w:w="3969" w:type="dxa"/>
            <w:gridSpan w:val="2"/>
            <w:shd w:val="clear" w:color="auto" w:fill="FFFFFF"/>
            <w:vAlign w:val="center"/>
          </w:tcPr>
          <w:p>
            <w:pPr>
              <w:jc w:val="center"/>
            </w:pPr>
            <w:r>
              <w:rPr>
                <w:rFonts w:hint="eastAsia"/>
              </w:rPr>
              <w:t>有机物比色法（％)</w:t>
            </w:r>
          </w:p>
        </w:tc>
        <w:tc>
          <w:tcPr>
            <w:tcW w:w="3504" w:type="dxa"/>
            <w:gridSpan w:val="3"/>
            <w:shd w:val="clear" w:color="auto" w:fill="FFFFFF"/>
            <w:vAlign w:val="center"/>
          </w:tcPr>
          <w:p>
            <w:pPr>
              <w:jc w:val="center"/>
            </w:pPr>
            <w:r>
              <w:rPr>
                <w:rFonts w:hint="eastAsia"/>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exact"/>
          <w:jc w:val="center"/>
        </w:trPr>
        <w:tc>
          <w:tcPr>
            <w:tcW w:w="943" w:type="dxa"/>
            <w:vMerge w:val="continue"/>
            <w:shd w:val="clear" w:color="auto" w:fill="FFFFFF"/>
            <w:vAlign w:val="center"/>
          </w:tcPr>
          <w:p>
            <w:pPr>
              <w:jc w:val="center"/>
            </w:pPr>
          </w:p>
        </w:tc>
        <w:tc>
          <w:tcPr>
            <w:tcW w:w="3969" w:type="dxa"/>
            <w:gridSpan w:val="2"/>
            <w:shd w:val="clear" w:color="auto" w:fill="FFFFFF"/>
            <w:vAlign w:val="center"/>
          </w:tcPr>
          <w:p>
            <w:pPr>
              <w:jc w:val="center"/>
            </w:pPr>
            <w:r>
              <w:rPr>
                <w:rFonts w:hint="eastAsia"/>
              </w:rPr>
              <w:t>硫化物、硫酸盐（按S0</w:t>
            </w:r>
            <w:r>
              <w:rPr>
                <w:rFonts w:hint="eastAsia"/>
                <w:vertAlign w:val="subscript"/>
              </w:rPr>
              <w:t>2</w:t>
            </w:r>
            <w:r>
              <w:rPr>
                <w:rFonts w:hint="eastAsia"/>
              </w:rPr>
              <w:t>质量计（％）)</w:t>
            </w:r>
          </w:p>
        </w:tc>
        <w:tc>
          <w:tcPr>
            <w:tcW w:w="3504" w:type="dxa"/>
            <w:gridSpan w:val="3"/>
            <w:shd w:val="clear" w:color="auto" w:fill="FFFFFF"/>
            <w:vAlign w:val="center"/>
          </w:tcPr>
          <w:p>
            <w:pPr>
              <w:jc w:val="center"/>
            </w:pPr>
            <w:r>
              <w:rPr>
                <w:rFonts w:hint="eastAsia"/>
              </w:rPr>
              <w:t>&lt;0.</w:t>
            </w:r>
            <w:r>
              <w:rPr>
                <w:rFonts w:hint="eastAsia"/>
                <w:lang w:val="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943" w:type="dxa"/>
            <w:vMerge w:val="continue"/>
            <w:shd w:val="clear" w:color="auto" w:fill="FFFFFF"/>
            <w:vAlign w:val="center"/>
          </w:tcPr>
          <w:p>
            <w:pPr>
              <w:jc w:val="center"/>
            </w:pPr>
          </w:p>
        </w:tc>
        <w:tc>
          <w:tcPr>
            <w:tcW w:w="3969" w:type="dxa"/>
            <w:gridSpan w:val="2"/>
            <w:shd w:val="clear" w:color="auto" w:fill="FFFFFF"/>
            <w:vAlign w:val="center"/>
          </w:tcPr>
          <w:p>
            <w:pPr>
              <w:jc w:val="center"/>
            </w:pPr>
            <w:r>
              <w:rPr>
                <w:rFonts w:hint="eastAsia"/>
              </w:rPr>
              <w:t>氣化物（按氯离子质量计）</w:t>
            </w:r>
          </w:p>
        </w:tc>
        <w:tc>
          <w:tcPr>
            <w:tcW w:w="1035" w:type="dxa"/>
            <w:shd w:val="clear" w:color="auto" w:fill="FFFFFF"/>
            <w:vAlign w:val="center"/>
          </w:tcPr>
          <w:p>
            <w:pPr>
              <w:jc w:val="center"/>
            </w:pPr>
            <w:r>
              <w:rPr>
                <w:rFonts w:hint="eastAsia"/>
              </w:rPr>
              <w:t>&lt;0.</w:t>
            </w:r>
            <w:r>
              <w:rPr>
                <w:rFonts w:hint="eastAsia"/>
                <w:lang w:val="zh-TW"/>
              </w:rPr>
              <w:t>01</w:t>
            </w:r>
          </w:p>
        </w:tc>
        <w:tc>
          <w:tcPr>
            <w:tcW w:w="1062" w:type="dxa"/>
            <w:shd w:val="clear" w:color="auto" w:fill="FFFFFF"/>
            <w:vAlign w:val="center"/>
          </w:tcPr>
          <w:p>
            <w:pPr>
              <w:jc w:val="center"/>
            </w:pPr>
            <w:r>
              <w:rPr>
                <w:rFonts w:hint="eastAsia"/>
              </w:rPr>
              <w:t>&lt;0.</w:t>
            </w:r>
            <w:r>
              <w:rPr>
                <w:rFonts w:hint="eastAsia"/>
                <w:lang w:val="zh-TW"/>
              </w:rPr>
              <w:t>02</w:t>
            </w:r>
          </w:p>
        </w:tc>
        <w:tc>
          <w:tcPr>
            <w:tcW w:w="1407" w:type="dxa"/>
            <w:shd w:val="clear" w:color="auto" w:fill="FFFFFF"/>
            <w:vAlign w:val="center"/>
          </w:tcPr>
          <w:p>
            <w:pPr>
              <w:jc w:val="center"/>
            </w:pPr>
            <w:r>
              <w:rPr>
                <w:rFonts w:hint="eastAsia"/>
              </w:rPr>
              <w:t>&lt;0.</w:t>
            </w:r>
            <w:r>
              <w:rPr>
                <w:rFonts w:hint="eastAsia"/>
                <w:lang w:val="zh-TW"/>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943" w:type="dxa"/>
            <w:vMerge w:val="continue"/>
            <w:shd w:val="clear" w:color="auto" w:fill="FFFFFF"/>
            <w:vAlign w:val="center"/>
          </w:tcPr>
          <w:p>
            <w:pPr>
              <w:jc w:val="center"/>
            </w:pPr>
          </w:p>
        </w:tc>
        <w:tc>
          <w:tcPr>
            <w:tcW w:w="3969" w:type="dxa"/>
            <w:gridSpan w:val="2"/>
            <w:shd w:val="clear" w:color="auto" w:fill="FFFFFF"/>
            <w:vAlign w:val="center"/>
          </w:tcPr>
          <w:p>
            <w:pPr>
              <w:jc w:val="center"/>
            </w:pPr>
            <w:r>
              <w:rPr>
                <w:rFonts w:hint="eastAsia"/>
              </w:rPr>
              <w:t>其他</w:t>
            </w:r>
          </w:p>
        </w:tc>
        <w:tc>
          <w:tcPr>
            <w:tcW w:w="3504" w:type="dxa"/>
            <w:gridSpan w:val="3"/>
            <w:shd w:val="clear" w:color="auto" w:fill="FFFFFF"/>
            <w:vAlign w:val="center"/>
          </w:tcPr>
          <w:p>
            <w:pPr>
              <w:jc w:val="center"/>
            </w:pPr>
            <w:r>
              <w:rPr>
                <w:rFonts w:hint="eastAsia"/>
              </w:rPr>
              <w:t>不应混有植物根系、黄土等杂物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943" w:type="dxa"/>
            <w:shd w:val="clear" w:color="auto" w:fill="FFFFFF"/>
            <w:vAlign w:val="center"/>
          </w:tcPr>
          <w:p>
            <w:pPr>
              <w:jc w:val="center"/>
            </w:pPr>
            <w:r>
              <w:rPr>
                <w:rFonts w:hint="eastAsia"/>
              </w:rPr>
              <w:t>坚固性</w:t>
            </w:r>
          </w:p>
        </w:tc>
        <w:tc>
          <w:tcPr>
            <w:tcW w:w="3969" w:type="dxa"/>
            <w:gridSpan w:val="2"/>
            <w:shd w:val="clear" w:color="auto" w:fill="FFFFFF"/>
            <w:vAlign w:val="center"/>
          </w:tcPr>
          <w:p>
            <w:pPr>
              <w:jc w:val="center"/>
            </w:pPr>
            <w:r>
              <w:rPr>
                <w:rFonts w:hint="eastAsia"/>
              </w:rPr>
              <w:t>硫酸钠溶液</w:t>
            </w:r>
            <w:r>
              <w:rPr>
                <w:rFonts w:hint="eastAsia"/>
                <w:lang w:val="zh-TW"/>
              </w:rPr>
              <w:t>5</w:t>
            </w:r>
            <w:r>
              <w:rPr>
                <w:rFonts w:hint="eastAsia"/>
              </w:rPr>
              <w:t>次循环后质量损失（％</w:t>
            </w:r>
            <w:r>
              <w:rPr>
                <w:rFonts w:hint="eastAsia"/>
                <w:lang w:val="zh-TW"/>
              </w:rPr>
              <w:t xml:space="preserve"> </w:t>
            </w:r>
            <w:r>
              <w:rPr>
                <w:rFonts w:hint="eastAsia"/>
              </w:rPr>
              <w:t>)</w:t>
            </w:r>
          </w:p>
        </w:tc>
        <w:tc>
          <w:tcPr>
            <w:tcW w:w="1035" w:type="dxa"/>
            <w:shd w:val="clear" w:color="auto" w:fill="FFFFFF"/>
            <w:vAlign w:val="center"/>
          </w:tcPr>
          <w:p>
            <w:pPr>
              <w:jc w:val="center"/>
            </w:pPr>
            <w:r>
              <w:rPr>
                <w:rFonts w:hint="eastAsia"/>
                <w:lang w:val="zh-TW"/>
              </w:rPr>
              <w:t>&lt;8</w:t>
            </w:r>
          </w:p>
        </w:tc>
        <w:tc>
          <w:tcPr>
            <w:tcW w:w="1062" w:type="dxa"/>
            <w:shd w:val="clear" w:color="auto" w:fill="FFFFFF"/>
            <w:vAlign w:val="center"/>
          </w:tcPr>
          <w:p>
            <w:pPr>
              <w:jc w:val="center"/>
            </w:pPr>
            <w:r>
              <w:rPr>
                <w:rFonts w:hint="eastAsia"/>
                <w:lang w:val="zh-TW"/>
              </w:rPr>
              <w:t>&lt;8</w:t>
            </w:r>
          </w:p>
        </w:tc>
        <w:tc>
          <w:tcPr>
            <w:tcW w:w="1407" w:type="dxa"/>
            <w:shd w:val="clear" w:color="auto" w:fill="FFFFFF"/>
            <w:vAlign w:val="center"/>
          </w:tcPr>
          <w:p>
            <w:pPr>
              <w:jc w:val="center"/>
            </w:pPr>
            <w:r>
              <w:rPr>
                <w:rFonts w:hint="eastAsia"/>
                <w:lang w:val="zh-TW"/>
              </w:rPr>
              <w:t>&lt;10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4912" w:type="dxa"/>
            <w:gridSpan w:val="3"/>
            <w:shd w:val="clear" w:color="auto" w:fill="FFFFFF"/>
            <w:vAlign w:val="center"/>
          </w:tcPr>
          <w:p>
            <w:pPr>
              <w:jc w:val="center"/>
            </w:pPr>
            <w:r>
              <w:rPr>
                <w:rFonts w:hint="eastAsia"/>
              </w:rPr>
              <w:t>单级最大压碎指标（％)</w:t>
            </w:r>
          </w:p>
        </w:tc>
        <w:tc>
          <w:tcPr>
            <w:tcW w:w="1035" w:type="dxa"/>
            <w:shd w:val="clear" w:color="auto" w:fill="FFFFFF"/>
            <w:vAlign w:val="center"/>
          </w:tcPr>
          <w:p>
            <w:pPr>
              <w:jc w:val="center"/>
            </w:pPr>
            <w:r>
              <w:rPr>
                <w:rFonts w:hint="eastAsia"/>
                <w:lang w:val="zh-TW"/>
              </w:rPr>
              <w:t>20</w:t>
            </w:r>
          </w:p>
        </w:tc>
        <w:tc>
          <w:tcPr>
            <w:tcW w:w="1062" w:type="dxa"/>
            <w:shd w:val="clear" w:color="auto" w:fill="FFFFFF"/>
            <w:vAlign w:val="center"/>
          </w:tcPr>
          <w:p>
            <w:pPr>
              <w:jc w:val="center"/>
            </w:pPr>
            <w:r>
              <w:rPr>
                <w:rFonts w:hint="eastAsia"/>
                <w:lang w:val="zh-TW"/>
              </w:rPr>
              <w:t>25</w:t>
            </w:r>
          </w:p>
        </w:tc>
        <w:tc>
          <w:tcPr>
            <w:tcW w:w="1407" w:type="dxa"/>
            <w:shd w:val="clear" w:color="auto" w:fill="FFFFFF"/>
            <w:vAlign w:val="center"/>
          </w:tcPr>
          <w:p>
            <w:pPr>
              <w:jc w:val="center"/>
            </w:pPr>
            <w:r>
              <w:rPr>
                <w:rFonts w:hint="eastAsia"/>
                <w:lang w:val="zh-TW"/>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4912" w:type="dxa"/>
            <w:gridSpan w:val="3"/>
            <w:shd w:val="clear" w:color="auto" w:fill="FFFFFF"/>
            <w:vAlign w:val="center"/>
          </w:tcPr>
          <w:p>
            <w:pPr>
              <w:jc w:val="center"/>
            </w:pPr>
            <w:r>
              <w:rPr>
                <w:rFonts w:hint="eastAsia"/>
              </w:rPr>
              <w:t>表观密度（kg/m</w:t>
            </w:r>
            <w:r>
              <w:rPr>
                <w:rFonts w:hint="eastAsia"/>
                <w:vertAlign w:val="superscript"/>
              </w:rPr>
              <w:t>3</w:t>
            </w:r>
            <w:r>
              <w:rPr>
                <w:rFonts w:hint="eastAsia"/>
              </w:rPr>
              <w:t>)</w:t>
            </w:r>
          </w:p>
        </w:tc>
        <w:tc>
          <w:tcPr>
            <w:tcW w:w="3504" w:type="dxa"/>
            <w:gridSpan w:val="3"/>
            <w:shd w:val="clear" w:color="auto" w:fill="FFFFFF"/>
            <w:vAlign w:val="center"/>
          </w:tcPr>
          <w:p>
            <w:pPr>
              <w:jc w:val="center"/>
            </w:pPr>
            <w:r>
              <w:rPr>
                <w:rFonts w:hint="eastAsia"/>
                <w:lang w:val="zh-TW"/>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4912" w:type="dxa"/>
            <w:gridSpan w:val="3"/>
            <w:shd w:val="clear" w:color="auto" w:fill="FFFFFF"/>
            <w:vAlign w:val="center"/>
          </w:tcPr>
          <w:p>
            <w:pPr>
              <w:jc w:val="center"/>
            </w:pPr>
            <w:r>
              <w:rPr>
                <w:rFonts w:hint="eastAsia"/>
              </w:rPr>
              <w:t>松散堆积密度（kg/m</w:t>
            </w:r>
            <w:r>
              <w:rPr>
                <w:rFonts w:hint="eastAsia"/>
                <w:vertAlign w:val="superscript"/>
              </w:rPr>
              <w:t>3</w:t>
            </w:r>
            <w:r>
              <w:rPr>
                <w:rFonts w:hint="eastAsia"/>
              </w:rPr>
              <w:t xml:space="preserve"> )</w:t>
            </w:r>
          </w:p>
        </w:tc>
        <w:tc>
          <w:tcPr>
            <w:tcW w:w="3504" w:type="dxa"/>
            <w:gridSpan w:val="3"/>
            <w:shd w:val="clear" w:color="auto" w:fill="FFFFFF"/>
            <w:vAlign w:val="center"/>
          </w:tcPr>
          <w:p>
            <w:pPr>
              <w:jc w:val="center"/>
            </w:pPr>
            <w:r>
              <w:rPr>
                <w:rFonts w:hint="eastAsia"/>
                <w:lang w:val="zh-TW"/>
              </w:rPr>
              <w:t>&gt;1350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4912" w:type="dxa"/>
            <w:gridSpan w:val="3"/>
            <w:shd w:val="clear" w:color="auto" w:fill="FFFFFF"/>
            <w:vAlign w:val="center"/>
          </w:tcPr>
          <w:p>
            <w:pPr>
              <w:jc w:val="center"/>
            </w:pPr>
            <w:r>
              <w:rPr>
                <w:rFonts w:hint="eastAsia"/>
              </w:rPr>
              <w:t>空隙率（％)</w:t>
            </w:r>
          </w:p>
        </w:tc>
        <w:tc>
          <w:tcPr>
            <w:tcW w:w="3504" w:type="dxa"/>
            <w:gridSpan w:val="3"/>
            <w:shd w:val="clear" w:color="auto" w:fill="FFFFFF"/>
            <w:vAlign w:val="center"/>
          </w:tcPr>
          <w:p>
            <w:pPr>
              <w:jc w:val="center"/>
            </w:pPr>
            <w:r>
              <w:rPr>
                <w:rFonts w:hint="eastAsia"/>
                <w:lang w:val="zh-TW"/>
              </w:rPr>
              <w:t>&lt;47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4" w:hRule="exact"/>
          <w:jc w:val="center"/>
        </w:trPr>
        <w:tc>
          <w:tcPr>
            <w:tcW w:w="4912" w:type="dxa"/>
            <w:gridSpan w:val="3"/>
            <w:shd w:val="clear" w:color="auto" w:fill="FFFFFF"/>
            <w:vAlign w:val="center"/>
          </w:tcPr>
          <w:p>
            <w:pPr>
              <w:jc w:val="center"/>
            </w:pPr>
            <w:r>
              <w:rPr>
                <w:rFonts w:hint="eastAsia"/>
              </w:rPr>
              <w:t>碱集料反应</w:t>
            </w:r>
          </w:p>
        </w:tc>
        <w:tc>
          <w:tcPr>
            <w:tcW w:w="3504" w:type="dxa"/>
            <w:gridSpan w:val="3"/>
            <w:shd w:val="clear" w:color="auto" w:fill="FFFFFF"/>
            <w:vAlign w:val="center"/>
          </w:tcPr>
          <w:p>
            <w:r>
              <w:rPr>
                <w:rFonts w:hint="eastAsia"/>
              </w:rPr>
              <w:t>试验后试件无裂隙、酥裂、胶体外溢，在规定的试验龄期</w:t>
            </w:r>
          </w:p>
          <w:p>
            <w:r>
              <w:rPr>
                <w:rFonts w:hint="eastAsia"/>
              </w:rPr>
              <w:t>膨胀率小于0.</w:t>
            </w:r>
            <w:r>
              <w:rPr>
                <w:rFonts w:hint="eastAsia"/>
                <w:lang w:val="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exact"/>
          <w:jc w:val="center"/>
        </w:trPr>
        <w:tc>
          <w:tcPr>
            <w:tcW w:w="2031" w:type="dxa"/>
            <w:gridSpan w:val="2"/>
            <w:shd w:val="clear" w:color="auto" w:fill="FFFFFF"/>
            <w:vAlign w:val="center"/>
          </w:tcPr>
          <w:p>
            <w:pPr>
              <w:jc w:val="center"/>
            </w:pPr>
            <w:r>
              <w:rPr>
                <w:rFonts w:hint="eastAsia"/>
              </w:rPr>
              <w:t>开采技术条件</w:t>
            </w:r>
          </w:p>
        </w:tc>
        <w:tc>
          <w:tcPr>
            <w:tcW w:w="6385" w:type="dxa"/>
            <w:gridSpan w:val="4"/>
            <w:shd w:val="clear" w:color="auto" w:fill="FFFFFF"/>
            <w:vAlign w:val="center"/>
          </w:tcPr>
          <w:p>
            <w:pPr>
              <w:jc w:val="center"/>
            </w:pPr>
            <w:r>
              <w:rPr>
                <w:rFonts w:hint="eastAsia"/>
              </w:rPr>
              <w:t>矿层最小可采厚度≧lm;平均剥釆比0.362</w:t>
            </w:r>
          </w:p>
        </w:tc>
      </w:tr>
    </w:tbl>
    <w:p>
      <w:pPr>
        <w:pStyle w:val="107"/>
        <w:rPr>
          <w:rFonts w:ascii="宋体" w:hAnsi="宋体"/>
          <w:szCs w:val="22"/>
        </w:rPr>
      </w:pPr>
      <w:r>
        <w:rPr>
          <w:rFonts w:hint="eastAsia" w:ascii="宋体" w:hAnsi="宋体"/>
          <w:szCs w:val="22"/>
        </w:rPr>
        <w:t>注：表中①按质量计算。②轻物质指表观密度小于2000 (kg/m</w:t>
      </w:r>
      <w:r>
        <w:rPr>
          <w:rFonts w:hint="eastAsia" w:ascii="宋体" w:hAnsi="宋体"/>
          <w:szCs w:val="22"/>
          <w:vertAlign w:val="superscript"/>
        </w:rPr>
        <w:t>3</w:t>
      </w:r>
      <w:r>
        <w:rPr>
          <w:rFonts w:hint="eastAsia" w:ascii="宋体" w:hAnsi="宋体"/>
          <w:szCs w:val="22"/>
        </w:rPr>
        <w:t>)的物质。</w:t>
      </w:r>
    </w:p>
    <w:p>
      <w:pPr>
        <w:pStyle w:val="107"/>
        <w:rPr>
          <w:rFonts w:ascii="宋体" w:hAnsi="宋体"/>
          <w:szCs w:val="22"/>
        </w:rPr>
      </w:pPr>
      <w:r>
        <w:rPr>
          <w:rFonts w:hint="eastAsia" w:ascii="宋体" w:hAnsi="宋体"/>
          <w:szCs w:val="22"/>
        </w:rPr>
        <w:t>（2）本次设计可采资源量</w:t>
      </w:r>
    </w:p>
    <w:p>
      <w:pPr>
        <w:pStyle w:val="107"/>
        <w:rPr>
          <w:rFonts w:ascii="宋体" w:hAnsi="宋体"/>
          <w:b/>
          <w:bCs/>
          <w:sz w:val="21"/>
          <w:szCs w:val="21"/>
        </w:rPr>
      </w:pPr>
      <w:r>
        <w:rPr>
          <w:rFonts w:hint="eastAsia" w:ascii="宋体" w:hAnsi="宋体"/>
          <w:szCs w:val="22"/>
        </w:rPr>
        <w:t>本次设计釆用水平断面法估算矿石量，圈定开采境界内可采出资源量21.00万立方米。开采境界内矿石量见表3-3。</w:t>
      </w:r>
    </w:p>
    <w:p>
      <w:pPr>
        <w:pStyle w:val="107"/>
        <w:ind w:firstLine="0" w:firstLineChars="0"/>
        <w:jc w:val="center"/>
        <w:rPr>
          <w:rFonts w:ascii="宋体" w:hAnsi="宋体"/>
          <w:b/>
          <w:bCs/>
          <w:sz w:val="21"/>
          <w:szCs w:val="21"/>
        </w:rPr>
      </w:pPr>
      <w:r>
        <w:rPr>
          <w:rFonts w:hint="eastAsia" w:ascii="宋体" w:hAnsi="宋体"/>
          <w:b/>
          <w:bCs/>
          <w:sz w:val="21"/>
          <w:szCs w:val="21"/>
        </w:rPr>
        <w:t>表3-3  开釆境界内矿石量总表</w:t>
      </w:r>
    </w:p>
    <w:tbl>
      <w:tblPr>
        <w:tblStyle w:val="59"/>
        <w:tblW w:w="8302" w:type="dxa"/>
        <w:jc w:val="center"/>
        <w:tblInd w:w="2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1955"/>
        <w:gridCol w:w="2292"/>
        <w:gridCol w:w="2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exact"/>
          <w:jc w:val="center"/>
        </w:trPr>
        <w:tc>
          <w:tcPr>
            <w:tcW w:w="1776" w:type="dxa"/>
            <w:vMerge w:val="restart"/>
            <w:shd w:val="clear" w:color="auto" w:fill="FFFFFF"/>
            <w:vAlign w:val="center"/>
          </w:tcPr>
          <w:p>
            <w:pPr>
              <w:jc w:val="center"/>
              <w:rPr>
                <w:rFonts w:asciiTheme="minorHAnsi"/>
                <w:szCs w:val="21"/>
              </w:rPr>
            </w:pPr>
            <w:r>
              <w:rPr>
                <w:rFonts w:hint="eastAsia" w:asciiTheme="minorHAnsi"/>
                <w:szCs w:val="21"/>
              </w:rPr>
              <w:t>开采水平（m）</w:t>
            </w:r>
          </w:p>
        </w:tc>
        <w:tc>
          <w:tcPr>
            <w:tcW w:w="1955" w:type="dxa"/>
            <w:shd w:val="clear" w:color="auto" w:fill="FFFFFF"/>
            <w:vAlign w:val="center"/>
          </w:tcPr>
          <w:p>
            <w:pPr>
              <w:jc w:val="center"/>
              <w:rPr>
                <w:rFonts w:asciiTheme="minorHAnsi"/>
                <w:szCs w:val="21"/>
              </w:rPr>
            </w:pPr>
            <w:r>
              <w:rPr>
                <w:rFonts w:hint="eastAsia" w:asciiTheme="minorHAnsi"/>
                <w:szCs w:val="21"/>
              </w:rPr>
              <w:t>矿石量</w:t>
            </w:r>
          </w:p>
        </w:tc>
        <w:tc>
          <w:tcPr>
            <w:tcW w:w="2292" w:type="dxa"/>
            <w:vMerge w:val="restart"/>
            <w:shd w:val="clear" w:color="auto" w:fill="FFFFFF"/>
            <w:vAlign w:val="center"/>
          </w:tcPr>
          <w:p>
            <w:pPr>
              <w:jc w:val="center"/>
              <w:rPr>
                <w:rFonts w:asciiTheme="minorHAnsi"/>
                <w:szCs w:val="21"/>
              </w:rPr>
            </w:pPr>
            <w:r>
              <w:rPr>
                <w:rFonts w:hint="eastAsia" w:asciiTheme="minorHAnsi"/>
                <w:szCs w:val="21"/>
              </w:rPr>
              <w:t>剥离总量</w:t>
            </w:r>
            <w:r>
              <w:rPr>
                <w:rFonts w:hint="eastAsia" w:asciiTheme="minorHAnsi"/>
                <w:szCs w:val="21"/>
                <w:lang w:val="zh-TW"/>
              </w:rPr>
              <w:t>（</w:t>
            </w:r>
            <w:r>
              <w:rPr>
                <w:rFonts w:hint="eastAsia" w:asciiTheme="minorHAnsi"/>
                <w:szCs w:val="21"/>
              </w:rPr>
              <w:t>万立方米）</w:t>
            </w:r>
          </w:p>
        </w:tc>
        <w:tc>
          <w:tcPr>
            <w:tcW w:w="2279" w:type="dxa"/>
            <w:vMerge w:val="restart"/>
            <w:shd w:val="clear" w:color="auto" w:fill="FFFFFF"/>
            <w:vAlign w:val="center"/>
          </w:tcPr>
          <w:p>
            <w:pPr>
              <w:rPr>
                <w:rFonts w:asciiTheme="minorHAnsi"/>
                <w:szCs w:val="21"/>
              </w:rPr>
            </w:pPr>
            <w:r>
              <w:rPr>
                <w:rFonts w:hint="eastAsia" w:asciiTheme="minorHAnsi"/>
                <w:szCs w:val="21"/>
              </w:rPr>
              <w:t>岩矿总量</w:t>
            </w:r>
            <w:r>
              <w:rPr>
                <w:rFonts w:hint="eastAsia" w:asciiTheme="minorHAnsi"/>
                <w:szCs w:val="21"/>
                <w:lang w:val="zh-TW"/>
              </w:rPr>
              <w:t>（</w:t>
            </w:r>
            <w:r>
              <w:rPr>
                <w:rFonts w:hint="eastAsia" w:asciiTheme="minorHAnsi"/>
                <w:szCs w:val="21"/>
              </w:rPr>
              <w:t>万立方米）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exact"/>
          <w:jc w:val="center"/>
        </w:trPr>
        <w:tc>
          <w:tcPr>
            <w:tcW w:w="1776" w:type="dxa"/>
            <w:vMerge w:val="continue"/>
            <w:shd w:val="clear" w:color="auto" w:fill="FFFFFF"/>
            <w:vAlign w:val="center"/>
          </w:tcPr>
          <w:p>
            <w:pPr>
              <w:jc w:val="center"/>
              <w:rPr>
                <w:rFonts w:asciiTheme="minorHAnsi"/>
                <w:szCs w:val="21"/>
              </w:rPr>
            </w:pPr>
          </w:p>
        </w:tc>
        <w:tc>
          <w:tcPr>
            <w:tcW w:w="1955" w:type="dxa"/>
            <w:shd w:val="clear" w:color="auto" w:fill="FFFFFF"/>
            <w:vAlign w:val="center"/>
          </w:tcPr>
          <w:p>
            <w:pPr>
              <w:jc w:val="center"/>
              <w:rPr>
                <w:rFonts w:asciiTheme="minorHAnsi"/>
                <w:szCs w:val="21"/>
              </w:rPr>
            </w:pPr>
            <w:r>
              <w:rPr>
                <w:rFonts w:hint="eastAsia" w:asciiTheme="minorHAnsi"/>
                <w:szCs w:val="21"/>
              </w:rPr>
              <w:t>万立方米</w:t>
            </w:r>
          </w:p>
        </w:tc>
        <w:tc>
          <w:tcPr>
            <w:tcW w:w="2292" w:type="dxa"/>
            <w:vMerge w:val="continue"/>
            <w:shd w:val="clear" w:color="auto" w:fill="FFFFFF"/>
            <w:vAlign w:val="center"/>
          </w:tcPr>
          <w:p>
            <w:pPr>
              <w:jc w:val="center"/>
              <w:rPr>
                <w:rFonts w:asciiTheme="minorHAnsi"/>
                <w:szCs w:val="21"/>
              </w:rPr>
            </w:pPr>
          </w:p>
        </w:tc>
        <w:tc>
          <w:tcPr>
            <w:tcW w:w="2279" w:type="dxa"/>
            <w:vMerge w:val="continue"/>
            <w:shd w:val="clear" w:color="auto" w:fill="FFFFFF"/>
            <w:vAlign w:val="center"/>
          </w:tcPr>
          <w:p>
            <w:pPr>
              <w:jc w:val="center"/>
              <w:rPr>
                <w:rFonts w:asciiTheme="minorHAns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exact"/>
          <w:jc w:val="center"/>
        </w:trPr>
        <w:tc>
          <w:tcPr>
            <w:tcW w:w="1776" w:type="dxa"/>
            <w:shd w:val="clear" w:color="auto" w:fill="FFFFFF"/>
            <w:vAlign w:val="center"/>
          </w:tcPr>
          <w:p>
            <w:pPr>
              <w:jc w:val="center"/>
              <w:rPr>
                <w:rFonts w:asciiTheme="minorHAnsi"/>
                <w:szCs w:val="21"/>
              </w:rPr>
            </w:pPr>
            <w:r>
              <w:rPr>
                <w:rFonts w:hint="eastAsia" w:asciiTheme="minorHAnsi"/>
                <w:szCs w:val="21"/>
              </w:rPr>
              <w:t>+2542</w:t>
            </w:r>
            <w:r>
              <w:rPr>
                <w:rFonts w:hint="eastAsia" w:asciiTheme="minorHAnsi"/>
                <w:szCs w:val="21"/>
                <w:lang w:val="zh-TW"/>
              </w:rPr>
              <w:t>〜</w:t>
            </w:r>
            <w:r>
              <w:rPr>
                <w:rFonts w:hint="eastAsia" w:asciiTheme="minorHAnsi"/>
                <w:szCs w:val="21"/>
              </w:rPr>
              <w:t>+2532</w:t>
            </w:r>
          </w:p>
        </w:tc>
        <w:tc>
          <w:tcPr>
            <w:tcW w:w="1955" w:type="dxa"/>
            <w:shd w:val="clear" w:color="auto" w:fill="FFFFFF"/>
            <w:vAlign w:val="center"/>
          </w:tcPr>
          <w:p>
            <w:pPr>
              <w:jc w:val="center"/>
              <w:rPr>
                <w:rFonts w:asciiTheme="minorHAnsi"/>
                <w:szCs w:val="21"/>
              </w:rPr>
            </w:pPr>
            <w:r>
              <w:rPr>
                <w:rFonts w:hint="eastAsia" w:asciiTheme="minorHAnsi"/>
                <w:szCs w:val="21"/>
                <w:lang w:val="zh-TW"/>
              </w:rPr>
              <w:t>/</w:t>
            </w:r>
          </w:p>
        </w:tc>
        <w:tc>
          <w:tcPr>
            <w:tcW w:w="2292" w:type="dxa"/>
            <w:shd w:val="clear" w:color="auto" w:fill="FFFFFF"/>
            <w:vAlign w:val="center"/>
          </w:tcPr>
          <w:p>
            <w:pPr>
              <w:jc w:val="center"/>
              <w:rPr>
                <w:rFonts w:asciiTheme="minorHAnsi"/>
                <w:szCs w:val="21"/>
              </w:rPr>
            </w:pPr>
            <w:r>
              <w:rPr>
                <w:rFonts w:hint="eastAsia" w:asciiTheme="minorHAnsi"/>
                <w:szCs w:val="21"/>
              </w:rPr>
              <w:t>0.20</w:t>
            </w:r>
          </w:p>
        </w:tc>
        <w:tc>
          <w:tcPr>
            <w:tcW w:w="2279" w:type="dxa"/>
            <w:shd w:val="clear" w:color="auto" w:fill="FFFFFF"/>
            <w:vAlign w:val="center"/>
          </w:tcPr>
          <w:p>
            <w:pPr>
              <w:jc w:val="center"/>
              <w:rPr>
                <w:rFonts w:asciiTheme="minorHAnsi"/>
                <w:szCs w:val="21"/>
              </w:rPr>
            </w:pPr>
            <w:r>
              <w:rPr>
                <w:rFonts w:hint="eastAsia" w:asciiTheme="minorHAnsi"/>
                <w:szCs w:val="21"/>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exact"/>
          <w:jc w:val="center"/>
        </w:trPr>
        <w:tc>
          <w:tcPr>
            <w:tcW w:w="1776" w:type="dxa"/>
            <w:shd w:val="clear" w:color="auto" w:fill="FFFFFF"/>
            <w:vAlign w:val="center"/>
          </w:tcPr>
          <w:p>
            <w:pPr>
              <w:jc w:val="center"/>
              <w:rPr>
                <w:rFonts w:asciiTheme="minorHAnsi"/>
                <w:szCs w:val="21"/>
              </w:rPr>
            </w:pPr>
            <w:r>
              <w:rPr>
                <w:rFonts w:hint="eastAsia" w:asciiTheme="minorHAnsi"/>
                <w:szCs w:val="21"/>
              </w:rPr>
              <w:t>+2532</w:t>
            </w:r>
            <w:r>
              <w:rPr>
                <w:rFonts w:hint="eastAsia" w:asciiTheme="minorHAnsi"/>
                <w:szCs w:val="21"/>
                <w:lang w:val="zh-TW"/>
              </w:rPr>
              <w:t>〜</w:t>
            </w:r>
            <w:r>
              <w:rPr>
                <w:rFonts w:hint="eastAsia" w:asciiTheme="minorHAnsi"/>
                <w:szCs w:val="21"/>
              </w:rPr>
              <w:t>+2522</w:t>
            </w:r>
          </w:p>
        </w:tc>
        <w:tc>
          <w:tcPr>
            <w:tcW w:w="1955" w:type="dxa"/>
            <w:shd w:val="clear" w:color="auto" w:fill="FFFFFF"/>
            <w:vAlign w:val="center"/>
          </w:tcPr>
          <w:p>
            <w:pPr>
              <w:jc w:val="center"/>
              <w:rPr>
                <w:rFonts w:asciiTheme="minorHAnsi"/>
                <w:szCs w:val="21"/>
              </w:rPr>
            </w:pPr>
            <w:r>
              <w:rPr>
                <w:rFonts w:hint="eastAsia" w:asciiTheme="minorHAnsi"/>
                <w:szCs w:val="21"/>
                <w:lang w:val="zh-TW"/>
              </w:rPr>
              <w:t>/</w:t>
            </w:r>
          </w:p>
        </w:tc>
        <w:tc>
          <w:tcPr>
            <w:tcW w:w="2292" w:type="dxa"/>
            <w:shd w:val="clear" w:color="auto" w:fill="FFFFFF"/>
            <w:vAlign w:val="center"/>
          </w:tcPr>
          <w:p>
            <w:pPr>
              <w:jc w:val="center"/>
              <w:rPr>
                <w:rFonts w:asciiTheme="minorHAnsi"/>
                <w:szCs w:val="21"/>
              </w:rPr>
            </w:pPr>
            <w:r>
              <w:rPr>
                <w:rFonts w:hint="eastAsia" w:asciiTheme="minorHAnsi"/>
                <w:szCs w:val="21"/>
              </w:rPr>
              <w:t>1.25</w:t>
            </w:r>
          </w:p>
        </w:tc>
        <w:tc>
          <w:tcPr>
            <w:tcW w:w="2279" w:type="dxa"/>
            <w:shd w:val="clear" w:color="auto" w:fill="FFFFFF"/>
            <w:vAlign w:val="center"/>
          </w:tcPr>
          <w:p>
            <w:pPr>
              <w:jc w:val="center"/>
              <w:rPr>
                <w:rFonts w:asciiTheme="minorHAnsi"/>
                <w:szCs w:val="21"/>
              </w:rPr>
            </w:pPr>
            <w:r>
              <w:rPr>
                <w:rFonts w:hint="eastAsia" w:asciiTheme="minorHAnsi"/>
                <w:szCs w:val="21"/>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exact"/>
          <w:jc w:val="center"/>
        </w:trPr>
        <w:tc>
          <w:tcPr>
            <w:tcW w:w="1776" w:type="dxa"/>
            <w:shd w:val="clear" w:color="auto" w:fill="FFFFFF"/>
            <w:vAlign w:val="center"/>
          </w:tcPr>
          <w:p>
            <w:pPr>
              <w:jc w:val="center"/>
              <w:rPr>
                <w:rFonts w:asciiTheme="minorHAnsi"/>
                <w:szCs w:val="21"/>
              </w:rPr>
            </w:pPr>
            <w:r>
              <w:rPr>
                <w:rFonts w:hint="eastAsia" w:asciiTheme="minorHAnsi"/>
                <w:szCs w:val="21"/>
              </w:rPr>
              <w:t>+2522</w:t>
            </w:r>
            <w:r>
              <w:rPr>
                <w:rFonts w:hint="eastAsia" w:asciiTheme="minorHAnsi"/>
                <w:szCs w:val="21"/>
                <w:lang w:val="zh-TW"/>
              </w:rPr>
              <w:t>〜</w:t>
            </w:r>
            <w:r>
              <w:rPr>
                <w:rFonts w:hint="eastAsia" w:asciiTheme="minorHAnsi"/>
                <w:szCs w:val="21"/>
              </w:rPr>
              <w:t>+2512</w:t>
            </w:r>
          </w:p>
        </w:tc>
        <w:tc>
          <w:tcPr>
            <w:tcW w:w="1955" w:type="dxa"/>
            <w:shd w:val="clear" w:color="auto" w:fill="FFFFFF"/>
            <w:vAlign w:val="center"/>
          </w:tcPr>
          <w:p>
            <w:pPr>
              <w:jc w:val="center"/>
              <w:rPr>
                <w:rFonts w:asciiTheme="minorHAnsi"/>
                <w:szCs w:val="21"/>
              </w:rPr>
            </w:pPr>
            <w:r>
              <w:rPr>
                <w:rFonts w:hint="eastAsia" w:asciiTheme="minorHAnsi"/>
                <w:szCs w:val="21"/>
                <w:lang w:val="zh-TW"/>
              </w:rPr>
              <w:t>/</w:t>
            </w:r>
          </w:p>
        </w:tc>
        <w:tc>
          <w:tcPr>
            <w:tcW w:w="2292" w:type="dxa"/>
            <w:shd w:val="clear" w:color="auto" w:fill="FFFFFF"/>
            <w:vAlign w:val="center"/>
          </w:tcPr>
          <w:p>
            <w:pPr>
              <w:jc w:val="center"/>
              <w:rPr>
                <w:rFonts w:asciiTheme="minorHAnsi"/>
                <w:szCs w:val="21"/>
              </w:rPr>
            </w:pPr>
            <w:r>
              <w:rPr>
                <w:rFonts w:hint="eastAsia" w:asciiTheme="minorHAnsi"/>
                <w:szCs w:val="21"/>
              </w:rPr>
              <w:t>3.14</w:t>
            </w:r>
          </w:p>
        </w:tc>
        <w:tc>
          <w:tcPr>
            <w:tcW w:w="2279" w:type="dxa"/>
            <w:shd w:val="clear" w:color="auto" w:fill="FFFFFF"/>
            <w:vAlign w:val="center"/>
          </w:tcPr>
          <w:p>
            <w:pPr>
              <w:jc w:val="center"/>
              <w:rPr>
                <w:rFonts w:asciiTheme="minorHAnsi"/>
                <w:szCs w:val="21"/>
              </w:rPr>
            </w:pPr>
            <w:r>
              <w:rPr>
                <w:rFonts w:hint="eastAsia" w:asciiTheme="minorHAnsi"/>
                <w:szCs w:val="21"/>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exact"/>
          <w:jc w:val="center"/>
        </w:trPr>
        <w:tc>
          <w:tcPr>
            <w:tcW w:w="1776" w:type="dxa"/>
            <w:shd w:val="clear" w:color="auto" w:fill="FFFFFF"/>
            <w:vAlign w:val="center"/>
          </w:tcPr>
          <w:p>
            <w:pPr>
              <w:jc w:val="center"/>
              <w:rPr>
                <w:rFonts w:asciiTheme="minorHAnsi"/>
                <w:szCs w:val="21"/>
              </w:rPr>
            </w:pPr>
            <w:r>
              <w:rPr>
                <w:rFonts w:hint="eastAsia" w:asciiTheme="minorHAnsi"/>
                <w:szCs w:val="21"/>
              </w:rPr>
              <w:t>+2512</w:t>
            </w:r>
            <w:r>
              <w:rPr>
                <w:rFonts w:hint="eastAsia" w:asciiTheme="minorHAnsi"/>
                <w:szCs w:val="21"/>
                <w:lang w:val="zh-TW"/>
              </w:rPr>
              <w:t>〜</w:t>
            </w:r>
            <w:r>
              <w:rPr>
                <w:rFonts w:hint="eastAsia" w:asciiTheme="minorHAnsi"/>
                <w:szCs w:val="21"/>
              </w:rPr>
              <w:t>+2502</w:t>
            </w:r>
          </w:p>
        </w:tc>
        <w:tc>
          <w:tcPr>
            <w:tcW w:w="1955" w:type="dxa"/>
            <w:shd w:val="clear" w:color="auto" w:fill="FFFFFF"/>
            <w:vAlign w:val="center"/>
          </w:tcPr>
          <w:p>
            <w:pPr>
              <w:jc w:val="center"/>
              <w:rPr>
                <w:rFonts w:asciiTheme="minorHAnsi"/>
                <w:szCs w:val="21"/>
              </w:rPr>
            </w:pPr>
            <w:r>
              <w:rPr>
                <w:rFonts w:hint="eastAsia" w:asciiTheme="minorHAnsi"/>
                <w:szCs w:val="21"/>
              </w:rPr>
              <w:t>2.12</w:t>
            </w:r>
          </w:p>
        </w:tc>
        <w:tc>
          <w:tcPr>
            <w:tcW w:w="2292" w:type="dxa"/>
            <w:shd w:val="clear" w:color="auto" w:fill="FFFFFF"/>
            <w:vAlign w:val="center"/>
          </w:tcPr>
          <w:p>
            <w:pPr>
              <w:jc w:val="center"/>
              <w:rPr>
                <w:rFonts w:asciiTheme="minorHAnsi"/>
                <w:szCs w:val="21"/>
              </w:rPr>
            </w:pPr>
            <w:r>
              <w:rPr>
                <w:rFonts w:hint="eastAsia" w:asciiTheme="minorHAnsi"/>
                <w:szCs w:val="21"/>
              </w:rPr>
              <w:t>3.01</w:t>
            </w:r>
          </w:p>
        </w:tc>
        <w:tc>
          <w:tcPr>
            <w:tcW w:w="2279" w:type="dxa"/>
            <w:shd w:val="clear" w:color="auto" w:fill="FFFFFF"/>
            <w:vAlign w:val="center"/>
          </w:tcPr>
          <w:p>
            <w:pPr>
              <w:jc w:val="center"/>
              <w:rPr>
                <w:rFonts w:asciiTheme="minorHAnsi"/>
                <w:szCs w:val="21"/>
              </w:rPr>
            </w:pPr>
            <w:r>
              <w:rPr>
                <w:rFonts w:hint="eastAsia" w:asciiTheme="minorHAnsi"/>
                <w:szCs w:val="21"/>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exact"/>
          <w:jc w:val="center"/>
        </w:trPr>
        <w:tc>
          <w:tcPr>
            <w:tcW w:w="1776" w:type="dxa"/>
            <w:shd w:val="clear" w:color="auto" w:fill="FFFFFF"/>
            <w:vAlign w:val="center"/>
          </w:tcPr>
          <w:p>
            <w:pPr>
              <w:jc w:val="center"/>
              <w:rPr>
                <w:rFonts w:asciiTheme="minorHAnsi"/>
                <w:szCs w:val="21"/>
              </w:rPr>
            </w:pPr>
            <w:r>
              <w:rPr>
                <w:rFonts w:hint="eastAsia" w:asciiTheme="minorHAnsi"/>
                <w:szCs w:val="21"/>
              </w:rPr>
              <w:t>+2502</w:t>
            </w:r>
            <w:r>
              <w:rPr>
                <w:rFonts w:hint="eastAsia" w:asciiTheme="minorHAnsi"/>
                <w:szCs w:val="21"/>
                <w:lang w:val="zh-TW"/>
              </w:rPr>
              <w:t>〜</w:t>
            </w:r>
            <w:r>
              <w:rPr>
                <w:rFonts w:hint="eastAsia" w:asciiTheme="minorHAnsi"/>
                <w:szCs w:val="21"/>
              </w:rPr>
              <w:t>+2492</w:t>
            </w:r>
          </w:p>
        </w:tc>
        <w:tc>
          <w:tcPr>
            <w:tcW w:w="1955" w:type="dxa"/>
            <w:shd w:val="clear" w:color="auto" w:fill="FFFFFF"/>
            <w:vAlign w:val="center"/>
          </w:tcPr>
          <w:p>
            <w:pPr>
              <w:jc w:val="center"/>
              <w:rPr>
                <w:rFonts w:asciiTheme="minorHAnsi"/>
                <w:szCs w:val="21"/>
              </w:rPr>
            </w:pPr>
            <w:r>
              <w:rPr>
                <w:rFonts w:hint="eastAsia" w:asciiTheme="minorHAnsi"/>
                <w:szCs w:val="21"/>
              </w:rPr>
              <w:t>7.18</w:t>
            </w:r>
          </w:p>
        </w:tc>
        <w:tc>
          <w:tcPr>
            <w:tcW w:w="2292" w:type="dxa"/>
            <w:shd w:val="clear" w:color="auto" w:fill="FFFFFF"/>
            <w:vAlign w:val="center"/>
          </w:tcPr>
          <w:p>
            <w:pPr>
              <w:jc w:val="center"/>
              <w:rPr>
                <w:rFonts w:asciiTheme="minorHAnsi"/>
                <w:szCs w:val="21"/>
              </w:rPr>
            </w:pPr>
            <w:r>
              <w:rPr>
                <w:rFonts w:hint="eastAsia" w:asciiTheme="minorHAnsi"/>
                <w:szCs w:val="21"/>
                <w:lang w:val="zh-TW"/>
              </w:rPr>
              <w:t>/</w:t>
            </w:r>
          </w:p>
        </w:tc>
        <w:tc>
          <w:tcPr>
            <w:tcW w:w="2279" w:type="dxa"/>
            <w:shd w:val="clear" w:color="auto" w:fill="FFFFFF"/>
            <w:vAlign w:val="center"/>
          </w:tcPr>
          <w:p>
            <w:pPr>
              <w:jc w:val="center"/>
              <w:rPr>
                <w:rFonts w:asciiTheme="minorHAnsi"/>
                <w:szCs w:val="21"/>
              </w:rPr>
            </w:pPr>
            <w:r>
              <w:rPr>
                <w:rFonts w:hint="eastAsia" w:asciiTheme="minorHAnsi"/>
                <w:szCs w:val="21"/>
              </w:rPr>
              <w:t>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exact"/>
          <w:jc w:val="center"/>
        </w:trPr>
        <w:tc>
          <w:tcPr>
            <w:tcW w:w="1776" w:type="dxa"/>
            <w:shd w:val="clear" w:color="auto" w:fill="FFFFFF"/>
            <w:vAlign w:val="center"/>
          </w:tcPr>
          <w:p>
            <w:pPr>
              <w:jc w:val="center"/>
              <w:rPr>
                <w:rFonts w:asciiTheme="minorHAnsi"/>
                <w:szCs w:val="21"/>
              </w:rPr>
            </w:pPr>
            <w:r>
              <w:rPr>
                <w:rFonts w:hint="eastAsia" w:asciiTheme="minorHAnsi"/>
                <w:szCs w:val="21"/>
              </w:rPr>
              <w:t>+2492</w:t>
            </w:r>
            <w:r>
              <w:rPr>
                <w:rFonts w:hint="eastAsia" w:asciiTheme="minorHAnsi"/>
                <w:szCs w:val="21"/>
                <w:lang w:val="zh-TW"/>
              </w:rPr>
              <w:t>〜</w:t>
            </w:r>
            <w:r>
              <w:rPr>
                <w:rFonts w:hint="eastAsia" w:asciiTheme="minorHAnsi"/>
                <w:szCs w:val="21"/>
              </w:rPr>
              <w:t>+2482</w:t>
            </w:r>
          </w:p>
        </w:tc>
        <w:tc>
          <w:tcPr>
            <w:tcW w:w="1955" w:type="dxa"/>
            <w:shd w:val="clear" w:color="auto" w:fill="FFFFFF"/>
            <w:vAlign w:val="center"/>
          </w:tcPr>
          <w:p>
            <w:pPr>
              <w:jc w:val="center"/>
              <w:rPr>
                <w:rFonts w:asciiTheme="minorHAnsi"/>
                <w:szCs w:val="21"/>
              </w:rPr>
            </w:pPr>
            <w:r>
              <w:rPr>
                <w:rFonts w:hint="eastAsia" w:asciiTheme="minorHAnsi"/>
                <w:szCs w:val="21"/>
              </w:rPr>
              <w:t>8.10</w:t>
            </w:r>
          </w:p>
        </w:tc>
        <w:tc>
          <w:tcPr>
            <w:tcW w:w="2292" w:type="dxa"/>
            <w:shd w:val="clear" w:color="auto" w:fill="FFFFFF"/>
            <w:vAlign w:val="center"/>
          </w:tcPr>
          <w:p>
            <w:pPr>
              <w:jc w:val="center"/>
              <w:rPr>
                <w:rFonts w:asciiTheme="minorHAnsi"/>
                <w:szCs w:val="21"/>
              </w:rPr>
            </w:pPr>
            <w:r>
              <w:rPr>
                <w:rFonts w:hint="eastAsia" w:asciiTheme="minorHAnsi"/>
                <w:szCs w:val="21"/>
                <w:lang w:val="zh-TW"/>
              </w:rPr>
              <w:t>/</w:t>
            </w:r>
          </w:p>
        </w:tc>
        <w:tc>
          <w:tcPr>
            <w:tcW w:w="2279" w:type="dxa"/>
            <w:shd w:val="clear" w:color="auto" w:fill="FFFFFF"/>
            <w:vAlign w:val="center"/>
          </w:tcPr>
          <w:p>
            <w:pPr>
              <w:jc w:val="center"/>
              <w:rPr>
                <w:rFonts w:asciiTheme="minorHAnsi"/>
                <w:szCs w:val="21"/>
              </w:rPr>
            </w:pPr>
            <w:r>
              <w:rPr>
                <w:rFonts w:hint="eastAsia" w:asciiTheme="minorHAnsi"/>
                <w:szCs w:val="21"/>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exact"/>
          <w:jc w:val="center"/>
        </w:trPr>
        <w:tc>
          <w:tcPr>
            <w:tcW w:w="1776" w:type="dxa"/>
            <w:shd w:val="clear" w:color="auto" w:fill="FFFFFF"/>
            <w:vAlign w:val="center"/>
          </w:tcPr>
          <w:p>
            <w:pPr>
              <w:jc w:val="center"/>
              <w:rPr>
                <w:rFonts w:asciiTheme="minorHAnsi"/>
                <w:szCs w:val="21"/>
              </w:rPr>
            </w:pPr>
            <w:r>
              <w:rPr>
                <w:rFonts w:hint="eastAsia" w:asciiTheme="minorHAnsi"/>
                <w:szCs w:val="21"/>
              </w:rPr>
              <w:t>+2482</w:t>
            </w:r>
            <w:r>
              <w:rPr>
                <w:rFonts w:hint="eastAsia" w:asciiTheme="minorHAnsi"/>
                <w:szCs w:val="21"/>
                <w:lang w:val="zh-TW"/>
              </w:rPr>
              <w:t>〜</w:t>
            </w:r>
            <w:r>
              <w:rPr>
                <w:rFonts w:hint="eastAsia" w:asciiTheme="minorHAnsi"/>
                <w:szCs w:val="21"/>
              </w:rPr>
              <w:t>+2475</w:t>
            </w:r>
          </w:p>
        </w:tc>
        <w:tc>
          <w:tcPr>
            <w:tcW w:w="1955" w:type="dxa"/>
            <w:shd w:val="clear" w:color="auto" w:fill="FFFFFF"/>
            <w:vAlign w:val="center"/>
          </w:tcPr>
          <w:p>
            <w:pPr>
              <w:jc w:val="center"/>
              <w:rPr>
                <w:rFonts w:asciiTheme="minorHAnsi"/>
                <w:szCs w:val="21"/>
              </w:rPr>
            </w:pPr>
            <w:r>
              <w:rPr>
                <w:rFonts w:hint="eastAsia" w:asciiTheme="minorHAnsi"/>
                <w:szCs w:val="21"/>
              </w:rPr>
              <w:t>3.61</w:t>
            </w:r>
          </w:p>
        </w:tc>
        <w:tc>
          <w:tcPr>
            <w:tcW w:w="2292" w:type="dxa"/>
            <w:shd w:val="clear" w:color="auto" w:fill="FFFFFF"/>
            <w:vAlign w:val="center"/>
          </w:tcPr>
          <w:p>
            <w:pPr>
              <w:jc w:val="center"/>
              <w:rPr>
                <w:rFonts w:asciiTheme="minorHAnsi"/>
                <w:szCs w:val="21"/>
              </w:rPr>
            </w:pPr>
            <w:r>
              <w:rPr>
                <w:rFonts w:hint="eastAsia" w:asciiTheme="minorHAnsi"/>
                <w:szCs w:val="21"/>
                <w:lang w:val="zh-TW"/>
              </w:rPr>
              <w:t>/</w:t>
            </w:r>
          </w:p>
        </w:tc>
        <w:tc>
          <w:tcPr>
            <w:tcW w:w="2279" w:type="dxa"/>
            <w:shd w:val="clear" w:color="auto" w:fill="FFFFFF"/>
            <w:vAlign w:val="center"/>
          </w:tcPr>
          <w:p>
            <w:pPr>
              <w:jc w:val="center"/>
              <w:rPr>
                <w:rFonts w:asciiTheme="minorHAnsi"/>
                <w:szCs w:val="21"/>
              </w:rPr>
            </w:pPr>
            <w:r>
              <w:rPr>
                <w:rFonts w:hint="eastAsia" w:asciiTheme="minorHAnsi"/>
                <w:szCs w:val="21"/>
              </w:rPr>
              <w:t>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exact"/>
          <w:jc w:val="center"/>
        </w:trPr>
        <w:tc>
          <w:tcPr>
            <w:tcW w:w="1776" w:type="dxa"/>
            <w:shd w:val="clear" w:color="auto" w:fill="FFFFFF"/>
            <w:vAlign w:val="center"/>
          </w:tcPr>
          <w:p>
            <w:pPr>
              <w:jc w:val="center"/>
              <w:rPr>
                <w:rFonts w:asciiTheme="minorHAnsi"/>
                <w:szCs w:val="21"/>
              </w:rPr>
            </w:pPr>
            <w:r>
              <w:rPr>
                <w:rFonts w:hint="eastAsia" w:asciiTheme="minorHAnsi"/>
                <w:szCs w:val="21"/>
              </w:rPr>
              <w:t>合计</w:t>
            </w:r>
          </w:p>
        </w:tc>
        <w:tc>
          <w:tcPr>
            <w:tcW w:w="1955" w:type="dxa"/>
            <w:shd w:val="clear" w:color="auto" w:fill="FFFFFF"/>
            <w:vAlign w:val="center"/>
          </w:tcPr>
          <w:p>
            <w:pPr>
              <w:jc w:val="center"/>
              <w:rPr>
                <w:rFonts w:asciiTheme="minorHAnsi"/>
                <w:szCs w:val="21"/>
              </w:rPr>
            </w:pPr>
            <w:r>
              <w:rPr>
                <w:rFonts w:hint="eastAsia" w:asciiTheme="minorHAnsi"/>
                <w:szCs w:val="21"/>
              </w:rPr>
              <w:t>21.00</w:t>
            </w:r>
          </w:p>
        </w:tc>
        <w:tc>
          <w:tcPr>
            <w:tcW w:w="2292" w:type="dxa"/>
            <w:shd w:val="clear" w:color="auto" w:fill="FFFFFF"/>
            <w:vAlign w:val="center"/>
          </w:tcPr>
          <w:p>
            <w:pPr>
              <w:jc w:val="center"/>
              <w:rPr>
                <w:rFonts w:asciiTheme="minorHAnsi"/>
                <w:szCs w:val="21"/>
              </w:rPr>
            </w:pPr>
            <w:r>
              <w:rPr>
                <w:rFonts w:hint="eastAsia" w:asciiTheme="minorHAnsi"/>
                <w:szCs w:val="21"/>
              </w:rPr>
              <w:t>7.60</w:t>
            </w:r>
          </w:p>
        </w:tc>
        <w:tc>
          <w:tcPr>
            <w:tcW w:w="2279" w:type="dxa"/>
            <w:shd w:val="clear" w:color="auto" w:fill="FFFFFF"/>
            <w:vAlign w:val="center"/>
          </w:tcPr>
          <w:p>
            <w:pPr>
              <w:jc w:val="center"/>
              <w:rPr>
                <w:rFonts w:asciiTheme="minorHAnsi"/>
                <w:szCs w:val="21"/>
              </w:rPr>
            </w:pPr>
            <w:r>
              <w:rPr>
                <w:rFonts w:hint="eastAsia" w:asciiTheme="minorHAnsi"/>
                <w:szCs w:val="21"/>
              </w:rPr>
              <w:t>28.60</w:t>
            </w:r>
          </w:p>
        </w:tc>
      </w:tr>
    </w:tbl>
    <w:p>
      <w:pPr>
        <w:spacing w:line="360" w:lineRule="auto"/>
        <w:ind w:firstLine="240" w:firstLineChars="100"/>
        <w:rPr>
          <w:rFonts w:ascii="宋体" w:hAnsi="宋体"/>
          <w:sz w:val="24"/>
          <w:szCs w:val="22"/>
        </w:rPr>
      </w:pPr>
      <w:r>
        <w:rPr>
          <w:rFonts w:hint="eastAsia" w:ascii="宋体" w:hAnsi="宋体" w:cs="仿宋"/>
          <w:sz w:val="24"/>
          <w:lang w:val="zh-TW"/>
        </w:rPr>
        <w:t>注：矿山剥离量为</w:t>
      </w:r>
      <w:r>
        <w:rPr>
          <w:rFonts w:hint="eastAsia" w:ascii="宋体" w:hAnsi="宋体" w:cs="仿宋"/>
          <w:sz w:val="24"/>
        </w:rPr>
        <w:t>7.60</w:t>
      </w:r>
      <w:r>
        <w:rPr>
          <w:rFonts w:hint="eastAsia" w:ascii="宋体" w:hAnsi="宋体" w:cs="仿宋"/>
          <w:sz w:val="24"/>
          <w:lang w:val="zh-TW"/>
        </w:rPr>
        <w:t>万立方米，矿山平均剥采比为</w:t>
      </w:r>
      <w:r>
        <w:rPr>
          <w:rFonts w:hint="eastAsia" w:ascii="宋体" w:hAnsi="宋体" w:cs="仿宋"/>
          <w:sz w:val="24"/>
        </w:rPr>
        <w:t>0.362m</w:t>
      </w:r>
      <w:r>
        <w:rPr>
          <w:rFonts w:hint="eastAsia" w:ascii="宋体" w:hAnsi="宋体" w:cs="仿宋"/>
          <w:sz w:val="24"/>
          <w:vertAlign w:val="superscript"/>
        </w:rPr>
        <w:t>3</w:t>
      </w:r>
      <w:r>
        <w:rPr>
          <w:rFonts w:hint="eastAsia" w:ascii="宋体" w:hAnsi="宋体" w:cs="仿宋"/>
          <w:sz w:val="24"/>
        </w:rPr>
        <w:t>/m</w:t>
      </w:r>
      <w:r>
        <w:rPr>
          <w:rFonts w:hint="eastAsia" w:ascii="宋体" w:hAnsi="宋体" w:cs="仿宋"/>
          <w:sz w:val="24"/>
          <w:vertAlign w:val="superscript"/>
        </w:rPr>
        <w:t>3</w:t>
      </w:r>
      <w:r>
        <w:rPr>
          <w:rFonts w:hint="eastAsia" w:ascii="宋体" w:hAnsi="宋体" w:cs="仿宋"/>
          <w:sz w:val="24"/>
        </w:rPr>
        <w:t>。</w:t>
      </w:r>
    </w:p>
    <w:p>
      <w:pPr>
        <w:numPr>
          <w:ilvl w:val="2"/>
          <w:numId w:val="2"/>
        </w:numPr>
        <w:spacing w:line="360" w:lineRule="auto"/>
        <w:outlineLvl w:val="2"/>
        <w:rPr>
          <w:rFonts w:ascii="宋体"/>
          <w:b/>
          <w:sz w:val="28"/>
          <w:szCs w:val="28"/>
        </w:rPr>
      </w:pPr>
      <w:r>
        <w:rPr>
          <w:rFonts w:ascii="宋体"/>
          <w:b/>
          <w:sz w:val="28"/>
          <w:szCs w:val="28"/>
        </w:rPr>
        <w:t>对</w:t>
      </w:r>
      <w:r>
        <w:rPr>
          <w:rFonts w:hint="eastAsia" w:ascii="宋体"/>
          <w:b/>
          <w:sz w:val="28"/>
          <w:szCs w:val="28"/>
        </w:rPr>
        <w:t>“资源量估算</w:t>
      </w:r>
      <w:r>
        <w:rPr>
          <w:rFonts w:ascii="宋体"/>
          <w:b/>
          <w:sz w:val="28"/>
          <w:szCs w:val="28"/>
        </w:rPr>
        <w:t>报告</w:t>
      </w:r>
      <w:r>
        <w:rPr>
          <w:rFonts w:hint="eastAsia" w:ascii="宋体"/>
          <w:b/>
          <w:sz w:val="28"/>
          <w:szCs w:val="28"/>
        </w:rPr>
        <w:t>”</w:t>
      </w:r>
      <w:r>
        <w:rPr>
          <w:rFonts w:ascii="宋体"/>
          <w:b/>
          <w:sz w:val="28"/>
          <w:szCs w:val="28"/>
        </w:rPr>
        <w:t>的评述</w:t>
      </w:r>
    </w:p>
    <w:p>
      <w:pPr>
        <w:spacing w:line="360" w:lineRule="auto"/>
        <w:ind w:firstLine="480" w:firstLineChars="200"/>
        <w:rPr>
          <w:rFonts w:ascii="宋体" w:hAnsi="宋体"/>
          <w:color w:val="000000"/>
          <w:sz w:val="24"/>
        </w:rPr>
      </w:pPr>
      <w:bookmarkStart w:id="114" w:name="_Toc173055789"/>
      <w:bookmarkStart w:id="115" w:name="_Toc343030086"/>
      <w:bookmarkStart w:id="116" w:name="_Toc258667131"/>
      <w:bookmarkStart w:id="117" w:name="_Toc264385763"/>
      <w:bookmarkStart w:id="118" w:name="_Toc403027754"/>
      <w:bookmarkStart w:id="119" w:name="_Toc259194769"/>
      <w:bookmarkStart w:id="120" w:name="_Toc403027833"/>
      <w:bookmarkStart w:id="121" w:name="_Toc338707626"/>
      <w:bookmarkStart w:id="122" w:name="_Toc204133756"/>
      <w:bookmarkStart w:id="123" w:name="_Toc435453448"/>
      <w:bookmarkStart w:id="124" w:name="_Toc265613493"/>
      <w:bookmarkStart w:id="125" w:name="_Toc259020389"/>
      <w:r>
        <w:rPr>
          <w:rFonts w:hint="eastAsia" w:ascii="宋体" w:hAnsi="宋体"/>
          <w:color w:val="000000"/>
          <w:sz w:val="24"/>
        </w:rPr>
        <w:t>《</w:t>
      </w:r>
      <w:r>
        <w:rPr>
          <w:rFonts w:hint="eastAsia" w:ascii="宋体" w:hAnsi="宋体" w:cs="仿宋"/>
          <w:sz w:val="24"/>
          <w:lang w:eastAsia="zh-CN"/>
        </w:rPr>
        <w:t>********</w:t>
      </w:r>
      <w:r>
        <w:rPr>
          <w:rFonts w:hint="eastAsia" w:ascii="宋体" w:hAnsi="宋体" w:cs="仿宋"/>
          <w:sz w:val="24"/>
        </w:rPr>
        <w:t>砂石矿资源量估算报告</w:t>
      </w:r>
      <w:r>
        <w:rPr>
          <w:rFonts w:hint="eastAsia" w:ascii="宋体" w:hAnsi="宋体"/>
          <w:color w:val="000000"/>
          <w:sz w:val="24"/>
        </w:rPr>
        <w:t>》对矿区开采范围内的砂岩矿床资源储量进行了估算。矿区范围内预测内蕴经济资源量（334）为23.88万m³，其资源量可作为本次编制矿山资源开发利用方案的主要依据。</w:t>
      </w:r>
    </w:p>
    <w:p>
      <w:pPr>
        <w:pStyle w:val="107"/>
        <w:rPr>
          <w:rFonts w:ascii="宋体" w:hAnsi="宋体"/>
          <w:szCs w:val="22"/>
        </w:rPr>
      </w:pPr>
      <w:r>
        <w:rPr>
          <w:rFonts w:hint="eastAsia" w:ascii="宋体" w:hAnsi="宋体"/>
          <w:szCs w:val="22"/>
          <w:lang w:val="zh-TW"/>
        </w:rPr>
        <w:t>(</w:t>
      </w:r>
      <w:r>
        <w:rPr>
          <w:rFonts w:hint="eastAsia" w:ascii="宋体" w:hAnsi="宋体"/>
          <w:szCs w:val="22"/>
        </w:rPr>
        <w:t>1</w:t>
      </w:r>
      <w:r>
        <w:rPr>
          <w:rFonts w:hint="eastAsia" w:ascii="宋体" w:hAnsi="宋体"/>
          <w:szCs w:val="22"/>
          <w:lang w:val="zh-TW"/>
        </w:rPr>
        <w:t>）估算报告章节及内容基本齐全，附图、附件齐全，报告基本反映了简测工作成果。</w:t>
      </w:r>
    </w:p>
    <w:p>
      <w:pPr>
        <w:pStyle w:val="107"/>
        <w:rPr>
          <w:rFonts w:ascii="宋体" w:hAnsi="宋体"/>
          <w:szCs w:val="22"/>
        </w:rPr>
      </w:pPr>
      <w:r>
        <w:rPr>
          <w:rFonts w:hint="eastAsia" w:ascii="宋体" w:hAnsi="宋体"/>
          <w:szCs w:val="22"/>
          <w:lang w:val="zh-TW"/>
        </w:rPr>
        <w:t>(</w:t>
      </w:r>
      <w:r>
        <w:rPr>
          <w:rFonts w:hint="eastAsia" w:ascii="宋体" w:hAnsi="宋体"/>
          <w:szCs w:val="22"/>
        </w:rPr>
        <w:t>2</w:t>
      </w:r>
      <w:r>
        <w:rPr>
          <w:rFonts w:hint="eastAsia" w:ascii="宋体" w:hAnsi="宋体"/>
          <w:szCs w:val="22"/>
          <w:lang w:val="zh-TW"/>
        </w:rPr>
        <w:t>）估算报告对区域地层、构造、岩浆岩及矿产分布等进行了简要叙述，阐明了</w:t>
      </w:r>
      <w:r>
        <w:rPr>
          <w:rFonts w:hint="eastAsia" w:ascii="宋体" w:hAnsi="宋体"/>
          <w:szCs w:val="22"/>
          <w:lang w:val="zh-TW" w:eastAsia="zh-CN"/>
        </w:rPr>
        <w:t>********</w:t>
      </w:r>
      <w:r>
        <w:rPr>
          <w:rFonts w:hint="eastAsia" w:ascii="宋体" w:hAnsi="宋体"/>
          <w:szCs w:val="22"/>
          <w:lang w:val="zh-TW"/>
        </w:rPr>
        <w:t>砂石矿矿体在区域构造单元的位置，初步划分了区内地层层序及岩性组合，根据</w:t>
      </w:r>
      <w:r>
        <w:rPr>
          <w:rFonts w:hint="eastAsia" w:ascii="宋体" w:hAnsi="宋体"/>
          <w:szCs w:val="22"/>
          <w:lang w:val="zh-TW" w:eastAsia="zh-CN"/>
        </w:rPr>
        <w:t>********</w:t>
      </w:r>
      <w:r>
        <w:rPr>
          <w:rFonts w:hint="eastAsia" w:ascii="宋体" w:hAnsi="宋体"/>
          <w:szCs w:val="22"/>
          <w:lang w:val="zh-TW"/>
        </w:rPr>
        <w:t>对现场实地情况了解，大致确定了矿体赋存层位。</w:t>
      </w:r>
    </w:p>
    <w:p>
      <w:pPr>
        <w:pStyle w:val="107"/>
        <w:rPr>
          <w:rFonts w:ascii="宋体" w:hAnsi="宋体"/>
          <w:szCs w:val="22"/>
        </w:rPr>
      </w:pPr>
      <w:r>
        <w:rPr>
          <w:rFonts w:hint="eastAsia" w:ascii="宋体" w:hAnsi="宋体"/>
          <w:szCs w:val="22"/>
          <w:lang w:val="zh-TW"/>
        </w:rPr>
        <w:t>(</w:t>
      </w:r>
      <w:r>
        <w:rPr>
          <w:rFonts w:hint="eastAsia" w:ascii="宋体" w:hAnsi="宋体"/>
          <w:szCs w:val="22"/>
        </w:rPr>
        <w:t>3</w:t>
      </w:r>
      <w:r>
        <w:rPr>
          <w:rFonts w:hint="eastAsia" w:ascii="宋体" w:hAnsi="宋体"/>
          <w:szCs w:val="22"/>
          <w:lang w:val="zh-TW"/>
        </w:rPr>
        <w:t>）工作方法及手段运用基本适宜，各项地质工作质量基本符合有关规范规定要求。</w:t>
      </w:r>
    </w:p>
    <w:p>
      <w:pPr>
        <w:pStyle w:val="107"/>
        <w:rPr>
          <w:rFonts w:ascii="宋体" w:hAnsi="宋体"/>
          <w:szCs w:val="22"/>
        </w:rPr>
      </w:pPr>
      <w:r>
        <w:rPr>
          <w:rFonts w:hint="eastAsia" w:ascii="宋体" w:hAnsi="宋体"/>
          <w:szCs w:val="22"/>
          <w:lang w:val="zh-TW"/>
        </w:rPr>
        <w:t>(</w:t>
      </w:r>
      <w:r>
        <w:rPr>
          <w:rFonts w:hint="eastAsia" w:ascii="宋体" w:hAnsi="宋体"/>
          <w:szCs w:val="22"/>
        </w:rPr>
        <w:t>4</w:t>
      </w:r>
      <w:r>
        <w:rPr>
          <w:rFonts w:hint="eastAsia" w:ascii="宋体" w:hAnsi="宋体"/>
          <w:szCs w:val="22"/>
          <w:lang w:val="zh-TW"/>
        </w:rPr>
        <w:t>）估算报告确定的主要参数基本合理，估算的结果基本可信，可以满足矿山开发利用的要求</w:t>
      </w:r>
      <w:r>
        <w:rPr>
          <w:rFonts w:hint="eastAsia" w:ascii="宋体" w:hAnsi="宋体"/>
          <w:szCs w:val="22"/>
        </w:rPr>
        <w:t>核实。</w:t>
      </w:r>
    </w:p>
    <w:p>
      <w:pPr>
        <w:spacing w:line="360" w:lineRule="auto"/>
        <w:rPr>
          <w:rFonts w:ascii="宋体" w:hAnsi="宋体"/>
          <w:color w:val="000000"/>
          <w:sz w:val="24"/>
        </w:rPr>
      </w:pPr>
    </w:p>
    <w:p>
      <w:pPr>
        <w:sectPr>
          <w:pgSz w:w="11900" w:h="16840"/>
          <w:pgMar w:top="1440" w:right="1800" w:bottom="1440" w:left="1800" w:header="851" w:footer="992" w:gutter="0"/>
          <w:cols w:space="720" w:num="1"/>
          <w:docGrid w:type="lines" w:linePitch="312" w:charSpace="0"/>
        </w:sectPr>
      </w:pPr>
    </w:p>
    <w:bookmarkEnd w:id="87"/>
    <w:bookmarkEnd w:id="88"/>
    <w:bookmarkEnd w:id="89"/>
    <w:bookmarkEnd w:id="90"/>
    <w:bookmarkEnd w:id="114"/>
    <w:bookmarkEnd w:id="115"/>
    <w:bookmarkEnd w:id="116"/>
    <w:bookmarkEnd w:id="117"/>
    <w:bookmarkEnd w:id="118"/>
    <w:bookmarkEnd w:id="119"/>
    <w:bookmarkEnd w:id="120"/>
    <w:bookmarkEnd w:id="121"/>
    <w:bookmarkEnd w:id="122"/>
    <w:bookmarkEnd w:id="123"/>
    <w:bookmarkEnd w:id="124"/>
    <w:bookmarkEnd w:id="125"/>
    <w:p>
      <w:pPr>
        <w:pStyle w:val="2"/>
        <w:numPr>
          <w:ilvl w:val="0"/>
          <w:numId w:val="2"/>
        </w:numPr>
        <w:snapToGrid w:val="0"/>
        <w:spacing w:before="0" w:after="240" w:line="360" w:lineRule="auto"/>
        <w:jc w:val="center"/>
        <w:rPr>
          <w:color w:val="000000"/>
          <w:sz w:val="32"/>
          <w:szCs w:val="32"/>
        </w:rPr>
      </w:pPr>
      <w:bookmarkStart w:id="126" w:name="_Toc7886"/>
      <w:bookmarkStart w:id="127" w:name="_Toc456610942"/>
      <w:r>
        <w:rPr>
          <w:color w:val="000000"/>
          <w:sz w:val="32"/>
          <w:szCs w:val="32"/>
        </w:rPr>
        <w:t>主要建设方案的确定</w:t>
      </w:r>
      <w:bookmarkEnd w:id="126"/>
      <w:bookmarkEnd w:id="127"/>
    </w:p>
    <w:p>
      <w:pPr>
        <w:keepNext/>
        <w:keepLines/>
        <w:numPr>
          <w:ilvl w:val="1"/>
          <w:numId w:val="2"/>
        </w:numPr>
        <w:spacing w:line="360" w:lineRule="auto"/>
        <w:outlineLvl w:val="1"/>
        <w:rPr>
          <w:rFonts w:ascii="宋体" w:hAnsi="宋体" w:cs="宋体"/>
          <w:b/>
          <w:bCs/>
          <w:color w:val="000000"/>
          <w:sz w:val="30"/>
          <w:szCs w:val="30"/>
        </w:rPr>
      </w:pPr>
      <w:bookmarkStart w:id="128" w:name="_Toc456610943"/>
      <w:bookmarkStart w:id="129" w:name="_Toc24927"/>
      <w:r>
        <w:rPr>
          <w:rFonts w:ascii="宋体" w:hAnsi="宋体" w:cs="宋体"/>
          <w:b/>
          <w:bCs/>
          <w:color w:val="000000"/>
          <w:sz w:val="30"/>
          <w:szCs w:val="30"/>
        </w:rPr>
        <w:t>开采方案</w:t>
      </w:r>
      <w:bookmarkEnd w:id="128"/>
      <w:bookmarkEnd w:id="129"/>
    </w:p>
    <w:p>
      <w:pPr>
        <w:numPr>
          <w:ilvl w:val="2"/>
          <w:numId w:val="2"/>
        </w:numPr>
        <w:spacing w:line="360" w:lineRule="auto"/>
        <w:outlineLvl w:val="2"/>
        <w:rPr>
          <w:rFonts w:ascii="宋体"/>
          <w:b/>
          <w:sz w:val="28"/>
          <w:szCs w:val="28"/>
        </w:rPr>
      </w:pPr>
      <w:r>
        <w:rPr>
          <w:rFonts w:ascii="宋体"/>
          <w:b/>
          <w:sz w:val="28"/>
          <w:szCs w:val="28"/>
        </w:rPr>
        <w:t>开采范围及开采对象</w:t>
      </w:r>
    </w:p>
    <w:p>
      <w:pPr>
        <w:pStyle w:val="107"/>
        <w:ind w:firstLine="482"/>
        <w:rPr>
          <w:rFonts w:ascii="宋体" w:hAnsi="宋体"/>
          <w:b/>
          <w:bCs/>
          <w:szCs w:val="22"/>
          <w:lang w:val="zh-TW"/>
        </w:rPr>
      </w:pPr>
      <w:r>
        <w:rPr>
          <w:rFonts w:hint="eastAsia" w:ascii="宋体" w:hAnsi="宋体"/>
          <w:b/>
          <w:bCs/>
          <w:szCs w:val="22"/>
        </w:rPr>
        <w:t>1、</w:t>
      </w:r>
      <w:r>
        <w:rPr>
          <w:rFonts w:hint="eastAsia" w:ascii="宋体" w:hAnsi="宋体"/>
          <w:b/>
          <w:bCs/>
          <w:szCs w:val="22"/>
          <w:lang w:val="zh-TW"/>
        </w:rPr>
        <w:t>开采范围</w:t>
      </w:r>
    </w:p>
    <w:p>
      <w:pPr>
        <w:pStyle w:val="107"/>
        <w:ind w:firstLine="422"/>
        <w:jc w:val="center"/>
        <w:rPr>
          <w:rFonts w:ascii="宋体" w:hAnsi="宋体"/>
          <w:b/>
          <w:bCs/>
          <w:sz w:val="21"/>
          <w:szCs w:val="20"/>
          <w:lang w:val="zh-TW"/>
        </w:rPr>
      </w:pPr>
      <w:r>
        <w:rPr>
          <w:rFonts w:hint="eastAsia" w:ascii="宋体" w:hAnsi="宋体"/>
          <w:b/>
          <w:bCs/>
          <w:sz w:val="21"/>
          <w:szCs w:val="20"/>
          <w:lang w:val="zh-TW"/>
        </w:rPr>
        <w:t>表</w:t>
      </w:r>
      <w:r>
        <w:rPr>
          <w:rFonts w:hint="eastAsia" w:ascii="宋体" w:hAnsi="宋体"/>
          <w:b/>
          <w:bCs/>
          <w:sz w:val="21"/>
          <w:szCs w:val="20"/>
        </w:rPr>
        <w:t>4-</w:t>
      </w:r>
      <w:r>
        <w:rPr>
          <w:rFonts w:hint="eastAsia" w:ascii="宋体" w:hAnsi="宋体"/>
          <w:b/>
          <w:bCs/>
          <w:sz w:val="21"/>
          <w:szCs w:val="20"/>
          <w:lang w:val="zh-TW"/>
        </w:rPr>
        <w:t>1</w:t>
      </w:r>
      <w:r>
        <w:rPr>
          <w:rFonts w:hint="eastAsia" w:ascii="宋体" w:hAnsi="宋体"/>
          <w:b/>
          <w:bCs/>
          <w:sz w:val="21"/>
          <w:szCs w:val="20"/>
        </w:rPr>
        <w:t xml:space="preserve">  采矿权拐点坐标一览表</w:t>
      </w:r>
    </w:p>
    <w:tbl>
      <w:tblPr>
        <w:tblStyle w:val="59"/>
        <w:tblW w:w="7571" w:type="dxa"/>
        <w:jc w:val="center"/>
        <w:tblInd w:w="587" w:type="dxa"/>
        <w:tblLayout w:type="fixed"/>
        <w:tblCellMar>
          <w:top w:w="0" w:type="dxa"/>
          <w:left w:w="108" w:type="dxa"/>
          <w:bottom w:w="0" w:type="dxa"/>
          <w:right w:w="108" w:type="dxa"/>
        </w:tblCellMar>
      </w:tblPr>
      <w:tblGrid>
        <w:gridCol w:w="927"/>
        <w:gridCol w:w="1370"/>
        <w:gridCol w:w="1538"/>
        <w:gridCol w:w="1990"/>
        <w:gridCol w:w="1746"/>
      </w:tblGrid>
      <w:tr>
        <w:tblPrEx>
          <w:tblLayout w:type="fixed"/>
          <w:tblCellMar>
            <w:top w:w="0" w:type="dxa"/>
            <w:left w:w="108" w:type="dxa"/>
            <w:bottom w:w="0" w:type="dxa"/>
            <w:right w:w="108" w:type="dxa"/>
          </w:tblCellMar>
        </w:tblPrEx>
        <w:trPr>
          <w:trHeight w:val="337"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pPr>
              <w:jc w:val="center"/>
              <w:rPr>
                <w:rFonts w:asciiTheme="minorHAnsi"/>
                <w:szCs w:val="21"/>
              </w:rPr>
            </w:pPr>
            <w:r>
              <w:rPr>
                <w:rFonts w:hint="eastAsia" w:asciiTheme="minorHAnsi"/>
                <w:szCs w:val="21"/>
              </w:rPr>
              <w:t>拐点号</w:t>
            </w:r>
          </w:p>
        </w:tc>
        <w:tc>
          <w:tcPr>
            <w:tcW w:w="2908" w:type="dxa"/>
            <w:gridSpan w:val="2"/>
            <w:tcBorders>
              <w:top w:val="single" w:color="auto" w:sz="4" w:space="0"/>
              <w:left w:val="nil"/>
              <w:bottom w:val="single" w:color="auto" w:sz="4" w:space="0"/>
              <w:right w:val="single" w:color="auto" w:sz="4" w:space="0"/>
            </w:tcBorders>
            <w:vAlign w:val="center"/>
          </w:tcPr>
          <w:p>
            <w:pPr>
              <w:jc w:val="center"/>
              <w:rPr>
                <w:rFonts w:asciiTheme="minorHAnsi"/>
                <w:szCs w:val="21"/>
              </w:rPr>
            </w:pPr>
            <w:r>
              <w:rPr>
                <w:rFonts w:hint="eastAsia" w:asciiTheme="minorHAnsi"/>
                <w:szCs w:val="21"/>
              </w:rPr>
              <w:t>1980西安坐标系（3°带）</w:t>
            </w:r>
          </w:p>
        </w:tc>
        <w:tc>
          <w:tcPr>
            <w:tcW w:w="3736" w:type="dxa"/>
            <w:gridSpan w:val="2"/>
            <w:tcBorders>
              <w:top w:val="single" w:color="auto" w:sz="4" w:space="0"/>
              <w:left w:val="nil"/>
              <w:bottom w:val="single" w:color="auto" w:sz="4" w:space="0"/>
              <w:right w:val="single" w:color="auto" w:sz="4" w:space="0"/>
            </w:tcBorders>
            <w:vAlign w:val="center"/>
          </w:tcPr>
          <w:p>
            <w:pPr>
              <w:jc w:val="center"/>
              <w:rPr>
                <w:rFonts w:asciiTheme="minorHAnsi"/>
                <w:szCs w:val="21"/>
              </w:rPr>
            </w:pPr>
            <w:r>
              <w:rPr>
                <w:rFonts w:hint="eastAsia" w:asciiTheme="minorHAnsi"/>
                <w:szCs w:val="21"/>
              </w:rPr>
              <w:t>地理坐标</w:t>
            </w:r>
          </w:p>
        </w:tc>
      </w:tr>
      <w:tr>
        <w:tblPrEx>
          <w:tblLayout w:type="fixed"/>
          <w:tblCellMar>
            <w:top w:w="0" w:type="dxa"/>
            <w:left w:w="108" w:type="dxa"/>
            <w:bottom w:w="0" w:type="dxa"/>
            <w:right w:w="108" w:type="dxa"/>
          </w:tblCellMar>
        </w:tblPrEx>
        <w:trPr>
          <w:trHeight w:val="309"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pPr>
              <w:jc w:val="center"/>
              <w:rPr>
                <w:rFonts w:asciiTheme="minorHAnsi"/>
                <w:szCs w:val="21"/>
              </w:rPr>
            </w:pPr>
          </w:p>
        </w:tc>
        <w:tc>
          <w:tcPr>
            <w:tcW w:w="1370" w:type="dxa"/>
            <w:tcBorders>
              <w:top w:val="nil"/>
              <w:left w:val="nil"/>
              <w:bottom w:val="single" w:color="auto" w:sz="4" w:space="0"/>
              <w:right w:val="single" w:color="auto" w:sz="4" w:space="0"/>
            </w:tcBorders>
            <w:vAlign w:val="center"/>
          </w:tcPr>
          <w:p>
            <w:pPr>
              <w:jc w:val="center"/>
              <w:rPr>
                <w:rFonts w:asciiTheme="minorHAnsi"/>
                <w:szCs w:val="21"/>
              </w:rPr>
            </w:pPr>
            <w:r>
              <w:rPr>
                <w:rFonts w:hint="eastAsia" w:asciiTheme="minorHAnsi"/>
                <w:szCs w:val="21"/>
                <w:lang w:val="fr-FR"/>
              </w:rPr>
              <w:t>X</w:t>
            </w:r>
          </w:p>
        </w:tc>
        <w:tc>
          <w:tcPr>
            <w:tcW w:w="1538" w:type="dxa"/>
            <w:tcBorders>
              <w:top w:val="nil"/>
              <w:left w:val="nil"/>
              <w:bottom w:val="single" w:color="auto" w:sz="4" w:space="0"/>
              <w:right w:val="single" w:color="auto" w:sz="4" w:space="0"/>
            </w:tcBorders>
            <w:vAlign w:val="center"/>
          </w:tcPr>
          <w:p>
            <w:pPr>
              <w:jc w:val="center"/>
              <w:rPr>
                <w:rFonts w:asciiTheme="minorHAnsi"/>
                <w:szCs w:val="21"/>
              </w:rPr>
            </w:pPr>
            <w:r>
              <w:rPr>
                <w:rFonts w:hint="eastAsia" w:asciiTheme="minorHAnsi"/>
                <w:szCs w:val="21"/>
                <w:lang w:val="fr-FR"/>
              </w:rPr>
              <w:t>Y</w:t>
            </w:r>
          </w:p>
        </w:tc>
        <w:tc>
          <w:tcPr>
            <w:tcW w:w="1990" w:type="dxa"/>
            <w:tcBorders>
              <w:top w:val="nil"/>
              <w:left w:val="nil"/>
              <w:bottom w:val="single" w:color="auto" w:sz="4" w:space="0"/>
              <w:right w:val="single" w:color="auto" w:sz="4" w:space="0"/>
            </w:tcBorders>
            <w:vAlign w:val="center"/>
          </w:tcPr>
          <w:p>
            <w:pPr>
              <w:jc w:val="center"/>
              <w:rPr>
                <w:rFonts w:asciiTheme="minorHAnsi"/>
                <w:szCs w:val="21"/>
              </w:rPr>
            </w:pPr>
            <w:r>
              <w:rPr>
                <w:rFonts w:hint="eastAsia" w:asciiTheme="minorHAnsi"/>
                <w:szCs w:val="21"/>
              </w:rPr>
              <w:t>经度</w:t>
            </w:r>
          </w:p>
        </w:tc>
        <w:tc>
          <w:tcPr>
            <w:tcW w:w="1746" w:type="dxa"/>
            <w:tcBorders>
              <w:top w:val="nil"/>
              <w:left w:val="nil"/>
              <w:bottom w:val="single" w:color="auto" w:sz="4" w:space="0"/>
              <w:right w:val="single" w:color="auto" w:sz="4" w:space="0"/>
            </w:tcBorders>
            <w:vAlign w:val="center"/>
          </w:tcPr>
          <w:p>
            <w:pPr>
              <w:jc w:val="center"/>
              <w:rPr>
                <w:rFonts w:asciiTheme="minorHAnsi"/>
                <w:szCs w:val="21"/>
              </w:rPr>
            </w:pPr>
            <w:r>
              <w:rPr>
                <w:rFonts w:hint="eastAsia" w:asciiTheme="minorHAnsi"/>
                <w:szCs w:val="21"/>
              </w:rPr>
              <w:t>纬度</w:t>
            </w:r>
          </w:p>
        </w:tc>
      </w:tr>
      <w:tr>
        <w:tblPrEx>
          <w:tblLayout w:type="fixed"/>
          <w:tblCellMar>
            <w:top w:w="0" w:type="dxa"/>
            <w:left w:w="108" w:type="dxa"/>
            <w:bottom w:w="0" w:type="dxa"/>
            <w:right w:w="108" w:type="dxa"/>
          </w:tblCellMar>
        </w:tblPrEx>
        <w:trPr>
          <w:trHeight w:val="309" w:hRule="atLeast"/>
          <w:jc w:val="center"/>
        </w:trPr>
        <w:tc>
          <w:tcPr>
            <w:tcW w:w="927" w:type="dxa"/>
            <w:tcBorders>
              <w:top w:val="single" w:color="auto" w:sz="4" w:space="0"/>
              <w:left w:val="single" w:color="auto" w:sz="8" w:space="0"/>
              <w:bottom w:val="single" w:color="auto" w:sz="8" w:space="0"/>
              <w:right w:val="single" w:color="auto" w:sz="8" w:space="0"/>
            </w:tcBorders>
            <w:vAlign w:val="center"/>
          </w:tcPr>
          <w:p>
            <w:pPr>
              <w:jc w:val="center"/>
              <w:rPr>
                <w:rFonts w:asciiTheme="minorHAnsi"/>
                <w:szCs w:val="21"/>
              </w:rPr>
            </w:pPr>
          </w:p>
        </w:tc>
        <w:tc>
          <w:tcPr>
            <w:tcW w:w="6644" w:type="dxa"/>
            <w:gridSpan w:val="4"/>
            <w:tcBorders>
              <w:top w:val="single" w:color="auto" w:sz="4" w:space="0"/>
              <w:left w:val="nil"/>
              <w:bottom w:val="single" w:color="auto" w:sz="4" w:space="0"/>
              <w:right w:val="single" w:color="000000" w:sz="4" w:space="0"/>
            </w:tcBorders>
            <w:vAlign w:val="center"/>
          </w:tcPr>
          <w:p>
            <w:pPr>
              <w:jc w:val="center"/>
              <w:rPr>
                <w:rFonts w:asciiTheme="minorHAnsi"/>
                <w:szCs w:val="21"/>
              </w:rPr>
            </w:pPr>
            <w:r>
              <w:rPr>
                <w:rFonts w:hint="eastAsia" w:asciiTheme="minorHAnsi"/>
                <w:szCs w:val="21"/>
              </w:rPr>
              <w:t>开采深度：2542～2475m标高，面积：0.0167km</w:t>
            </w:r>
            <w:r>
              <w:rPr>
                <w:rFonts w:hint="eastAsia" w:asciiTheme="minorHAnsi"/>
                <w:szCs w:val="21"/>
                <w:vertAlign w:val="superscript"/>
              </w:rPr>
              <w:t>2</w:t>
            </w:r>
          </w:p>
        </w:tc>
      </w:tr>
    </w:tbl>
    <w:p>
      <w:pPr>
        <w:rPr>
          <w:lang w:val="zh-TW"/>
        </w:rPr>
      </w:pPr>
    </w:p>
    <w:p>
      <w:pPr>
        <w:pStyle w:val="107"/>
        <w:ind w:firstLine="482"/>
        <w:rPr>
          <w:rFonts w:ascii="宋体" w:hAnsi="宋体"/>
          <w:b/>
          <w:bCs/>
          <w:szCs w:val="22"/>
          <w:lang w:val="zh-TW"/>
        </w:rPr>
      </w:pPr>
      <w:r>
        <w:rPr>
          <w:rFonts w:hint="eastAsia" w:ascii="宋体" w:hAnsi="宋体"/>
          <w:b/>
          <w:bCs/>
          <w:szCs w:val="22"/>
        </w:rPr>
        <w:t>2、</w:t>
      </w:r>
      <w:r>
        <w:rPr>
          <w:rFonts w:hint="eastAsia" w:ascii="宋体" w:hAnsi="宋体"/>
          <w:b/>
          <w:bCs/>
          <w:szCs w:val="22"/>
          <w:lang w:val="zh-TW"/>
        </w:rPr>
        <w:t>开采对象</w:t>
      </w:r>
    </w:p>
    <w:p>
      <w:pPr>
        <w:pStyle w:val="107"/>
        <w:rPr>
          <w:rFonts w:ascii="宋体" w:hAnsi="宋体"/>
          <w:szCs w:val="22"/>
          <w:lang w:val="zh-TW"/>
        </w:rPr>
      </w:pPr>
      <w:r>
        <w:rPr>
          <w:rFonts w:hint="eastAsia" w:ascii="宋体" w:hAnsi="宋体"/>
          <w:szCs w:val="22"/>
          <w:lang w:val="zh-TW"/>
        </w:rPr>
        <w:t>设计的开采对象为砂岩。《</w:t>
      </w:r>
      <w:r>
        <w:rPr>
          <w:rFonts w:hint="eastAsia" w:ascii="宋体" w:hAnsi="宋体"/>
          <w:szCs w:val="22"/>
          <w:lang w:val="zh-TW" w:eastAsia="zh-CN"/>
        </w:rPr>
        <w:t>********</w:t>
      </w:r>
      <w:r>
        <w:rPr>
          <w:rFonts w:hint="eastAsia" w:ascii="宋体" w:hAnsi="宋体"/>
          <w:szCs w:val="22"/>
          <w:lang w:val="zh-TW"/>
        </w:rPr>
        <w:t>砂石矿资源量估算报告》估算资源量时，确定估算深度为：+2542〜</w:t>
      </w:r>
      <w:r>
        <w:rPr>
          <w:rFonts w:hint="eastAsia" w:ascii="宋体" w:hAnsi="宋体"/>
          <w:szCs w:val="22"/>
        </w:rPr>
        <w:t>+</w:t>
      </w:r>
      <w:r>
        <w:rPr>
          <w:rFonts w:hint="eastAsia" w:ascii="宋体" w:hAnsi="宋体"/>
          <w:szCs w:val="22"/>
          <w:lang w:val="zh-TW"/>
        </w:rPr>
        <w:t xml:space="preserve">2475mm标高。 </w:t>
      </w:r>
    </w:p>
    <w:p>
      <w:pPr>
        <w:pStyle w:val="107"/>
        <w:ind w:firstLine="482"/>
        <w:rPr>
          <w:rFonts w:ascii="宋体" w:hAnsi="宋体"/>
          <w:b/>
          <w:bCs/>
          <w:szCs w:val="22"/>
          <w:lang w:val="zh-TW"/>
        </w:rPr>
      </w:pPr>
      <w:r>
        <w:rPr>
          <w:rFonts w:hint="eastAsia" w:ascii="宋体" w:hAnsi="宋体"/>
          <w:b/>
          <w:bCs/>
          <w:szCs w:val="22"/>
        </w:rPr>
        <w:t>3、</w:t>
      </w:r>
      <w:r>
        <w:rPr>
          <w:rFonts w:hint="eastAsia" w:ascii="宋体" w:hAnsi="宋体"/>
          <w:b/>
          <w:bCs/>
          <w:szCs w:val="22"/>
          <w:lang w:val="zh-TW"/>
        </w:rPr>
        <w:t>可采资源量</w:t>
      </w:r>
    </w:p>
    <w:p>
      <w:pPr>
        <w:pStyle w:val="107"/>
        <w:rPr>
          <w:rFonts w:ascii="宋体" w:hAnsi="宋体"/>
          <w:szCs w:val="22"/>
          <w:lang w:val="zh-CN"/>
        </w:rPr>
      </w:pPr>
      <w:r>
        <w:rPr>
          <w:rFonts w:hint="eastAsia" w:ascii="宋体" w:hAnsi="宋体"/>
          <w:szCs w:val="22"/>
          <w:lang w:val="zh-TW"/>
        </w:rPr>
        <w:t>本次设计釆用水平断面法估算矿石量，圈定开采境界内可采出资源量21.00万</w:t>
      </w:r>
      <w:r>
        <w:rPr>
          <w:rFonts w:hint="eastAsia" w:ascii="宋体" w:hAnsi="宋体"/>
          <w:szCs w:val="22"/>
          <w:lang w:val="zh-CN"/>
        </w:rPr>
        <w:t>m</w:t>
      </w:r>
      <w:r>
        <w:rPr>
          <w:rFonts w:hint="eastAsia" w:ascii="宋体" w:hAnsi="宋体"/>
          <w:szCs w:val="22"/>
          <w:vertAlign w:val="superscript"/>
          <w:lang w:val="zh-CN"/>
        </w:rPr>
        <w:t>3</w:t>
      </w:r>
      <w:r>
        <w:rPr>
          <w:rFonts w:hint="eastAsia" w:ascii="宋体" w:hAnsi="宋体"/>
          <w:szCs w:val="22"/>
          <w:lang w:val="zh-TW"/>
        </w:rPr>
        <w:t>。开采境界内矿石量见表3-3。</w:t>
      </w:r>
    </w:p>
    <w:p>
      <w:pPr>
        <w:numPr>
          <w:ilvl w:val="2"/>
          <w:numId w:val="2"/>
        </w:numPr>
        <w:spacing w:line="480" w:lineRule="auto"/>
        <w:outlineLvl w:val="2"/>
        <w:rPr>
          <w:rFonts w:ascii="宋体"/>
          <w:b/>
          <w:sz w:val="28"/>
          <w:szCs w:val="28"/>
        </w:rPr>
      </w:pPr>
      <w:r>
        <w:rPr>
          <w:rFonts w:ascii="宋体"/>
          <w:b/>
          <w:sz w:val="28"/>
          <w:szCs w:val="28"/>
        </w:rPr>
        <w:t>建设规模</w:t>
      </w:r>
      <w:r>
        <w:rPr>
          <w:rFonts w:hint="eastAsia" w:ascii="宋体"/>
          <w:b/>
          <w:sz w:val="28"/>
          <w:szCs w:val="28"/>
        </w:rPr>
        <w:t>及产品方案</w:t>
      </w:r>
    </w:p>
    <w:p>
      <w:pPr>
        <w:pStyle w:val="107"/>
        <w:ind w:firstLine="482"/>
        <w:rPr>
          <w:rFonts w:ascii="宋体" w:hAnsi="宋体"/>
          <w:b/>
          <w:bCs/>
          <w:szCs w:val="22"/>
          <w:lang w:val="zh-CN"/>
        </w:rPr>
      </w:pPr>
      <w:r>
        <w:rPr>
          <w:rFonts w:hint="eastAsia" w:ascii="宋体" w:hAnsi="宋体"/>
          <w:b/>
          <w:bCs/>
          <w:szCs w:val="22"/>
        </w:rPr>
        <w:t>1、</w:t>
      </w:r>
      <w:r>
        <w:rPr>
          <w:rFonts w:hint="eastAsia" w:ascii="宋体" w:hAnsi="宋体"/>
          <w:b/>
          <w:bCs/>
          <w:szCs w:val="22"/>
          <w:lang w:val="zh-CN"/>
        </w:rPr>
        <w:t>建设规模</w:t>
      </w:r>
    </w:p>
    <w:p>
      <w:pPr>
        <w:pStyle w:val="107"/>
        <w:rPr>
          <w:rFonts w:ascii="宋体" w:hAnsi="宋体"/>
          <w:szCs w:val="22"/>
          <w:lang w:val="zh-CN"/>
        </w:rPr>
      </w:pPr>
      <w:r>
        <w:rPr>
          <w:rFonts w:hint="eastAsia" w:ascii="宋体" w:hAnsi="宋体"/>
          <w:szCs w:val="22"/>
          <w:lang w:val="zh-CN"/>
        </w:rPr>
        <w:t>(</w:t>
      </w:r>
      <w:r>
        <w:rPr>
          <w:rFonts w:hint="eastAsia" w:ascii="宋体" w:hAnsi="宋体"/>
          <w:szCs w:val="22"/>
        </w:rPr>
        <w:t>1</w:t>
      </w:r>
      <w:r>
        <w:rPr>
          <w:rFonts w:hint="eastAsia" w:ascii="宋体" w:hAnsi="宋体"/>
          <w:szCs w:val="22"/>
          <w:lang w:val="zh-CN"/>
        </w:rPr>
        <w:t>）建设规模</w:t>
      </w:r>
    </w:p>
    <w:p>
      <w:pPr>
        <w:pStyle w:val="107"/>
        <w:rPr>
          <w:rFonts w:ascii="宋体" w:hAnsi="宋体"/>
          <w:szCs w:val="22"/>
          <w:lang w:val="zh-CN"/>
        </w:rPr>
      </w:pPr>
      <w:r>
        <w:rPr>
          <w:rFonts w:hint="eastAsia" w:ascii="宋体" w:hAnsi="宋体"/>
          <w:szCs w:val="22"/>
          <w:lang w:val="zh-CN"/>
        </w:rPr>
        <w:t>本项目是为当地新农村建设而设，产品用途主要为砖混民用建筑及村级混凝土硬化道路，产品严格受市场需求、地域、价格的制约，根据市场调研情况，结合矿体规模、生产规模、服务年限三者配套的原则，经分析比较，本设计方案推荐矿山生产规模为3万m</w:t>
      </w:r>
      <w:r>
        <w:rPr>
          <w:rFonts w:hint="eastAsia" w:ascii="宋体" w:hAnsi="宋体"/>
          <w:szCs w:val="22"/>
          <w:vertAlign w:val="superscript"/>
          <w:lang w:val="zh-CN"/>
        </w:rPr>
        <w:t>3</w:t>
      </w:r>
      <w:r>
        <w:rPr>
          <w:rFonts w:hint="eastAsia" w:ascii="宋体" w:hAnsi="宋体"/>
          <w:szCs w:val="22"/>
          <w:lang w:val="zh-CN"/>
        </w:rPr>
        <w:t>/a。</w:t>
      </w:r>
    </w:p>
    <w:p>
      <w:pPr>
        <w:pStyle w:val="107"/>
        <w:rPr>
          <w:rFonts w:ascii="宋体" w:hAnsi="宋体"/>
          <w:szCs w:val="22"/>
          <w:lang w:val="zh-CN"/>
        </w:rPr>
      </w:pPr>
      <w:r>
        <w:rPr>
          <w:rFonts w:hint="eastAsia" w:ascii="宋体" w:hAnsi="宋体"/>
          <w:szCs w:val="22"/>
          <w:lang w:val="zh-CN"/>
        </w:rPr>
        <w:t>(</w:t>
      </w:r>
      <w:r>
        <w:rPr>
          <w:rFonts w:hint="eastAsia" w:ascii="宋体" w:hAnsi="宋体"/>
          <w:szCs w:val="22"/>
        </w:rPr>
        <w:t>2</w:t>
      </w:r>
      <w:r>
        <w:rPr>
          <w:rFonts w:hint="eastAsia" w:ascii="宋体" w:hAnsi="宋体"/>
          <w:szCs w:val="22"/>
          <w:lang w:val="zh-CN"/>
        </w:rPr>
        <w:t>）建设规模的简要论证</w:t>
      </w:r>
    </w:p>
    <w:p>
      <w:pPr>
        <w:pStyle w:val="107"/>
        <w:rPr>
          <w:rFonts w:ascii="宋体" w:hAnsi="宋体"/>
          <w:szCs w:val="22"/>
          <w:lang w:val="zh-CN"/>
        </w:rPr>
      </w:pPr>
      <w:r>
        <w:rPr>
          <w:rFonts w:hint="eastAsia" w:ascii="宋体" w:hAnsi="宋体"/>
          <w:szCs w:val="22"/>
          <w:lang w:val="zh-CN"/>
        </w:rPr>
        <w:t>矿山开釆的最低开釆标高+2475(高于当地最低侵蚀基准面+2465.72m)，设计开采境界内圈定的资源总量为2</w:t>
      </w:r>
      <w:r>
        <w:rPr>
          <w:rFonts w:hint="eastAsia" w:ascii="宋体" w:hAnsi="宋体"/>
          <w:szCs w:val="22"/>
        </w:rPr>
        <w:t>1</w:t>
      </w:r>
      <w:r>
        <w:rPr>
          <w:rFonts w:hint="eastAsia" w:ascii="宋体" w:hAnsi="宋体"/>
          <w:szCs w:val="22"/>
          <w:lang w:val="zh-CN"/>
        </w:rPr>
        <w:t>.</w:t>
      </w:r>
      <w:r>
        <w:rPr>
          <w:rFonts w:hint="eastAsia" w:ascii="宋体" w:hAnsi="宋体"/>
          <w:szCs w:val="22"/>
        </w:rPr>
        <w:t>00</w:t>
      </w:r>
      <w:r>
        <w:rPr>
          <w:rFonts w:hint="eastAsia" w:ascii="宋体" w:hAnsi="宋体"/>
          <w:szCs w:val="22"/>
          <w:lang w:val="zh-CN"/>
        </w:rPr>
        <w:t>万m</w:t>
      </w:r>
      <w:r>
        <w:rPr>
          <w:rFonts w:hint="eastAsia" w:ascii="宋体" w:hAnsi="宋体"/>
          <w:szCs w:val="22"/>
          <w:vertAlign w:val="superscript"/>
          <w:lang w:val="zh-CN"/>
        </w:rPr>
        <w:t>3</w:t>
      </w:r>
      <w:r>
        <w:rPr>
          <w:rFonts w:hint="eastAsia" w:ascii="宋体" w:hAnsi="宋体"/>
          <w:szCs w:val="22"/>
          <w:lang w:val="zh-CN"/>
        </w:rPr>
        <w:t>，属小型露天矿山。基于********附近各类道路工程、住房建设、村级硬化路等对砂石类矿产品的需求，考虑矿山开釆、运输、供电、供水等方面的成本因素。根据国土资源部的相关规定，结合市场调查结果，设计矿山规模确定为3万m</w:t>
      </w:r>
      <w:r>
        <w:rPr>
          <w:rFonts w:hint="eastAsia" w:ascii="宋体" w:hAnsi="宋体"/>
          <w:szCs w:val="22"/>
          <w:vertAlign w:val="superscript"/>
          <w:lang w:val="zh-CN"/>
        </w:rPr>
        <w:t>3</w:t>
      </w:r>
      <w:r>
        <w:rPr>
          <w:rFonts w:hint="eastAsia" w:ascii="宋体" w:hAnsi="宋体"/>
          <w:szCs w:val="22"/>
          <w:lang w:val="zh-CN"/>
        </w:rPr>
        <w:t>/a，是比较合理的。</w:t>
      </w:r>
    </w:p>
    <w:p>
      <w:pPr>
        <w:pStyle w:val="107"/>
        <w:ind w:firstLine="482"/>
        <w:rPr>
          <w:rFonts w:ascii="宋体" w:hAnsi="宋体"/>
          <w:b/>
          <w:bCs/>
          <w:szCs w:val="22"/>
          <w:lang w:val="zh-CN"/>
        </w:rPr>
      </w:pPr>
      <w:r>
        <w:rPr>
          <w:rFonts w:hint="eastAsia" w:ascii="宋体" w:hAnsi="宋体"/>
          <w:b/>
          <w:bCs/>
          <w:szCs w:val="22"/>
        </w:rPr>
        <w:t>2、</w:t>
      </w:r>
      <w:r>
        <w:rPr>
          <w:rFonts w:hint="eastAsia" w:ascii="宋体" w:hAnsi="宋体"/>
          <w:b/>
          <w:bCs/>
          <w:szCs w:val="22"/>
          <w:lang w:val="zh-CN"/>
        </w:rPr>
        <w:t>产品方案</w:t>
      </w:r>
    </w:p>
    <w:p>
      <w:pPr>
        <w:pStyle w:val="107"/>
        <w:rPr>
          <w:rFonts w:ascii="宋体" w:hAnsi="宋体"/>
          <w:kern w:val="10"/>
        </w:rPr>
      </w:pPr>
      <w:r>
        <w:rPr>
          <w:rFonts w:hint="eastAsia" w:ascii="宋体" w:hAnsi="宋体"/>
          <w:szCs w:val="22"/>
        </w:rPr>
        <w:t>本矿山砂卵石矿产品的设计用途:建筑集料用砂及碎石，产品分为4个粒级，分别为100～40mm、40～20mm、20～5mm、＜5mm</w:t>
      </w:r>
      <w:r>
        <w:rPr>
          <w:rFonts w:hint="eastAsia" w:ascii="宋体" w:hAnsi="宋体"/>
          <w:kern w:val="10"/>
        </w:rPr>
        <w:t>。</w:t>
      </w:r>
    </w:p>
    <w:p>
      <w:pPr>
        <w:numPr>
          <w:ilvl w:val="2"/>
          <w:numId w:val="2"/>
        </w:numPr>
        <w:spacing w:line="480" w:lineRule="auto"/>
        <w:outlineLvl w:val="2"/>
        <w:rPr>
          <w:rFonts w:ascii="宋体"/>
          <w:b/>
          <w:sz w:val="28"/>
          <w:szCs w:val="28"/>
        </w:rPr>
      </w:pPr>
      <w:r>
        <w:rPr>
          <w:rFonts w:ascii="宋体"/>
          <w:b/>
          <w:sz w:val="28"/>
          <w:szCs w:val="28"/>
        </w:rPr>
        <w:t>矿床的开采方式</w:t>
      </w:r>
    </w:p>
    <w:p>
      <w:pPr>
        <w:pStyle w:val="72"/>
        <w:rPr>
          <w:kern w:val="10"/>
        </w:rPr>
      </w:pPr>
      <w:r>
        <w:rPr>
          <w:rFonts w:hint="eastAsia"/>
          <w:kern w:val="10"/>
        </w:rPr>
        <w:t>根据矿区矿体赋存条件、地质地形及开采技术条件，拟开釆矿体基本裸露，矿区工程地质、水文地质条件简单，确定本矿区采用露天开采方式。</w:t>
      </w:r>
    </w:p>
    <w:p>
      <w:pPr>
        <w:keepNext/>
        <w:keepLines/>
        <w:numPr>
          <w:ilvl w:val="1"/>
          <w:numId w:val="2"/>
        </w:numPr>
        <w:spacing w:line="480" w:lineRule="auto"/>
        <w:outlineLvl w:val="1"/>
        <w:rPr>
          <w:rFonts w:ascii="宋体" w:hAnsi="宋体" w:cs="宋体"/>
          <w:b/>
          <w:bCs/>
          <w:color w:val="000000"/>
          <w:sz w:val="30"/>
          <w:szCs w:val="30"/>
        </w:rPr>
      </w:pPr>
      <w:bookmarkStart w:id="130" w:name="_Toc158"/>
      <w:bookmarkStart w:id="131" w:name="_Toc456610944"/>
      <w:bookmarkStart w:id="132" w:name="_Toc435453450"/>
      <w:r>
        <w:rPr>
          <w:rFonts w:hint="eastAsia" w:ascii="宋体" w:hAnsi="宋体" w:cs="宋体"/>
          <w:b/>
          <w:bCs/>
          <w:color w:val="000000"/>
          <w:sz w:val="30"/>
          <w:szCs w:val="30"/>
        </w:rPr>
        <w:t>防治水方案</w:t>
      </w:r>
      <w:bookmarkEnd w:id="130"/>
      <w:bookmarkEnd w:id="131"/>
    </w:p>
    <w:bookmarkEnd w:id="132"/>
    <w:p>
      <w:pPr>
        <w:spacing w:line="360" w:lineRule="auto"/>
        <w:ind w:firstLine="480" w:firstLineChars="200"/>
        <w:rPr>
          <w:rFonts w:ascii="宋体" w:hAnsi="宋体"/>
          <w:kern w:val="10"/>
          <w:sz w:val="24"/>
        </w:rPr>
      </w:pPr>
      <w:r>
        <w:rPr>
          <w:rFonts w:hint="eastAsia" w:ascii="宋体" w:hAnsi="宋体"/>
          <w:kern w:val="10"/>
          <w:sz w:val="24"/>
        </w:rPr>
        <w:t>矿区周围多为干沟，无溪流。地表水体主要为大气降水，年降水量约470毫米。雨水多集中在7〜9月份，属雨季，暴雨后有形成水量较大的洪流，南侧地形较低，沟谷宽阔，有利于洪水的排泄，矿区水文地质条件简单。</w:t>
      </w:r>
    </w:p>
    <w:p>
      <w:pPr>
        <w:spacing w:line="360" w:lineRule="auto"/>
        <w:ind w:firstLine="480" w:firstLineChars="200"/>
        <w:rPr>
          <w:rFonts w:ascii="宋体" w:hAnsi="宋体"/>
          <w:kern w:val="10"/>
          <w:sz w:val="24"/>
        </w:rPr>
      </w:pPr>
      <w:r>
        <w:rPr>
          <w:rFonts w:hint="eastAsia" w:ascii="宋体" w:hAnsi="宋体"/>
          <w:kern w:val="10"/>
          <w:sz w:val="24"/>
        </w:rPr>
        <w:t>矿坑的主要充水因素为大气降水，矿区所处地带为一中间高两边低的山坡地貌，地下水侧向补给有限，地下水沿孔隙及裂隙自山梁向南、北山坡径流，在地形低洼地带排泄于矿区东西侧的沟谷中。矿山开采的最低开采基高2475m，远高出冲沟中的最高洪水水位，故矿山开釆时洪水不会对矿坑造成影响。</w:t>
      </w:r>
    </w:p>
    <w:p>
      <w:pPr>
        <w:spacing w:line="360" w:lineRule="auto"/>
        <w:ind w:firstLine="480" w:firstLineChars="200"/>
        <w:rPr>
          <w:rFonts w:ascii="宋体" w:hAnsi="宋体"/>
          <w:kern w:val="10"/>
          <w:sz w:val="24"/>
        </w:rPr>
      </w:pPr>
      <w:r>
        <w:rPr>
          <w:rFonts w:hint="eastAsia" w:ascii="宋体" w:hAnsi="宋体"/>
          <w:kern w:val="10"/>
          <w:sz w:val="24"/>
        </w:rPr>
        <w:t>针对本矿山的地形地势及水文地质条件，建议矿山开采时应釆取以下防治水措施：</w:t>
      </w:r>
    </w:p>
    <w:p>
      <w:pPr>
        <w:spacing w:line="360" w:lineRule="auto"/>
        <w:ind w:firstLine="480" w:firstLineChars="200"/>
        <w:rPr>
          <w:rFonts w:ascii="宋体" w:hAnsi="宋体"/>
          <w:kern w:val="10"/>
          <w:sz w:val="24"/>
        </w:rPr>
      </w:pPr>
      <w:r>
        <w:rPr>
          <w:rFonts w:hint="eastAsia" w:ascii="宋体" w:hAnsi="宋体"/>
          <w:kern w:val="10"/>
          <w:sz w:val="24"/>
        </w:rPr>
        <w:t>（1）在矿山开采境界外开挖防洪截排水沟，防止大气降水汇入采矿场。</w:t>
      </w:r>
    </w:p>
    <w:p>
      <w:pPr>
        <w:spacing w:line="360" w:lineRule="auto"/>
        <w:ind w:firstLine="480" w:firstLineChars="200"/>
        <w:rPr>
          <w:rFonts w:ascii="宋体" w:hAnsi="宋体"/>
          <w:kern w:val="10"/>
          <w:sz w:val="24"/>
        </w:rPr>
      </w:pPr>
      <w:r>
        <w:rPr>
          <w:rFonts w:hint="eastAsia" w:ascii="宋体" w:hAnsi="宋体"/>
          <w:kern w:val="10"/>
          <w:sz w:val="24"/>
        </w:rPr>
        <w:t>（2）矿山采矿工作平台应保持3</w:t>
      </w:r>
      <w:r>
        <w:rPr>
          <w:rFonts w:ascii="Arial" w:hAnsi="Arial" w:cs="Arial"/>
          <w:kern w:val="10"/>
          <w:sz w:val="24"/>
        </w:rPr>
        <w:t>‰</w:t>
      </w:r>
      <w:r>
        <w:rPr>
          <w:rFonts w:hint="eastAsia" w:ascii="宋体" w:hAnsi="宋体"/>
          <w:kern w:val="10"/>
          <w:sz w:val="24"/>
        </w:rPr>
        <w:t>的坡度，坡向开采平台的临时排水沟，将大气降水及地下可能的涌水引至釆坑外。</w:t>
      </w:r>
    </w:p>
    <w:p>
      <w:pPr>
        <w:spacing w:line="360" w:lineRule="auto"/>
        <w:ind w:firstLine="480" w:firstLineChars="200"/>
        <w:rPr>
          <w:rFonts w:ascii="宋体" w:hAnsi="宋体"/>
          <w:kern w:val="10"/>
          <w:sz w:val="24"/>
        </w:rPr>
      </w:pPr>
      <w:r>
        <w:rPr>
          <w:rFonts w:hint="eastAsia" w:ascii="宋体" w:hAnsi="宋体"/>
          <w:kern w:val="10"/>
          <w:sz w:val="24"/>
        </w:rPr>
        <w:t>（3）矿山开采过程中剥离出的废石、废土大部分可用于平整场地和矿山道路，剩余的少量废石、废土应排弃至排土场，防止暴雨时造成水土流失和泥石流。</w:t>
      </w:r>
    </w:p>
    <w:p>
      <w:pPr>
        <w:spacing w:line="360" w:lineRule="auto"/>
        <w:ind w:firstLine="480" w:firstLineChars="200"/>
        <w:rPr>
          <w:rFonts w:ascii="宋体" w:hAnsi="宋体"/>
          <w:kern w:val="10"/>
          <w:sz w:val="24"/>
        </w:rPr>
      </w:pPr>
    </w:p>
    <w:p>
      <w:pPr>
        <w:snapToGrid w:val="0"/>
        <w:spacing w:line="360" w:lineRule="auto"/>
        <w:ind w:firstLine="200"/>
        <w:jc w:val="center"/>
        <w:rPr>
          <w:rFonts w:ascii="宋体" w:hAnsi="宋体"/>
          <w:b/>
          <w:bCs/>
          <w:sz w:val="24"/>
        </w:rPr>
        <w:sectPr>
          <w:footerReference r:id="rId11" w:type="default"/>
          <w:pgSz w:w="11900" w:h="16840"/>
          <w:pgMar w:top="1440" w:right="1800" w:bottom="1440" w:left="1800" w:header="851" w:footer="992" w:gutter="0"/>
          <w:cols w:space="720" w:num="1"/>
          <w:docGrid w:type="lines" w:linePitch="312" w:charSpace="0"/>
        </w:sectPr>
      </w:pPr>
      <w:bookmarkStart w:id="133" w:name="_Toc343030089"/>
      <w:bookmarkStart w:id="134" w:name="_Toc265613497"/>
      <w:bookmarkStart w:id="135" w:name="_Toc403027836"/>
      <w:bookmarkStart w:id="136" w:name="_Toc403027757"/>
      <w:bookmarkStart w:id="137" w:name="_Toc338707627"/>
      <w:bookmarkStart w:id="138" w:name="_Toc435453452"/>
      <w:bookmarkStart w:id="139" w:name="_Toc259020395"/>
      <w:bookmarkStart w:id="140" w:name="_Toc258667134"/>
    </w:p>
    <w:p>
      <w:pPr>
        <w:pStyle w:val="2"/>
        <w:numPr>
          <w:ilvl w:val="0"/>
          <w:numId w:val="2"/>
        </w:numPr>
        <w:snapToGrid w:val="0"/>
        <w:spacing w:before="0" w:after="240" w:line="360" w:lineRule="auto"/>
        <w:jc w:val="center"/>
        <w:rPr>
          <w:color w:val="000000"/>
          <w:sz w:val="32"/>
          <w:szCs w:val="32"/>
        </w:rPr>
      </w:pPr>
      <w:bookmarkStart w:id="141" w:name="_Toc456610945"/>
      <w:bookmarkStart w:id="142" w:name="_Toc7161"/>
      <w:r>
        <w:rPr>
          <w:color w:val="000000"/>
          <w:sz w:val="32"/>
          <w:szCs w:val="32"/>
        </w:rPr>
        <w:t>矿床开采</w:t>
      </w:r>
      <w:bookmarkEnd w:id="133"/>
      <w:bookmarkEnd w:id="134"/>
      <w:bookmarkEnd w:id="135"/>
      <w:bookmarkEnd w:id="136"/>
      <w:bookmarkEnd w:id="137"/>
      <w:bookmarkEnd w:id="138"/>
      <w:bookmarkEnd w:id="141"/>
      <w:bookmarkEnd w:id="142"/>
    </w:p>
    <w:p>
      <w:pPr>
        <w:numPr>
          <w:ilvl w:val="1"/>
          <w:numId w:val="2"/>
        </w:numPr>
        <w:spacing w:line="360" w:lineRule="auto"/>
        <w:outlineLvl w:val="1"/>
        <w:rPr>
          <w:rFonts w:ascii="宋体" w:hAnsi="宋体" w:cs="宋体"/>
          <w:b/>
          <w:bCs/>
          <w:color w:val="000000"/>
          <w:sz w:val="30"/>
          <w:szCs w:val="30"/>
        </w:rPr>
      </w:pPr>
      <w:bookmarkStart w:id="143" w:name="_Toc456610946"/>
      <w:bookmarkStart w:id="144" w:name="_Toc5329"/>
      <w:r>
        <w:rPr>
          <w:rFonts w:hint="eastAsia" w:ascii="宋体" w:hAnsi="宋体" w:cs="宋体"/>
          <w:b/>
          <w:bCs/>
          <w:color w:val="000000"/>
          <w:sz w:val="30"/>
          <w:szCs w:val="30"/>
        </w:rPr>
        <w:t>露天开采境界</w:t>
      </w:r>
      <w:bookmarkEnd w:id="143"/>
      <w:r>
        <w:rPr>
          <w:rFonts w:hint="eastAsia" w:ascii="宋体" w:hAnsi="宋体" w:cs="宋体"/>
          <w:b/>
          <w:bCs/>
          <w:color w:val="000000"/>
          <w:sz w:val="30"/>
          <w:szCs w:val="30"/>
        </w:rPr>
        <w:t>的确定</w:t>
      </w:r>
      <w:bookmarkEnd w:id="144"/>
    </w:p>
    <w:p>
      <w:pPr>
        <w:numPr>
          <w:ilvl w:val="2"/>
          <w:numId w:val="2"/>
        </w:numPr>
        <w:spacing w:line="360" w:lineRule="auto"/>
        <w:outlineLvl w:val="2"/>
        <w:rPr>
          <w:rFonts w:ascii="宋体"/>
          <w:b/>
          <w:sz w:val="28"/>
          <w:szCs w:val="28"/>
        </w:rPr>
      </w:pPr>
      <w:r>
        <w:rPr>
          <w:rFonts w:hint="eastAsia" w:ascii="宋体"/>
          <w:b/>
          <w:sz w:val="28"/>
          <w:szCs w:val="28"/>
        </w:rPr>
        <w:t>圈定露天开采境界的原则</w:t>
      </w:r>
    </w:p>
    <w:p>
      <w:pPr>
        <w:tabs>
          <w:tab w:val="left" w:pos="0"/>
        </w:tabs>
        <w:spacing w:line="360" w:lineRule="auto"/>
        <w:ind w:firstLine="480" w:firstLineChars="200"/>
        <w:rPr>
          <w:rFonts w:ascii="宋体" w:hAnsi="宋体"/>
          <w:bCs/>
          <w:color w:val="000000"/>
          <w:sz w:val="24"/>
        </w:rPr>
      </w:pPr>
      <w:r>
        <w:rPr>
          <w:rFonts w:ascii="宋体" w:hAnsi="宋体"/>
          <w:bCs/>
          <w:color w:val="000000"/>
          <w:sz w:val="24"/>
        </w:rPr>
        <w:t>为了确保生产安全，同时使矿床开采获得最佳的经济效益，必须正确圈定露天开采境界，即合理确定开采的底部</w:t>
      </w:r>
      <w:r>
        <w:rPr>
          <w:rFonts w:hint="eastAsia" w:ascii="宋体" w:hAnsi="宋体"/>
          <w:bCs/>
          <w:color w:val="000000"/>
          <w:sz w:val="24"/>
        </w:rPr>
        <w:t>边</w:t>
      </w:r>
      <w:r>
        <w:rPr>
          <w:rFonts w:ascii="宋体" w:hAnsi="宋体"/>
          <w:bCs/>
          <w:color w:val="000000"/>
          <w:sz w:val="24"/>
        </w:rPr>
        <w:t>界、最终边坡角以及开采深度三个要素。本设计露天开采境界主要遵循以下原则确定：</w:t>
      </w:r>
    </w:p>
    <w:p>
      <w:pPr>
        <w:tabs>
          <w:tab w:val="left" w:pos="0"/>
        </w:tabs>
        <w:spacing w:line="360" w:lineRule="auto"/>
        <w:ind w:firstLine="480" w:firstLineChars="200"/>
        <w:rPr>
          <w:rFonts w:ascii="宋体" w:hAnsi="宋体"/>
          <w:bCs/>
          <w:color w:val="000000"/>
          <w:sz w:val="24"/>
        </w:rPr>
      </w:pPr>
      <w:r>
        <w:rPr>
          <w:rFonts w:hint="eastAsia" w:ascii="宋体" w:hAnsi="宋体"/>
          <w:bCs/>
          <w:color w:val="000000"/>
          <w:sz w:val="24"/>
          <w:lang w:val="zh-TW"/>
        </w:rPr>
        <w:t>（</w:t>
      </w:r>
      <w:r>
        <w:rPr>
          <w:rFonts w:hint="eastAsia" w:ascii="宋体" w:hAnsi="宋体"/>
          <w:bCs/>
          <w:color w:val="000000"/>
          <w:sz w:val="24"/>
        </w:rPr>
        <w:t>1</w:t>
      </w:r>
      <w:r>
        <w:rPr>
          <w:rFonts w:hint="eastAsia" w:ascii="宋体" w:hAnsi="宋体"/>
          <w:bCs/>
          <w:color w:val="000000"/>
          <w:sz w:val="24"/>
          <w:lang w:val="zh-TW"/>
        </w:rPr>
        <w:t>）设计境界圈定在拟设矿权储量计算范围内；</w:t>
      </w:r>
    </w:p>
    <w:p>
      <w:pPr>
        <w:tabs>
          <w:tab w:val="left" w:pos="0"/>
        </w:tabs>
        <w:spacing w:line="360" w:lineRule="auto"/>
        <w:ind w:firstLine="480" w:firstLineChars="200"/>
        <w:rPr>
          <w:rFonts w:ascii="宋体" w:hAnsi="宋体"/>
          <w:bCs/>
          <w:color w:val="000000"/>
          <w:sz w:val="24"/>
        </w:rPr>
      </w:pPr>
      <w:r>
        <w:rPr>
          <w:rFonts w:hint="eastAsia" w:ascii="宋体" w:hAnsi="宋体"/>
          <w:bCs/>
          <w:color w:val="000000"/>
          <w:sz w:val="24"/>
        </w:rPr>
        <w:t>（2）矿区最高开采标高+2542.00m，最低开釆深度+2475.00m；</w:t>
      </w:r>
    </w:p>
    <w:p>
      <w:pPr>
        <w:tabs>
          <w:tab w:val="left" w:pos="0"/>
        </w:tabs>
        <w:spacing w:line="360" w:lineRule="auto"/>
        <w:ind w:firstLine="480" w:firstLineChars="200"/>
        <w:rPr>
          <w:rFonts w:ascii="宋体" w:hAnsi="宋体"/>
          <w:bCs/>
          <w:color w:val="000000"/>
          <w:sz w:val="24"/>
        </w:rPr>
      </w:pPr>
      <w:r>
        <w:rPr>
          <w:rFonts w:hint="eastAsia" w:ascii="宋体" w:hAnsi="宋体"/>
          <w:bCs/>
          <w:color w:val="000000"/>
          <w:sz w:val="24"/>
          <w:lang w:val="zh-TW"/>
        </w:rPr>
        <w:t>（</w:t>
      </w:r>
      <w:r>
        <w:rPr>
          <w:rFonts w:hint="eastAsia" w:ascii="宋体" w:hAnsi="宋体"/>
          <w:bCs/>
          <w:color w:val="000000"/>
          <w:sz w:val="24"/>
        </w:rPr>
        <w:t>3</w:t>
      </w:r>
      <w:r>
        <w:rPr>
          <w:rFonts w:hint="eastAsia" w:ascii="宋体" w:hAnsi="宋体"/>
          <w:bCs/>
          <w:color w:val="000000"/>
          <w:sz w:val="24"/>
          <w:lang w:val="zh-TW"/>
        </w:rPr>
        <w:t>）开采底盘宽度与转弯半径满足挖掘、采装设备的要求；</w:t>
      </w:r>
    </w:p>
    <w:p>
      <w:pPr>
        <w:tabs>
          <w:tab w:val="left" w:pos="0"/>
        </w:tabs>
        <w:spacing w:line="360" w:lineRule="auto"/>
        <w:ind w:firstLine="480" w:firstLineChars="200"/>
        <w:rPr>
          <w:rFonts w:ascii="宋体" w:hAnsi="宋体"/>
          <w:bCs/>
          <w:color w:val="000000"/>
          <w:sz w:val="24"/>
        </w:rPr>
      </w:pPr>
      <w:r>
        <w:rPr>
          <w:rFonts w:hint="eastAsia" w:ascii="宋体" w:hAnsi="宋体"/>
          <w:bCs/>
          <w:color w:val="000000"/>
          <w:sz w:val="24"/>
        </w:rPr>
        <w:t>（4）</w:t>
      </w:r>
      <w:r>
        <w:rPr>
          <w:rFonts w:ascii="宋体" w:hAnsi="宋体"/>
          <w:bCs/>
          <w:color w:val="000000"/>
          <w:sz w:val="24"/>
        </w:rPr>
        <w:t>圈定的露天开采境界要保证露天采场内采出的矿石有盈利，即</w:t>
      </w:r>
      <w:r>
        <w:rPr>
          <w:rFonts w:hint="eastAsia" w:ascii="宋体" w:hAnsi="宋体"/>
          <w:bCs/>
          <w:color w:val="000000"/>
          <w:sz w:val="24"/>
        </w:rPr>
        <w:t>圈定的</w:t>
      </w:r>
      <w:r>
        <w:rPr>
          <w:rFonts w:ascii="宋体" w:hAnsi="宋体"/>
          <w:bCs/>
          <w:color w:val="000000"/>
          <w:sz w:val="24"/>
        </w:rPr>
        <w:t>露天矿的</w:t>
      </w:r>
      <w:r>
        <w:rPr>
          <w:rFonts w:hint="eastAsia" w:ascii="宋体" w:hAnsi="宋体"/>
          <w:bCs/>
          <w:color w:val="000000"/>
          <w:sz w:val="24"/>
        </w:rPr>
        <w:t>平均剥采比</w:t>
      </w:r>
      <w:r>
        <w:rPr>
          <w:rFonts w:ascii="宋体" w:hAnsi="宋体"/>
          <w:bCs/>
          <w:color w:val="000000"/>
          <w:sz w:val="24"/>
        </w:rPr>
        <w:t>不大于经济合理剥采比；</w:t>
      </w:r>
    </w:p>
    <w:p>
      <w:pPr>
        <w:tabs>
          <w:tab w:val="left" w:pos="0"/>
        </w:tabs>
        <w:spacing w:line="360" w:lineRule="auto"/>
        <w:ind w:firstLine="480" w:firstLineChars="200"/>
        <w:rPr>
          <w:rFonts w:ascii="宋体" w:hAnsi="宋体"/>
          <w:bCs/>
          <w:color w:val="000000"/>
          <w:sz w:val="24"/>
        </w:rPr>
      </w:pPr>
      <w:r>
        <w:rPr>
          <w:rFonts w:hint="eastAsia" w:ascii="宋体" w:hAnsi="宋体"/>
          <w:bCs/>
          <w:color w:val="000000"/>
          <w:sz w:val="24"/>
        </w:rPr>
        <w:t>（5）</w:t>
      </w:r>
      <w:r>
        <w:rPr>
          <w:rFonts w:ascii="宋体" w:hAnsi="宋体"/>
          <w:bCs/>
          <w:color w:val="000000"/>
          <w:sz w:val="24"/>
        </w:rPr>
        <w:t>要充分利用资源，尽可能把较多的矿石圈定在露天开采境界内，发挥露天开采的优越性；</w:t>
      </w:r>
    </w:p>
    <w:p>
      <w:pPr>
        <w:tabs>
          <w:tab w:val="left" w:pos="0"/>
        </w:tabs>
        <w:spacing w:line="360" w:lineRule="auto"/>
        <w:ind w:firstLine="480" w:firstLineChars="200"/>
        <w:rPr>
          <w:rFonts w:ascii="宋体" w:hAnsi="宋体"/>
          <w:bCs/>
          <w:color w:val="000000"/>
          <w:sz w:val="24"/>
        </w:rPr>
      </w:pPr>
      <w:r>
        <w:rPr>
          <w:rFonts w:hint="eastAsia" w:ascii="宋体" w:hAnsi="宋体"/>
          <w:bCs/>
          <w:color w:val="000000"/>
          <w:sz w:val="24"/>
        </w:rPr>
        <w:t>（6）</w:t>
      </w:r>
      <w:r>
        <w:rPr>
          <w:rFonts w:ascii="宋体" w:hAnsi="宋体"/>
          <w:bCs/>
          <w:color w:val="000000"/>
          <w:sz w:val="24"/>
        </w:rPr>
        <w:t>所圈定露天采矿场的帮坡角应不大于露天边坡稳定所允许的角度，以保证露天采矿场的安全生产；</w:t>
      </w:r>
    </w:p>
    <w:p>
      <w:pPr>
        <w:tabs>
          <w:tab w:val="left" w:pos="0"/>
        </w:tabs>
        <w:spacing w:line="360" w:lineRule="auto"/>
        <w:ind w:firstLine="480" w:firstLineChars="200"/>
        <w:rPr>
          <w:rFonts w:ascii="宋体" w:hAnsi="宋体"/>
          <w:bCs/>
          <w:color w:val="000000"/>
          <w:sz w:val="24"/>
        </w:rPr>
      </w:pPr>
      <w:r>
        <w:rPr>
          <w:rFonts w:hint="eastAsia" w:ascii="宋体" w:hAnsi="宋体"/>
          <w:bCs/>
          <w:color w:val="000000"/>
          <w:sz w:val="24"/>
        </w:rPr>
        <w:t>（7）</w:t>
      </w:r>
      <w:r>
        <w:rPr>
          <w:rFonts w:ascii="宋体" w:hAnsi="宋体"/>
          <w:bCs/>
          <w:color w:val="000000"/>
          <w:sz w:val="24"/>
        </w:rPr>
        <w:t>为使企业获得较大的经济效益，尽可能使最终露天境界边坡角等于露天边坡稳定所允许的角度</w:t>
      </w:r>
      <w:r>
        <w:rPr>
          <w:rFonts w:hint="eastAsia" w:ascii="宋体" w:hAnsi="宋体"/>
          <w:bCs/>
          <w:color w:val="000000"/>
          <w:sz w:val="24"/>
        </w:rPr>
        <w:t>。</w:t>
      </w:r>
    </w:p>
    <w:p>
      <w:pPr>
        <w:numPr>
          <w:ilvl w:val="2"/>
          <w:numId w:val="2"/>
        </w:numPr>
        <w:spacing w:line="360" w:lineRule="auto"/>
        <w:outlineLvl w:val="2"/>
        <w:rPr>
          <w:rFonts w:ascii="宋体"/>
          <w:b/>
          <w:sz w:val="28"/>
          <w:szCs w:val="28"/>
        </w:rPr>
      </w:pPr>
      <w:r>
        <w:rPr>
          <w:rFonts w:hint="eastAsia" w:ascii="宋体"/>
          <w:b/>
          <w:sz w:val="28"/>
          <w:szCs w:val="28"/>
        </w:rPr>
        <w:t>露天开采境界圈定的方法</w:t>
      </w:r>
    </w:p>
    <w:p>
      <w:pPr>
        <w:spacing w:line="360" w:lineRule="auto"/>
        <w:ind w:firstLine="480" w:firstLineChars="200"/>
        <w:rPr>
          <w:rFonts w:ascii="宋体" w:hAnsi="宋体"/>
        </w:rPr>
      </w:pPr>
      <w:r>
        <w:rPr>
          <w:rFonts w:hint="eastAsia" w:ascii="宋体" w:hAnsi="宋体" w:cs="宋体"/>
          <w:sz w:val="24"/>
        </w:rPr>
        <w:t>矿区矿体厚度大于最小底宽，根据本矿体地形条件和采用的采运设备经计算确定最小底宽不小于20m。</w:t>
      </w:r>
    </w:p>
    <w:p>
      <w:pPr>
        <w:numPr>
          <w:ilvl w:val="2"/>
          <w:numId w:val="2"/>
        </w:numPr>
        <w:spacing w:line="360" w:lineRule="auto"/>
        <w:outlineLvl w:val="2"/>
        <w:rPr>
          <w:rFonts w:ascii="宋体"/>
          <w:b/>
          <w:sz w:val="28"/>
          <w:szCs w:val="28"/>
        </w:rPr>
      </w:pPr>
      <w:r>
        <w:rPr>
          <w:rFonts w:hint="eastAsia" w:ascii="宋体"/>
          <w:b/>
          <w:sz w:val="28"/>
          <w:szCs w:val="28"/>
        </w:rPr>
        <w:t>经济合理剥采比的确定</w:t>
      </w:r>
    </w:p>
    <w:p>
      <w:pPr>
        <w:snapToGrid w:val="0"/>
        <w:spacing w:line="360" w:lineRule="auto"/>
        <w:ind w:firstLine="480" w:firstLineChars="200"/>
        <w:rPr>
          <w:rFonts w:ascii="宋体" w:hAnsi="宋体"/>
          <w:sz w:val="24"/>
        </w:rPr>
      </w:pPr>
      <w:r>
        <w:rPr>
          <w:rFonts w:hint="eastAsia" w:ascii="宋体" w:hAnsi="宋体"/>
          <w:sz w:val="24"/>
        </w:rPr>
        <w:t>矿山采用露天开采方式，矿体连续，遵循境界剥采比不大于经济合理剥采比的原则，并用平均剥采比≤经济合理剥采比进行检验。</w:t>
      </w:r>
    </w:p>
    <w:p>
      <w:pPr>
        <w:numPr>
          <w:ilvl w:val="1"/>
          <w:numId w:val="2"/>
        </w:numPr>
        <w:spacing w:line="360" w:lineRule="auto"/>
        <w:outlineLvl w:val="1"/>
        <w:rPr>
          <w:rFonts w:ascii="宋体" w:hAnsi="宋体" w:cs="宋体"/>
          <w:b/>
          <w:bCs/>
          <w:color w:val="000000"/>
          <w:sz w:val="30"/>
          <w:szCs w:val="30"/>
        </w:rPr>
      </w:pPr>
      <w:bookmarkStart w:id="145" w:name="_Toc26368"/>
      <w:r>
        <w:rPr>
          <w:rFonts w:hint="eastAsia" w:ascii="宋体" w:hAnsi="宋体" w:cs="宋体"/>
          <w:b/>
          <w:bCs/>
          <w:color w:val="000000"/>
          <w:sz w:val="30"/>
          <w:szCs w:val="30"/>
        </w:rPr>
        <w:t>露天采场最终边坡要素</w:t>
      </w:r>
      <w:bookmarkEnd w:id="145"/>
    </w:p>
    <w:p>
      <w:pPr>
        <w:tabs>
          <w:tab w:val="left" w:pos="0"/>
        </w:tabs>
        <w:spacing w:line="360" w:lineRule="auto"/>
        <w:ind w:firstLine="482" w:firstLineChars="200"/>
        <w:rPr>
          <w:rFonts w:ascii="宋体" w:hAnsi="宋体"/>
          <w:b/>
          <w:color w:val="000000"/>
          <w:sz w:val="24"/>
        </w:rPr>
      </w:pPr>
      <w:r>
        <w:rPr>
          <w:rFonts w:hint="eastAsia" w:ascii="宋体" w:hAnsi="宋体"/>
          <w:b/>
          <w:color w:val="000000"/>
          <w:sz w:val="24"/>
        </w:rPr>
        <w:t>1、台阶</w:t>
      </w:r>
      <w:r>
        <w:rPr>
          <w:rFonts w:ascii="宋体" w:hAnsi="宋体"/>
          <w:b/>
          <w:color w:val="000000"/>
          <w:sz w:val="24"/>
        </w:rPr>
        <w:t>高度</w:t>
      </w:r>
    </w:p>
    <w:p>
      <w:pPr>
        <w:tabs>
          <w:tab w:val="left" w:pos="0"/>
        </w:tabs>
        <w:spacing w:line="360" w:lineRule="auto"/>
        <w:ind w:firstLine="480" w:firstLineChars="200"/>
        <w:rPr>
          <w:rFonts w:ascii="宋体" w:hAnsi="宋体"/>
          <w:bCs/>
          <w:color w:val="000000"/>
          <w:sz w:val="24"/>
        </w:rPr>
      </w:pPr>
      <w:r>
        <w:rPr>
          <w:rFonts w:hint="eastAsia" w:ascii="宋体" w:hAnsi="宋体"/>
          <w:bCs/>
          <w:color w:val="000000"/>
          <w:sz w:val="24"/>
        </w:rPr>
        <w:t>根据安全监管部门要求，露采矿山必须推行实施中深孔爆破的规定和参照</w:t>
      </w:r>
      <w:r>
        <w:rPr>
          <w:rFonts w:hint="eastAsia" w:ascii="宋体" w:hAnsi="宋体"/>
          <w:bCs/>
          <w:color w:val="000000"/>
          <w:sz w:val="24"/>
          <w:lang w:eastAsia="zh-CN"/>
        </w:rPr>
        <w:t>********</w:t>
      </w:r>
      <w:r>
        <w:rPr>
          <w:rFonts w:hint="eastAsia" w:ascii="宋体" w:hAnsi="宋体"/>
          <w:bCs/>
          <w:color w:val="000000"/>
          <w:sz w:val="24"/>
        </w:rPr>
        <w:t>类似矿山设计的台阶高度及可能采用的采、剥设备，</w:t>
      </w:r>
      <w:r>
        <w:rPr>
          <w:rFonts w:ascii="宋体" w:hAnsi="宋体"/>
          <w:bCs/>
          <w:color w:val="000000"/>
          <w:sz w:val="24"/>
        </w:rPr>
        <w:t>确定本矿山露采的</w:t>
      </w:r>
      <w:r>
        <w:rPr>
          <w:rFonts w:hint="eastAsia" w:ascii="宋体" w:hAnsi="宋体"/>
          <w:bCs/>
          <w:color w:val="000000"/>
          <w:sz w:val="24"/>
        </w:rPr>
        <w:t>台阶</w:t>
      </w:r>
      <w:r>
        <w:rPr>
          <w:rFonts w:ascii="宋体" w:hAnsi="宋体"/>
          <w:bCs/>
          <w:color w:val="000000"/>
          <w:sz w:val="24"/>
        </w:rPr>
        <w:t>高度为</w:t>
      </w:r>
      <w:r>
        <w:rPr>
          <w:rFonts w:hint="eastAsia" w:ascii="宋体" w:hAnsi="宋体"/>
          <w:bCs/>
          <w:color w:val="000000"/>
          <w:sz w:val="24"/>
        </w:rPr>
        <w:t>10</w:t>
      </w:r>
      <w:r>
        <w:rPr>
          <w:rFonts w:ascii="宋体" w:hAnsi="宋体"/>
          <w:bCs/>
          <w:color w:val="000000"/>
          <w:sz w:val="24"/>
        </w:rPr>
        <w:t>m。</w:t>
      </w:r>
    </w:p>
    <w:p>
      <w:pPr>
        <w:tabs>
          <w:tab w:val="left" w:pos="0"/>
        </w:tabs>
        <w:spacing w:line="360" w:lineRule="auto"/>
        <w:ind w:firstLine="482" w:firstLineChars="200"/>
        <w:rPr>
          <w:rFonts w:ascii="宋体" w:hAnsi="宋体"/>
          <w:b/>
          <w:color w:val="000000"/>
          <w:sz w:val="24"/>
        </w:rPr>
      </w:pPr>
      <w:r>
        <w:rPr>
          <w:rFonts w:hint="eastAsia" w:ascii="宋体" w:hAnsi="宋体"/>
          <w:b/>
          <w:color w:val="000000"/>
          <w:sz w:val="24"/>
        </w:rPr>
        <w:t>2、工作台阶坡面角</w:t>
      </w:r>
    </w:p>
    <w:p>
      <w:pPr>
        <w:tabs>
          <w:tab w:val="left" w:pos="0"/>
        </w:tabs>
        <w:spacing w:line="360" w:lineRule="auto"/>
        <w:ind w:firstLine="480" w:firstLineChars="200"/>
        <w:rPr>
          <w:rFonts w:ascii="宋体" w:hAnsi="宋体"/>
          <w:bCs/>
          <w:color w:val="000000"/>
          <w:sz w:val="24"/>
        </w:rPr>
      </w:pPr>
      <w:r>
        <w:rPr>
          <w:rFonts w:hint="eastAsia" w:ascii="宋体" w:hAnsi="宋体"/>
          <w:bCs/>
          <w:color w:val="000000"/>
          <w:sz w:val="24"/>
        </w:rPr>
        <w:t>该区矿体为厚层状砂岩，岩性致密，倾角较缓，构造简单，这些因素对露天矿的边坡稳定性十分有利。为保证最边坡的稳定，根据矿岩物理力学性质为50</w:t>
      </w:r>
      <w:r>
        <w:rPr>
          <w:rFonts w:ascii="宋体" w:hAnsi="宋体"/>
          <w:bCs/>
          <w:color w:val="000000"/>
          <w:sz w:val="24"/>
        </w:rPr>
        <w:t>º</w:t>
      </w:r>
      <w:r>
        <w:rPr>
          <w:rFonts w:hint="eastAsia" w:ascii="宋体" w:hAnsi="宋体"/>
          <w:bCs/>
          <w:color w:val="000000"/>
          <w:sz w:val="24"/>
        </w:rPr>
        <w:t>。</w:t>
      </w:r>
    </w:p>
    <w:p>
      <w:pPr>
        <w:tabs>
          <w:tab w:val="left" w:pos="0"/>
        </w:tabs>
        <w:spacing w:line="360" w:lineRule="auto"/>
        <w:ind w:firstLine="482" w:firstLineChars="200"/>
        <w:rPr>
          <w:rFonts w:ascii="宋体" w:hAnsi="宋体"/>
          <w:b/>
          <w:color w:val="000000"/>
          <w:sz w:val="24"/>
        </w:rPr>
      </w:pPr>
      <w:r>
        <w:rPr>
          <w:rFonts w:hint="eastAsia" w:ascii="宋体" w:hAnsi="宋体"/>
          <w:b/>
          <w:color w:val="000000"/>
          <w:sz w:val="24"/>
        </w:rPr>
        <w:t>3、</w:t>
      </w:r>
      <w:r>
        <w:rPr>
          <w:rFonts w:ascii="宋体" w:hAnsi="宋体"/>
          <w:b/>
          <w:color w:val="000000"/>
          <w:sz w:val="24"/>
        </w:rPr>
        <w:t>安全平台及清扫平台</w:t>
      </w:r>
      <w:r>
        <w:rPr>
          <w:rFonts w:hint="eastAsia" w:ascii="宋体" w:hAnsi="宋体"/>
          <w:b/>
          <w:color w:val="000000"/>
          <w:sz w:val="24"/>
        </w:rPr>
        <w:t>宽度</w:t>
      </w:r>
    </w:p>
    <w:p>
      <w:pPr>
        <w:tabs>
          <w:tab w:val="left" w:pos="0"/>
        </w:tabs>
        <w:spacing w:line="360" w:lineRule="auto"/>
        <w:ind w:firstLine="480" w:firstLineChars="200"/>
        <w:rPr>
          <w:rFonts w:ascii="宋体" w:hAnsi="宋体"/>
          <w:bCs/>
          <w:color w:val="000000"/>
          <w:sz w:val="24"/>
        </w:rPr>
      </w:pPr>
      <w:r>
        <w:rPr>
          <w:rFonts w:ascii="宋体" w:hAnsi="宋体"/>
          <w:bCs/>
          <w:color w:val="000000"/>
          <w:sz w:val="24"/>
        </w:rPr>
        <w:t>参照国内相类似矿山设计采用的采、剥设备，设计本矿山的安全平台宽度为</w:t>
      </w:r>
      <w:r>
        <w:rPr>
          <w:rFonts w:hint="eastAsia" w:ascii="宋体" w:hAnsi="宋体"/>
          <w:bCs/>
          <w:color w:val="000000"/>
          <w:sz w:val="24"/>
        </w:rPr>
        <w:t>3</w:t>
      </w:r>
      <w:r>
        <w:rPr>
          <w:rFonts w:ascii="宋体" w:hAnsi="宋体"/>
          <w:bCs/>
          <w:color w:val="000000"/>
          <w:sz w:val="24"/>
        </w:rPr>
        <w:t>m，清扫平台宽度为</w:t>
      </w:r>
      <w:r>
        <w:rPr>
          <w:rFonts w:hint="eastAsia" w:ascii="宋体" w:hAnsi="宋体"/>
          <w:bCs/>
          <w:color w:val="000000"/>
          <w:sz w:val="24"/>
        </w:rPr>
        <w:t>6</w:t>
      </w:r>
      <w:r>
        <w:rPr>
          <w:rFonts w:ascii="宋体" w:hAnsi="宋体"/>
          <w:bCs/>
          <w:color w:val="000000"/>
          <w:sz w:val="24"/>
        </w:rPr>
        <w:t>m，</w:t>
      </w:r>
      <w:r>
        <w:rPr>
          <w:rFonts w:hint="eastAsia" w:ascii="宋体" w:hAnsi="宋体"/>
          <w:bCs/>
          <w:color w:val="000000"/>
          <w:sz w:val="24"/>
        </w:rPr>
        <w:t>每隔2个安全台阶设一个</w:t>
      </w:r>
      <w:r>
        <w:rPr>
          <w:rFonts w:ascii="宋体" w:hAnsi="宋体"/>
          <w:bCs/>
          <w:color w:val="000000"/>
          <w:sz w:val="24"/>
        </w:rPr>
        <w:t>清扫平台。</w:t>
      </w:r>
    </w:p>
    <w:p>
      <w:pPr>
        <w:tabs>
          <w:tab w:val="left" w:pos="0"/>
        </w:tabs>
        <w:spacing w:line="360" w:lineRule="auto"/>
        <w:ind w:firstLine="482" w:firstLineChars="200"/>
        <w:rPr>
          <w:rFonts w:ascii="宋体" w:hAnsi="宋体"/>
          <w:b/>
          <w:color w:val="000000"/>
          <w:sz w:val="24"/>
        </w:rPr>
      </w:pPr>
      <w:r>
        <w:rPr>
          <w:rFonts w:hint="eastAsia" w:ascii="宋体" w:hAnsi="宋体"/>
          <w:b/>
          <w:color w:val="000000"/>
          <w:sz w:val="24"/>
        </w:rPr>
        <w:t>4、</w:t>
      </w:r>
      <w:r>
        <w:rPr>
          <w:rFonts w:hint="eastAsia" w:ascii="宋体" w:hAnsi="宋体"/>
          <w:b/>
          <w:color w:val="000000"/>
          <w:sz w:val="24"/>
          <w:lang w:val="zh-TW"/>
        </w:rPr>
        <w:t>经济合理剥釆比的确定</w:t>
      </w:r>
    </w:p>
    <w:p>
      <w:pPr>
        <w:tabs>
          <w:tab w:val="left" w:pos="0"/>
        </w:tabs>
        <w:spacing w:line="360" w:lineRule="auto"/>
        <w:ind w:firstLine="480" w:firstLineChars="200"/>
        <w:rPr>
          <w:rFonts w:ascii="宋体" w:hAnsi="宋体"/>
          <w:bCs/>
          <w:color w:val="000000"/>
          <w:sz w:val="24"/>
        </w:rPr>
      </w:pPr>
      <w:r>
        <w:rPr>
          <w:rFonts w:hint="eastAsia" w:ascii="宋体" w:hAnsi="宋体"/>
          <w:bCs/>
          <w:color w:val="000000"/>
          <w:sz w:val="24"/>
          <w:lang w:val="zh-TW"/>
        </w:rPr>
        <w:t>矿区采用露天开釆方式，矿体连续，遵循境界剥釆比不大于经济合理剥釆比的原则，并用平均剥釆比&lt;经济合理剥采比进行检验。</w:t>
      </w:r>
    </w:p>
    <w:p>
      <w:pPr>
        <w:tabs>
          <w:tab w:val="left" w:pos="0"/>
        </w:tabs>
        <w:spacing w:line="360" w:lineRule="auto"/>
        <w:ind w:firstLine="480" w:firstLineChars="200"/>
        <w:rPr>
          <w:rFonts w:ascii="宋体" w:hAnsi="宋体"/>
          <w:bCs/>
          <w:color w:val="000000"/>
          <w:sz w:val="24"/>
        </w:rPr>
      </w:pPr>
      <w:r>
        <w:rPr>
          <w:rFonts w:hint="eastAsia" w:ascii="宋体" w:hAnsi="宋体"/>
          <w:bCs/>
          <w:color w:val="000000"/>
          <w:sz w:val="24"/>
          <w:lang w:val="zh-TW"/>
        </w:rPr>
        <w:t>依据《</w:t>
      </w:r>
      <w:r>
        <w:rPr>
          <w:rFonts w:hint="eastAsia" w:ascii="宋体" w:hAnsi="宋体"/>
          <w:bCs/>
          <w:color w:val="000000"/>
          <w:sz w:val="24"/>
          <w:lang w:val="zh-TW" w:eastAsia="zh-CN"/>
        </w:rPr>
        <w:t>********</w:t>
      </w:r>
      <w:r>
        <w:rPr>
          <w:rFonts w:hint="eastAsia" w:ascii="宋体" w:hAnsi="宋体"/>
          <w:bCs/>
          <w:color w:val="000000"/>
          <w:sz w:val="24"/>
          <w:lang w:val="zh-TW"/>
        </w:rPr>
        <w:t>砂石矿资源量估算报告》矿山开釆境界剥釆比为</w:t>
      </w:r>
      <w:r>
        <w:rPr>
          <w:rFonts w:hint="eastAsia" w:ascii="宋体" w:hAnsi="宋体"/>
          <w:bCs/>
          <w:color w:val="000000"/>
          <w:sz w:val="24"/>
        </w:rPr>
        <w:t>0.362:1 (m</w:t>
      </w:r>
      <w:r>
        <w:rPr>
          <w:rFonts w:hint="eastAsia" w:ascii="宋体" w:hAnsi="宋体"/>
          <w:bCs/>
          <w:color w:val="000000"/>
          <w:sz w:val="24"/>
          <w:vertAlign w:val="superscript"/>
        </w:rPr>
        <w:t>3</w:t>
      </w:r>
      <w:r>
        <w:rPr>
          <w:rFonts w:hint="eastAsia" w:ascii="宋体" w:hAnsi="宋体"/>
          <w:bCs/>
          <w:color w:val="000000"/>
          <w:sz w:val="24"/>
        </w:rPr>
        <w:t>/m</w:t>
      </w:r>
      <w:r>
        <w:rPr>
          <w:rFonts w:hint="eastAsia" w:ascii="宋体" w:hAnsi="宋体"/>
          <w:bCs/>
          <w:color w:val="000000"/>
          <w:sz w:val="24"/>
          <w:vertAlign w:val="superscript"/>
        </w:rPr>
        <w:t>3</w:t>
      </w:r>
      <w:r>
        <w:rPr>
          <w:rFonts w:hint="eastAsia" w:ascii="宋体" w:hAnsi="宋体"/>
          <w:bCs/>
          <w:color w:val="000000"/>
          <w:sz w:val="24"/>
        </w:rPr>
        <w:t>),</w:t>
      </w:r>
      <w:r>
        <w:rPr>
          <w:rFonts w:hint="eastAsia" w:ascii="宋体" w:hAnsi="宋体"/>
          <w:bCs/>
          <w:color w:val="000000"/>
          <w:sz w:val="24"/>
          <w:lang w:val="zh-TW"/>
        </w:rPr>
        <w:t>符合境界剥釆比小于经济合理剥采比的要求。</w:t>
      </w:r>
    </w:p>
    <w:p>
      <w:pPr>
        <w:tabs>
          <w:tab w:val="left" w:pos="0"/>
        </w:tabs>
        <w:spacing w:line="360" w:lineRule="auto"/>
        <w:ind w:firstLine="482" w:firstLineChars="200"/>
        <w:rPr>
          <w:rFonts w:ascii="宋体" w:hAnsi="宋体"/>
          <w:b/>
          <w:color w:val="000000"/>
          <w:sz w:val="24"/>
        </w:rPr>
      </w:pPr>
      <w:r>
        <w:rPr>
          <w:rFonts w:hint="eastAsia" w:ascii="宋体" w:hAnsi="宋体"/>
          <w:b/>
          <w:color w:val="000000"/>
          <w:sz w:val="24"/>
        </w:rPr>
        <w:t>5、露天开采境界的参数</w:t>
      </w:r>
    </w:p>
    <w:p>
      <w:pPr>
        <w:tabs>
          <w:tab w:val="left" w:pos="1440"/>
        </w:tabs>
        <w:ind w:firstLine="422" w:firstLineChars="200"/>
        <w:jc w:val="center"/>
        <w:rPr>
          <w:b/>
        </w:rPr>
      </w:pPr>
      <w:r>
        <w:rPr>
          <w:rFonts w:hint="eastAsia"/>
          <w:b/>
        </w:rPr>
        <w:t xml:space="preserve">表5-1   </w:t>
      </w:r>
      <w:r>
        <w:rPr>
          <w:b/>
        </w:rPr>
        <w:t>开采境界圈定结果表</w:t>
      </w:r>
      <w:bookmarkEnd w:id="139"/>
      <w:bookmarkEnd w:id="140"/>
    </w:p>
    <w:tbl>
      <w:tblPr>
        <w:tblStyle w:val="59"/>
        <w:tblW w:w="8471" w:type="dxa"/>
        <w:tblInd w:w="284"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7"/>
        <w:gridCol w:w="1505"/>
        <w:gridCol w:w="1300"/>
        <w:gridCol w:w="1842"/>
        <w:gridCol w:w="1488"/>
        <w:gridCol w:w="14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84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序号</w:t>
            </w:r>
          </w:p>
        </w:tc>
        <w:tc>
          <w:tcPr>
            <w:tcW w:w="28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参 数 名 称</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单位</w:t>
            </w:r>
          </w:p>
        </w:tc>
        <w:tc>
          <w:tcPr>
            <w:tcW w:w="148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长</w:t>
            </w:r>
          </w:p>
        </w:tc>
        <w:tc>
          <w:tcPr>
            <w:tcW w:w="148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847"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1</w:t>
            </w:r>
          </w:p>
        </w:tc>
        <w:tc>
          <w:tcPr>
            <w:tcW w:w="1505" w:type="dxa"/>
            <w:vMerge w:val="restart"/>
            <w:tcBorders>
              <w:top w:val="single" w:color="auto" w:sz="4" w:space="0"/>
              <w:left w:val="single" w:color="auto" w:sz="4" w:space="0"/>
            </w:tcBorders>
            <w:vAlign w:val="center"/>
          </w:tcPr>
          <w:p>
            <w:pPr>
              <w:jc w:val="center"/>
              <w:rPr>
                <w:rFonts w:ascii="Calibri" w:hAnsi="宋体"/>
                <w:szCs w:val="21"/>
              </w:rPr>
            </w:pPr>
            <w:r>
              <w:rPr>
                <w:rFonts w:ascii="Calibri" w:hAnsi="宋体"/>
                <w:szCs w:val="21"/>
              </w:rPr>
              <w:t>境界尺寸</w:t>
            </w:r>
          </w:p>
        </w:tc>
        <w:tc>
          <w:tcPr>
            <w:tcW w:w="1300" w:type="dxa"/>
            <w:tcBorders>
              <w:top w:val="single" w:color="auto" w:sz="4" w:space="0"/>
              <w:left w:val="single" w:color="auto" w:sz="4" w:space="0"/>
            </w:tcBorders>
            <w:vAlign w:val="center"/>
          </w:tcPr>
          <w:p>
            <w:pPr>
              <w:jc w:val="center"/>
              <w:rPr>
                <w:rFonts w:ascii="Calibri" w:hAnsi="宋体"/>
                <w:szCs w:val="21"/>
              </w:rPr>
            </w:pPr>
            <w:r>
              <w:rPr>
                <w:rFonts w:hint="eastAsia" w:ascii="Calibri" w:hAnsi="宋体"/>
                <w:szCs w:val="21"/>
              </w:rPr>
              <w:t>地表</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m</w:t>
            </w:r>
          </w:p>
        </w:tc>
        <w:tc>
          <w:tcPr>
            <w:tcW w:w="1488" w:type="dxa"/>
            <w:tcBorders>
              <w:top w:val="single" w:color="auto" w:sz="4" w:space="0"/>
              <w:left w:val="single" w:color="auto" w:sz="4" w:space="0"/>
              <w:right w:val="single" w:color="auto" w:sz="4" w:space="0"/>
            </w:tcBorders>
            <w:vAlign w:val="center"/>
          </w:tcPr>
          <w:p>
            <w:pPr>
              <w:adjustRightInd w:val="0"/>
              <w:snapToGrid w:val="0"/>
              <w:jc w:val="center"/>
              <w:rPr>
                <w:rFonts w:hAnsi="宋体" w:cs="宋体" w:asciiTheme="minorHAnsi"/>
                <w:szCs w:val="21"/>
              </w:rPr>
            </w:pPr>
            <w:r>
              <w:rPr>
                <w:rFonts w:hint="eastAsia" w:hAnsi="宋体" w:asciiTheme="minorHAnsi"/>
                <w:szCs w:val="21"/>
              </w:rPr>
              <w:t>137〜173</w:t>
            </w:r>
          </w:p>
        </w:tc>
        <w:tc>
          <w:tcPr>
            <w:tcW w:w="1489" w:type="dxa"/>
            <w:tcBorders>
              <w:top w:val="single" w:color="auto" w:sz="4" w:space="0"/>
              <w:left w:val="single" w:color="auto" w:sz="4" w:space="0"/>
              <w:right w:val="single" w:color="auto" w:sz="4" w:space="0"/>
            </w:tcBorders>
            <w:vAlign w:val="center"/>
          </w:tcPr>
          <w:p>
            <w:pPr>
              <w:adjustRightInd w:val="0"/>
              <w:snapToGrid w:val="0"/>
              <w:jc w:val="center"/>
              <w:rPr>
                <w:rFonts w:hAnsi="宋体" w:cs="宋体" w:asciiTheme="minorHAnsi"/>
                <w:szCs w:val="21"/>
              </w:rPr>
            </w:pPr>
            <w:r>
              <w:rPr>
                <w:rFonts w:hint="eastAsia" w:hAnsi="宋体" w:asciiTheme="minorHAnsi"/>
                <w:szCs w:val="21"/>
              </w:rPr>
              <w:t>70〜147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847" w:type="dxa"/>
            <w:vMerge w:val="continue"/>
            <w:tcBorders>
              <w:left w:val="single" w:color="auto" w:sz="4" w:space="0"/>
              <w:right w:val="single" w:color="auto" w:sz="4" w:space="0"/>
            </w:tcBorders>
            <w:vAlign w:val="center"/>
          </w:tcPr>
          <w:p>
            <w:pPr>
              <w:adjustRightInd w:val="0"/>
              <w:snapToGrid w:val="0"/>
              <w:jc w:val="center"/>
              <w:rPr>
                <w:rFonts w:ascii="Calibri" w:hAnsi="宋体" w:cs="宋体"/>
                <w:szCs w:val="21"/>
              </w:rPr>
            </w:pPr>
          </w:p>
        </w:tc>
        <w:tc>
          <w:tcPr>
            <w:tcW w:w="1505" w:type="dxa"/>
            <w:vMerge w:val="continue"/>
            <w:tcBorders>
              <w:left w:val="single" w:color="auto" w:sz="4" w:space="0"/>
            </w:tcBorders>
            <w:vAlign w:val="center"/>
          </w:tcPr>
          <w:p>
            <w:pPr>
              <w:adjustRightInd w:val="0"/>
              <w:snapToGrid w:val="0"/>
              <w:jc w:val="center"/>
              <w:rPr>
                <w:rFonts w:ascii="Calibri" w:hAnsi="宋体" w:cs="宋体"/>
                <w:szCs w:val="21"/>
              </w:rPr>
            </w:pPr>
          </w:p>
        </w:tc>
        <w:tc>
          <w:tcPr>
            <w:tcW w:w="1300" w:type="dxa"/>
            <w:tcBorders>
              <w:left w:val="single" w:color="auto" w:sz="4" w:space="0"/>
            </w:tcBorders>
            <w:vAlign w:val="center"/>
          </w:tcPr>
          <w:p>
            <w:pPr>
              <w:jc w:val="center"/>
              <w:rPr>
                <w:rFonts w:ascii="Calibri" w:hAnsi="宋体"/>
                <w:szCs w:val="21"/>
              </w:rPr>
            </w:pPr>
            <w:r>
              <w:rPr>
                <w:rFonts w:hint="eastAsia" w:ascii="Calibri" w:hAnsi="宋体"/>
                <w:szCs w:val="21"/>
              </w:rPr>
              <w:t>坑底</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m</w:t>
            </w:r>
          </w:p>
        </w:tc>
        <w:tc>
          <w:tcPr>
            <w:tcW w:w="1488" w:type="dxa"/>
            <w:tcBorders>
              <w:top w:val="single" w:color="auto" w:sz="4" w:space="0"/>
              <w:left w:val="single" w:color="auto" w:sz="4" w:space="0"/>
              <w:right w:val="single" w:color="auto" w:sz="4" w:space="0"/>
            </w:tcBorders>
            <w:vAlign w:val="center"/>
          </w:tcPr>
          <w:p>
            <w:pPr>
              <w:adjustRightInd w:val="0"/>
              <w:snapToGrid w:val="0"/>
              <w:jc w:val="center"/>
              <w:rPr>
                <w:rFonts w:ascii="Calibri" w:hAnsi="宋体"/>
                <w:szCs w:val="21"/>
              </w:rPr>
            </w:pPr>
            <w:r>
              <w:rPr>
                <w:rFonts w:hint="eastAsia" w:ascii="Calibri" w:hAnsi="宋体"/>
                <w:szCs w:val="21"/>
              </w:rPr>
              <w:t>116</w:t>
            </w:r>
          </w:p>
        </w:tc>
        <w:tc>
          <w:tcPr>
            <w:tcW w:w="1489" w:type="dxa"/>
            <w:tcBorders>
              <w:top w:val="single" w:color="auto" w:sz="4" w:space="0"/>
              <w:left w:val="single" w:color="auto" w:sz="4" w:space="0"/>
              <w:right w:val="single" w:color="auto" w:sz="4" w:space="0"/>
            </w:tcBorders>
            <w:vAlign w:val="center"/>
          </w:tcPr>
          <w:p>
            <w:pPr>
              <w:adjustRightInd w:val="0"/>
              <w:snapToGrid w:val="0"/>
              <w:jc w:val="center"/>
              <w:rPr>
                <w:rFonts w:ascii="Calibri" w:hAnsi="宋体"/>
                <w:szCs w:val="21"/>
              </w:rPr>
            </w:pPr>
            <w:r>
              <w:rPr>
                <w:rFonts w:hint="eastAsia" w:ascii="Calibri" w:hAnsi="宋体"/>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847" w:type="dxa"/>
            <w:tcBorders>
              <w:top w:val="single" w:color="auto" w:sz="4" w:space="0"/>
              <w:left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2</w:t>
            </w:r>
          </w:p>
        </w:tc>
        <w:tc>
          <w:tcPr>
            <w:tcW w:w="2805" w:type="dxa"/>
            <w:gridSpan w:val="2"/>
            <w:tcBorders>
              <w:top w:val="single" w:color="auto" w:sz="4" w:space="0"/>
              <w:left w:val="single" w:color="auto" w:sz="4" w:space="0"/>
            </w:tcBorders>
            <w:vAlign w:val="center"/>
          </w:tcPr>
          <w:p>
            <w:pPr>
              <w:jc w:val="center"/>
              <w:rPr>
                <w:rFonts w:ascii="Calibri" w:hAnsi="宋体"/>
                <w:szCs w:val="21"/>
              </w:rPr>
            </w:pPr>
            <w:r>
              <w:rPr>
                <w:rFonts w:ascii="Calibri" w:hAnsi="宋体"/>
                <w:szCs w:val="21"/>
              </w:rPr>
              <w:t>最小工作平台宽度</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m</w:t>
            </w:r>
          </w:p>
        </w:tc>
        <w:tc>
          <w:tcPr>
            <w:tcW w:w="2977" w:type="dxa"/>
            <w:gridSpan w:val="2"/>
            <w:tcBorders>
              <w:top w:val="single" w:color="auto" w:sz="4" w:space="0"/>
              <w:left w:val="single" w:color="auto" w:sz="4" w:space="0"/>
              <w:right w:val="single" w:color="auto" w:sz="4" w:space="0"/>
            </w:tcBorders>
            <w:vAlign w:val="center"/>
          </w:tcPr>
          <w:p>
            <w:pPr>
              <w:adjustRightInd w:val="0"/>
              <w:snapToGrid w:val="0"/>
              <w:jc w:val="center"/>
              <w:rPr>
                <w:rFonts w:ascii="Calibri" w:hAnsi="宋体"/>
                <w:szCs w:val="21"/>
              </w:rPr>
            </w:pPr>
            <w:r>
              <w:rPr>
                <w:rFonts w:hint="eastAsia" w:ascii="Calibri" w:hAnsi="宋体"/>
                <w:szCs w:val="21"/>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8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3</w:t>
            </w:r>
          </w:p>
        </w:tc>
        <w:tc>
          <w:tcPr>
            <w:tcW w:w="28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cs="宋体"/>
                <w:szCs w:val="21"/>
              </w:rPr>
              <w:t>最大垂直采深</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m</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67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8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4</w:t>
            </w:r>
          </w:p>
        </w:tc>
        <w:tc>
          <w:tcPr>
            <w:tcW w:w="28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最高开采标高</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m</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w:t>
            </w:r>
            <w:r>
              <w:rPr>
                <w:rFonts w:hint="eastAsia" w:ascii="Calibri" w:hAnsi="宋体"/>
                <w:szCs w:val="21"/>
              </w:rPr>
              <w:t>2542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8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5</w:t>
            </w:r>
          </w:p>
        </w:tc>
        <w:tc>
          <w:tcPr>
            <w:tcW w:w="28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最低开采水平</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m</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w:t>
            </w:r>
            <w:r>
              <w:rPr>
                <w:rFonts w:hint="eastAsia" w:ascii="Calibri" w:hAnsi="宋体"/>
                <w:szCs w:val="21"/>
              </w:rPr>
              <w:t>2475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8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6</w:t>
            </w:r>
          </w:p>
        </w:tc>
        <w:tc>
          <w:tcPr>
            <w:tcW w:w="28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台阶高度</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m</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8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7</w:t>
            </w:r>
          </w:p>
        </w:tc>
        <w:tc>
          <w:tcPr>
            <w:tcW w:w="28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cs="宋体"/>
                <w:szCs w:val="21"/>
              </w:rPr>
              <w:t>台阶坡面角</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度</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8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8</w:t>
            </w:r>
          </w:p>
        </w:tc>
        <w:tc>
          <w:tcPr>
            <w:tcW w:w="28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cs="宋体"/>
                <w:szCs w:val="21"/>
              </w:rPr>
            </w:pPr>
            <w:r>
              <w:rPr>
                <w:rFonts w:hint="eastAsia" w:ascii="Calibri" w:hAnsi="宋体" w:cs="宋体"/>
                <w:szCs w:val="21"/>
              </w:rPr>
              <w:t>最终坡边角</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度</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38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8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9</w:t>
            </w:r>
          </w:p>
        </w:tc>
        <w:tc>
          <w:tcPr>
            <w:tcW w:w="28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cs="宋体"/>
                <w:szCs w:val="21"/>
              </w:rPr>
              <w:t>安全平台宽度</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m</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8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10</w:t>
            </w:r>
          </w:p>
        </w:tc>
        <w:tc>
          <w:tcPr>
            <w:tcW w:w="28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cs="宋体"/>
                <w:szCs w:val="21"/>
              </w:rPr>
              <w:t>清扫平台宽度</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m</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8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11</w:t>
            </w:r>
          </w:p>
        </w:tc>
        <w:tc>
          <w:tcPr>
            <w:tcW w:w="28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开采境界内可采矿石量</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万m</w:t>
            </w:r>
            <w:r>
              <w:rPr>
                <w:rFonts w:hint="eastAsia" w:ascii="Calibri" w:hAnsi="宋体"/>
                <w:szCs w:val="21"/>
                <w:vertAlign w:val="superscript"/>
              </w:rPr>
              <w:t>3</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21.00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8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12</w:t>
            </w:r>
          </w:p>
        </w:tc>
        <w:tc>
          <w:tcPr>
            <w:tcW w:w="28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开采境界内剥离量</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万m</w:t>
            </w:r>
            <w:r>
              <w:rPr>
                <w:rFonts w:hint="eastAsia" w:ascii="Calibri" w:hAnsi="宋体"/>
                <w:szCs w:val="21"/>
                <w:vertAlign w:val="superscript"/>
              </w:rPr>
              <w:t>3</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7.60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8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13</w:t>
            </w:r>
          </w:p>
        </w:tc>
        <w:tc>
          <w:tcPr>
            <w:tcW w:w="28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平均剥采比</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hint="eastAsia" w:ascii="Calibri" w:hAnsi="宋体"/>
                <w:szCs w:val="21"/>
              </w:rPr>
              <w:t>m</w:t>
            </w:r>
            <w:r>
              <w:rPr>
                <w:rFonts w:hint="eastAsia" w:ascii="Calibri" w:hAnsi="宋体"/>
                <w:szCs w:val="21"/>
                <w:vertAlign w:val="superscript"/>
              </w:rPr>
              <w:t>3</w:t>
            </w:r>
            <w:r>
              <w:rPr>
                <w:rFonts w:hint="eastAsia" w:ascii="Calibri" w:hAnsi="宋体"/>
                <w:szCs w:val="21"/>
              </w:rPr>
              <w:t>/m</w:t>
            </w:r>
            <w:r>
              <w:rPr>
                <w:rFonts w:hint="eastAsia" w:ascii="Calibri" w:hAnsi="宋体"/>
                <w:szCs w:val="21"/>
                <w:vertAlign w:val="superscript"/>
              </w:rPr>
              <w:t>3</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kern w:val="0"/>
                <w:szCs w:val="21"/>
              </w:rPr>
            </w:pPr>
            <w:r>
              <w:rPr>
                <w:rFonts w:hint="eastAsia" w:ascii="Calibri" w:hAnsi="宋体"/>
                <w:kern w:val="0"/>
                <w:szCs w:val="21"/>
              </w:rPr>
              <w:t>0.362:1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8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Calibri" w:hAnsi="宋体" w:cs="宋体"/>
                <w:szCs w:val="21"/>
              </w:rPr>
            </w:pPr>
            <w:r>
              <w:rPr>
                <w:rFonts w:hint="eastAsia" w:ascii="Calibri" w:hAnsi="宋体" w:cs="宋体"/>
                <w:szCs w:val="21"/>
              </w:rPr>
              <w:t>14</w:t>
            </w:r>
          </w:p>
        </w:tc>
        <w:tc>
          <w:tcPr>
            <w:tcW w:w="28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采场占地面积</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宋体"/>
                <w:szCs w:val="21"/>
              </w:rPr>
            </w:pPr>
            <w:r>
              <w:rPr>
                <w:rFonts w:ascii="Calibri" w:hAnsi="宋体"/>
                <w:szCs w:val="21"/>
              </w:rPr>
              <w:t>km</w:t>
            </w:r>
            <w:r>
              <w:rPr>
                <w:rFonts w:ascii="Calibri" w:hAnsi="宋体"/>
                <w:szCs w:val="21"/>
                <w:vertAlign w:val="superscript"/>
              </w:rPr>
              <w:t>2</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宋体"/>
                <w:kern w:val="0"/>
                <w:szCs w:val="21"/>
              </w:rPr>
            </w:pPr>
            <w:r>
              <w:rPr>
                <w:rFonts w:hint="eastAsia" w:ascii="Calibri" w:hAnsi="宋体"/>
                <w:kern w:val="0"/>
                <w:szCs w:val="21"/>
              </w:rPr>
              <w:t>0.0146</w:t>
            </w:r>
          </w:p>
        </w:tc>
      </w:tr>
    </w:tbl>
    <w:p>
      <w:pPr>
        <w:tabs>
          <w:tab w:val="left" w:pos="1440"/>
        </w:tabs>
        <w:ind w:firstLine="422" w:firstLineChars="200"/>
        <w:jc w:val="center"/>
        <w:rPr>
          <w:b/>
        </w:rPr>
      </w:pPr>
    </w:p>
    <w:p>
      <w:pPr>
        <w:numPr>
          <w:ilvl w:val="1"/>
          <w:numId w:val="2"/>
        </w:numPr>
        <w:spacing w:line="360" w:lineRule="auto"/>
        <w:outlineLvl w:val="1"/>
        <w:rPr>
          <w:rFonts w:ascii="宋体" w:hAnsi="宋体" w:cs="宋体"/>
          <w:b/>
          <w:bCs/>
          <w:color w:val="000000"/>
          <w:sz w:val="30"/>
          <w:szCs w:val="30"/>
        </w:rPr>
      </w:pPr>
      <w:bookmarkStart w:id="146" w:name="_Toc8703"/>
      <w:bookmarkStart w:id="147" w:name="_Toc456610947"/>
      <w:bookmarkStart w:id="148" w:name="_Toc403027762"/>
      <w:bookmarkStart w:id="149" w:name="_Toc403027841"/>
      <w:bookmarkStart w:id="150" w:name="_Toc343030094"/>
      <w:bookmarkStart w:id="151" w:name="_Toc287536894"/>
      <w:bookmarkStart w:id="152" w:name="_Toc342941869"/>
      <w:r>
        <w:rPr>
          <w:rFonts w:hint="eastAsia" w:ascii="宋体" w:hAnsi="宋体" w:cs="宋体"/>
          <w:b/>
          <w:bCs/>
          <w:color w:val="000000"/>
          <w:sz w:val="30"/>
          <w:szCs w:val="30"/>
        </w:rPr>
        <w:t>工作制度、服务年限及生产能力验证</w:t>
      </w:r>
      <w:bookmarkEnd w:id="146"/>
      <w:bookmarkEnd w:id="147"/>
    </w:p>
    <w:p>
      <w:pPr>
        <w:numPr>
          <w:ilvl w:val="2"/>
          <w:numId w:val="2"/>
        </w:numPr>
        <w:spacing w:line="360" w:lineRule="auto"/>
        <w:outlineLvl w:val="2"/>
        <w:rPr>
          <w:rFonts w:ascii="宋体"/>
          <w:b/>
          <w:bCs/>
          <w:sz w:val="28"/>
          <w:szCs w:val="28"/>
        </w:rPr>
      </w:pPr>
      <w:r>
        <w:rPr>
          <w:rFonts w:hint="eastAsia" w:ascii="宋体"/>
          <w:b/>
          <w:bCs/>
          <w:sz w:val="28"/>
          <w:szCs w:val="28"/>
        </w:rPr>
        <w:t>工作制度</w:t>
      </w:r>
    </w:p>
    <w:p>
      <w:pPr>
        <w:spacing w:line="360" w:lineRule="auto"/>
        <w:ind w:firstLine="480" w:firstLineChars="200"/>
        <w:rPr>
          <w:rFonts w:ascii="宋体" w:hAnsi="宋体"/>
          <w:sz w:val="24"/>
        </w:rPr>
      </w:pPr>
      <w:r>
        <w:rPr>
          <w:rFonts w:hint="eastAsia" w:ascii="宋体" w:hAnsi="宋体"/>
          <w:sz w:val="24"/>
        </w:rPr>
        <w:t>根据当地及矿区的气候条件（冬季及雨季）、矿山生产性质等，釆用间断工作制， 矿山年工作天数250天，每天1班，每班6小时。</w:t>
      </w:r>
    </w:p>
    <w:p>
      <w:pPr>
        <w:spacing w:line="360" w:lineRule="auto"/>
        <w:ind w:firstLine="480" w:firstLineChars="200"/>
        <w:rPr>
          <w:rFonts w:ascii="宋体" w:hAnsi="宋体"/>
          <w:sz w:val="24"/>
        </w:rPr>
      </w:pPr>
      <w:r>
        <w:rPr>
          <w:rFonts w:hint="eastAsia" w:ascii="宋体" w:hAnsi="宋体"/>
          <w:sz w:val="24"/>
        </w:rPr>
        <w:t>年工作天数为：365-11-24-80=250 (天）</w:t>
      </w:r>
    </w:p>
    <w:p>
      <w:pPr>
        <w:spacing w:line="360" w:lineRule="auto"/>
        <w:ind w:firstLine="480" w:firstLineChars="200"/>
        <w:rPr>
          <w:rFonts w:ascii="宋体" w:hAnsi="宋体"/>
          <w:sz w:val="24"/>
        </w:rPr>
      </w:pPr>
      <w:r>
        <w:rPr>
          <w:rFonts w:hint="eastAsia" w:ascii="宋体" w:hAnsi="宋体"/>
          <w:sz w:val="24"/>
        </w:rPr>
        <w:t>其中：365〜全年天数；</w:t>
      </w:r>
    </w:p>
    <w:p>
      <w:pPr>
        <w:spacing w:line="360" w:lineRule="auto"/>
        <w:ind w:firstLine="480" w:firstLineChars="200"/>
        <w:rPr>
          <w:rFonts w:ascii="宋体" w:hAnsi="宋体"/>
          <w:sz w:val="24"/>
        </w:rPr>
      </w:pPr>
      <w:r>
        <w:rPr>
          <w:rFonts w:hint="eastAsia" w:ascii="宋体" w:hAnsi="宋体"/>
          <w:sz w:val="24"/>
        </w:rPr>
        <w:t>11〜法定节假日天数；</w:t>
      </w:r>
    </w:p>
    <w:p>
      <w:pPr>
        <w:spacing w:line="360" w:lineRule="auto"/>
        <w:ind w:firstLine="480" w:firstLineChars="200"/>
        <w:rPr>
          <w:rFonts w:ascii="宋体" w:hAnsi="宋体"/>
          <w:sz w:val="24"/>
        </w:rPr>
      </w:pPr>
      <w:r>
        <w:rPr>
          <w:rFonts w:hint="eastAsia" w:ascii="宋体" w:hAnsi="宋体"/>
          <w:sz w:val="24"/>
        </w:rPr>
        <w:t>24〜设备检修天数；</w:t>
      </w:r>
    </w:p>
    <w:p>
      <w:pPr>
        <w:spacing w:line="360" w:lineRule="auto"/>
        <w:ind w:firstLine="480" w:firstLineChars="200"/>
        <w:rPr>
          <w:rFonts w:ascii="宋体" w:hAnsi="宋体"/>
          <w:sz w:val="24"/>
        </w:rPr>
      </w:pPr>
      <w:r>
        <w:rPr>
          <w:rFonts w:hint="eastAsia" w:ascii="宋体" w:hAnsi="宋体"/>
          <w:sz w:val="24"/>
        </w:rPr>
        <w:t>80〜气候影响停产天数</w:t>
      </w:r>
      <w:r>
        <w:rPr>
          <w:rFonts w:ascii="宋体" w:hAnsi="宋体"/>
          <w:sz w:val="24"/>
        </w:rPr>
        <w:t>。</w:t>
      </w:r>
    </w:p>
    <w:p>
      <w:pPr>
        <w:numPr>
          <w:ilvl w:val="2"/>
          <w:numId w:val="2"/>
        </w:numPr>
        <w:spacing w:line="360" w:lineRule="auto"/>
        <w:outlineLvl w:val="2"/>
        <w:rPr>
          <w:rFonts w:ascii="宋体"/>
          <w:b/>
          <w:bCs/>
          <w:sz w:val="28"/>
          <w:szCs w:val="28"/>
        </w:rPr>
      </w:pPr>
      <w:r>
        <w:rPr>
          <w:rFonts w:hint="eastAsia" w:ascii="宋体"/>
          <w:b/>
          <w:bCs/>
          <w:sz w:val="28"/>
          <w:szCs w:val="28"/>
        </w:rPr>
        <w:t>矿山</w:t>
      </w:r>
      <w:r>
        <w:rPr>
          <w:rFonts w:ascii="宋体"/>
          <w:b/>
          <w:bCs/>
          <w:sz w:val="28"/>
          <w:szCs w:val="28"/>
        </w:rPr>
        <w:t>生产能力</w:t>
      </w:r>
    </w:p>
    <w:p>
      <w:pPr>
        <w:spacing w:line="360" w:lineRule="auto"/>
        <w:ind w:firstLine="480" w:firstLineChars="200"/>
        <w:rPr>
          <w:rFonts w:ascii="宋体" w:hAnsi="宋体"/>
          <w:sz w:val="24"/>
        </w:rPr>
      </w:pPr>
      <w:r>
        <w:rPr>
          <w:rFonts w:hint="eastAsia" w:ascii="宋体" w:hAnsi="宋体"/>
          <w:sz w:val="24"/>
        </w:rPr>
        <w:t>矿山年开采矿石量3.0万立方米，矿山采场内基建期总量为2.20万立方米，其中矿石量为0.10万立方米，基建期结束后，计算矿山生产期生产剥釆比为0.263 m</w:t>
      </w:r>
      <w:r>
        <w:rPr>
          <w:rFonts w:hint="eastAsia" w:ascii="宋体" w:hAnsi="宋体"/>
          <w:sz w:val="24"/>
          <w:vertAlign w:val="superscript"/>
        </w:rPr>
        <w:t>3</w:t>
      </w:r>
      <w:r>
        <w:rPr>
          <w:rFonts w:hint="eastAsia" w:ascii="宋体" w:hAnsi="宋体"/>
          <w:sz w:val="24"/>
        </w:rPr>
        <w:t>/m</w:t>
      </w:r>
      <w:r>
        <w:rPr>
          <w:rFonts w:hint="eastAsia" w:ascii="宋体" w:hAnsi="宋体"/>
          <w:sz w:val="24"/>
          <w:vertAlign w:val="superscript"/>
        </w:rPr>
        <w:t>3</w:t>
      </w:r>
      <w:r>
        <w:rPr>
          <w:rFonts w:hint="eastAsia" w:ascii="宋体" w:hAnsi="宋体"/>
          <w:sz w:val="24"/>
        </w:rPr>
        <w:t>，故基建期结束后，矿山年矿岩采剥量3.80万立方米。</w:t>
      </w:r>
    </w:p>
    <w:p>
      <w:pPr>
        <w:jc w:val="center"/>
        <w:rPr>
          <w:rFonts w:ascii="宋体" w:hAnsi="宋体" w:cs="宋体"/>
          <w:b/>
          <w:bCs/>
          <w:szCs w:val="21"/>
        </w:rPr>
      </w:pPr>
      <w:r>
        <w:rPr>
          <w:rFonts w:hint="eastAsia" w:ascii="宋体" w:hAnsi="宋体" w:cs="宋体"/>
          <w:b/>
          <w:bCs/>
          <w:szCs w:val="21"/>
          <w:lang w:val="zh-TW"/>
        </w:rPr>
        <w:t>表</w:t>
      </w:r>
      <w:r>
        <w:rPr>
          <w:rFonts w:hint="eastAsia" w:ascii="宋体" w:hAnsi="宋体" w:cs="宋体"/>
          <w:b/>
          <w:bCs/>
          <w:szCs w:val="21"/>
        </w:rPr>
        <w:t xml:space="preserve">5-2  </w:t>
      </w:r>
      <w:r>
        <w:rPr>
          <w:rFonts w:hint="eastAsia" w:ascii="宋体" w:hAnsi="宋体" w:cs="宋体"/>
          <w:b/>
          <w:bCs/>
          <w:szCs w:val="21"/>
          <w:lang w:val="zh-TW"/>
        </w:rPr>
        <w:t>采矿计算年均矿岩釆剥量表</w:t>
      </w:r>
      <w:r>
        <w:rPr>
          <w:rFonts w:hint="eastAsia" w:ascii="宋体" w:hAnsi="宋体" w:cs="宋体"/>
          <w:b/>
          <w:bCs/>
          <w:szCs w:val="21"/>
          <w:lang w:val="zh-TW"/>
        </w:rPr>
        <w:tab/>
      </w:r>
    </w:p>
    <w:tbl>
      <w:tblPr>
        <w:tblStyle w:val="59"/>
        <w:tblW w:w="8635" w:type="dxa"/>
        <w:jc w:val="center"/>
        <w:tblInd w:w="5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6"/>
        <w:gridCol w:w="2244"/>
        <w:gridCol w:w="2233"/>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exact"/>
          <w:jc w:val="center"/>
        </w:trPr>
        <w:tc>
          <w:tcPr>
            <w:tcW w:w="1806" w:type="dxa"/>
            <w:shd w:val="clear" w:color="auto" w:fill="FFFFFF"/>
            <w:vAlign w:val="center"/>
          </w:tcPr>
          <w:p>
            <w:pPr>
              <w:jc w:val="center"/>
              <w:rPr>
                <w:rFonts w:asciiTheme="minorHAnsi"/>
                <w:szCs w:val="21"/>
              </w:rPr>
            </w:pPr>
            <w:r>
              <w:rPr>
                <w:rFonts w:hint="eastAsia" w:asciiTheme="minorHAnsi"/>
                <w:szCs w:val="21"/>
              </w:rPr>
              <w:t>名称</w:t>
            </w:r>
          </w:p>
        </w:tc>
        <w:tc>
          <w:tcPr>
            <w:tcW w:w="2244" w:type="dxa"/>
            <w:shd w:val="clear" w:color="auto" w:fill="FFFFFF"/>
            <w:vAlign w:val="center"/>
          </w:tcPr>
          <w:p>
            <w:pPr>
              <w:jc w:val="center"/>
              <w:rPr>
                <w:rFonts w:asciiTheme="minorHAnsi"/>
                <w:szCs w:val="21"/>
              </w:rPr>
            </w:pPr>
            <w:r>
              <w:rPr>
                <w:rFonts w:hint="eastAsia" w:asciiTheme="minorHAnsi"/>
                <w:szCs w:val="21"/>
              </w:rPr>
              <w:t>矿石（m</w:t>
            </w:r>
            <w:r>
              <w:rPr>
                <w:rFonts w:hint="eastAsia" w:asciiTheme="minorHAnsi"/>
                <w:szCs w:val="21"/>
                <w:vertAlign w:val="superscript"/>
              </w:rPr>
              <w:t>3</w:t>
            </w:r>
            <w:r>
              <w:rPr>
                <w:rFonts w:hint="eastAsia" w:asciiTheme="minorHAnsi"/>
                <w:szCs w:val="21"/>
              </w:rPr>
              <w:t>)</w:t>
            </w:r>
          </w:p>
        </w:tc>
        <w:tc>
          <w:tcPr>
            <w:tcW w:w="2233" w:type="dxa"/>
            <w:shd w:val="clear" w:color="auto" w:fill="FFFFFF"/>
            <w:vAlign w:val="center"/>
          </w:tcPr>
          <w:p>
            <w:pPr>
              <w:jc w:val="center"/>
              <w:rPr>
                <w:rFonts w:asciiTheme="minorHAnsi"/>
                <w:szCs w:val="21"/>
              </w:rPr>
            </w:pPr>
            <w:r>
              <w:rPr>
                <w:rFonts w:hint="eastAsia" w:asciiTheme="minorHAnsi"/>
                <w:szCs w:val="21"/>
              </w:rPr>
              <w:t>剥离量（m</w:t>
            </w:r>
            <w:r>
              <w:rPr>
                <w:rFonts w:hint="eastAsia" w:asciiTheme="minorHAnsi"/>
                <w:szCs w:val="21"/>
                <w:vertAlign w:val="superscript"/>
              </w:rPr>
              <w:t>3</w:t>
            </w:r>
            <w:r>
              <w:rPr>
                <w:rFonts w:hint="eastAsia" w:asciiTheme="minorHAnsi"/>
                <w:szCs w:val="21"/>
              </w:rPr>
              <w:t>)</w:t>
            </w:r>
          </w:p>
        </w:tc>
        <w:tc>
          <w:tcPr>
            <w:tcW w:w="2352" w:type="dxa"/>
            <w:shd w:val="clear" w:color="auto" w:fill="FFFFFF"/>
            <w:vAlign w:val="center"/>
          </w:tcPr>
          <w:p>
            <w:pPr>
              <w:jc w:val="center"/>
              <w:rPr>
                <w:rFonts w:asciiTheme="minorHAnsi"/>
                <w:szCs w:val="21"/>
              </w:rPr>
            </w:pPr>
            <w:r>
              <w:rPr>
                <w:rFonts w:hint="eastAsia" w:asciiTheme="minorHAnsi"/>
                <w:szCs w:val="21"/>
              </w:rPr>
              <w:t>矿岩总量（m</w:t>
            </w:r>
            <w:r>
              <w:rPr>
                <w:rFonts w:hint="eastAsia" w:asciiTheme="minorHAnsi"/>
                <w:szCs w:val="21"/>
                <w:vertAlign w:val="superscript"/>
              </w:rPr>
              <w:t>3</w:t>
            </w:r>
            <w:r>
              <w:rPr>
                <w:rFonts w:hint="eastAsia" w:asciiTheme="minorHAnsi"/>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exact"/>
          <w:jc w:val="center"/>
        </w:trPr>
        <w:tc>
          <w:tcPr>
            <w:tcW w:w="1806" w:type="dxa"/>
            <w:shd w:val="clear" w:color="auto" w:fill="FFFFFF"/>
            <w:vAlign w:val="center"/>
          </w:tcPr>
          <w:p>
            <w:pPr>
              <w:jc w:val="center"/>
              <w:rPr>
                <w:rFonts w:asciiTheme="minorHAnsi"/>
                <w:szCs w:val="21"/>
              </w:rPr>
            </w:pPr>
            <w:r>
              <w:rPr>
                <w:rFonts w:hint="eastAsia" w:asciiTheme="minorHAnsi"/>
                <w:szCs w:val="21"/>
              </w:rPr>
              <w:t>年</w:t>
            </w:r>
          </w:p>
        </w:tc>
        <w:tc>
          <w:tcPr>
            <w:tcW w:w="2244" w:type="dxa"/>
            <w:shd w:val="clear" w:color="auto" w:fill="FFFFFF"/>
            <w:vAlign w:val="center"/>
          </w:tcPr>
          <w:p>
            <w:pPr>
              <w:jc w:val="center"/>
              <w:rPr>
                <w:rFonts w:asciiTheme="minorHAnsi"/>
                <w:szCs w:val="21"/>
              </w:rPr>
            </w:pPr>
            <w:r>
              <w:rPr>
                <w:rFonts w:hint="eastAsia" w:asciiTheme="minorHAnsi"/>
                <w:szCs w:val="21"/>
                <w:lang w:val="zh-TW"/>
              </w:rPr>
              <w:t>30000</w:t>
            </w:r>
          </w:p>
        </w:tc>
        <w:tc>
          <w:tcPr>
            <w:tcW w:w="2233" w:type="dxa"/>
            <w:shd w:val="clear" w:color="auto" w:fill="FFFFFF"/>
            <w:vAlign w:val="center"/>
          </w:tcPr>
          <w:p>
            <w:pPr>
              <w:jc w:val="center"/>
              <w:rPr>
                <w:rFonts w:asciiTheme="minorHAnsi"/>
                <w:szCs w:val="21"/>
              </w:rPr>
            </w:pPr>
            <w:r>
              <w:rPr>
                <w:rFonts w:hint="eastAsia" w:asciiTheme="minorHAnsi"/>
                <w:szCs w:val="21"/>
                <w:lang w:val="zh-TW"/>
              </w:rPr>
              <w:t>7890</w:t>
            </w:r>
          </w:p>
        </w:tc>
        <w:tc>
          <w:tcPr>
            <w:tcW w:w="2352" w:type="dxa"/>
            <w:shd w:val="clear" w:color="auto" w:fill="FFFFFF"/>
            <w:vAlign w:val="center"/>
          </w:tcPr>
          <w:p>
            <w:pPr>
              <w:jc w:val="center"/>
              <w:rPr>
                <w:rFonts w:asciiTheme="minorHAnsi"/>
                <w:szCs w:val="21"/>
              </w:rPr>
            </w:pPr>
            <w:r>
              <w:rPr>
                <w:rFonts w:hint="eastAsia" w:asciiTheme="minorHAnsi"/>
                <w:szCs w:val="21"/>
                <w:lang w:val="zh-TW"/>
              </w:rPr>
              <w:t>37890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exact"/>
          <w:jc w:val="center"/>
        </w:trPr>
        <w:tc>
          <w:tcPr>
            <w:tcW w:w="1806" w:type="dxa"/>
            <w:shd w:val="clear" w:color="auto" w:fill="FFFFFF"/>
            <w:vAlign w:val="center"/>
          </w:tcPr>
          <w:p>
            <w:pPr>
              <w:jc w:val="center"/>
              <w:rPr>
                <w:rFonts w:asciiTheme="minorHAnsi"/>
                <w:szCs w:val="21"/>
              </w:rPr>
            </w:pPr>
            <w:r>
              <w:rPr>
                <w:rFonts w:hint="eastAsia" w:asciiTheme="minorHAnsi"/>
                <w:szCs w:val="21"/>
              </w:rPr>
              <w:t>日（班）</w:t>
            </w:r>
          </w:p>
        </w:tc>
        <w:tc>
          <w:tcPr>
            <w:tcW w:w="2244" w:type="dxa"/>
            <w:shd w:val="clear" w:color="auto" w:fill="FFFFFF"/>
            <w:vAlign w:val="center"/>
          </w:tcPr>
          <w:p>
            <w:pPr>
              <w:jc w:val="center"/>
              <w:rPr>
                <w:rFonts w:asciiTheme="minorHAnsi"/>
                <w:szCs w:val="21"/>
              </w:rPr>
            </w:pPr>
            <w:r>
              <w:rPr>
                <w:rFonts w:hint="eastAsia" w:asciiTheme="minorHAnsi"/>
                <w:szCs w:val="21"/>
                <w:lang w:val="zh-TW"/>
              </w:rPr>
              <w:t>120</w:t>
            </w:r>
          </w:p>
        </w:tc>
        <w:tc>
          <w:tcPr>
            <w:tcW w:w="2233" w:type="dxa"/>
            <w:shd w:val="clear" w:color="auto" w:fill="FFFFFF"/>
            <w:vAlign w:val="center"/>
          </w:tcPr>
          <w:p>
            <w:pPr>
              <w:jc w:val="center"/>
              <w:rPr>
                <w:rFonts w:asciiTheme="minorHAnsi"/>
                <w:szCs w:val="21"/>
              </w:rPr>
            </w:pPr>
            <w:r>
              <w:rPr>
                <w:rFonts w:hint="eastAsia" w:asciiTheme="minorHAnsi"/>
                <w:szCs w:val="21"/>
              </w:rPr>
              <w:t>31.56</w:t>
            </w:r>
          </w:p>
        </w:tc>
        <w:tc>
          <w:tcPr>
            <w:tcW w:w="2352" w:type="dxa"/>
            <w:shd w:val="clear" w:color="auto" w:fill="FFFFFF"/>
            <w:vAlign w:val="center"/>
          </w:tcPr>
          <w:p>
            <w:pPr>
              <w:jc w:val="center"/>
              <w:rPr>
                <w:rFonts w:asciiTheme="minorHAnsi"/>
                <w:szCs w:val="21"/>
              </w:rPr>
            </w:pPr>
            <w:r>
              <w:rPr>
                <w:rFonts w:hint="eastAsia" w:asciiTheme="minorHAnsi"/>
                <w:szCs w:val="21"/>
              </w:rPr>
              <w:t>151.56</w:t>
            </w:r>
          </w:p>
        </w:tc>
      </w:tr>
    </w:tbl>
    <w:p>
      <w:pPr>
        <w:spacing w:line="360" w:lineRule="auto"/>
        <w:ind w:firstLine="480" w:firstLineChars="200"/>
        <w:rPr>
          <w:rFonts w:ascii="宋体" w:hAnsi="宋体"/>
          <w:sz w:val="24"/>
        </w:rPr>
      </w:pPr>
      <w:r>
        <w:rPr>
          <w:rFonts w:hint="eastAsia" w:ascii="宋体" w:hAnsi="宋体"/>
          <w:sz w:val="24"/>
        </w:rPr>
        <w:t>生产期矿山年采剥矿岩总量3.80万立方米，生产不均衡系数取1.1，故采矿场设备应具备的年生产能力为：</w:t>
      </w:r>
    </w:p>
    <w:p>
      <w:pPr>
        <w:spacing w:line="360" w:lineRule="auto"/>
        <w:ind w:firstLine="480" w:firstLineChars="200"/>
        <w:rPr>
          <w:rFonts w:ascii="宋体" w:hAnsi="宋体"/>
          <w:sz w:val="24"/>
        </w:rPr>
      </w:pPr>
      <w:r>
        <w:rPr>
          <w:rFonts w:hint="eastAsia" w:ascii="宋体" w:hAnsi="宋体"/>
          <w:sz w:val="24"/>
        </w:rPr>
        <w:t>Q=A</w:t>
      </w:r>
      <w:r>
        <w:rPr>
          <w:szCs w:val="21"/>
        </w:rPr>
        <w:t>Ƞ</w:t>
      </w:r>
      <w:r>
        <w:rPr>
          <w:rFonts w:ascii="Arial" w:hAnsi="Arial" w:cs="Arial"/>
          <w:szCs w:val="21"/>
        </w:rPr>
        <w:t>≈</w:t>
      </w:r>
      <w:r>
        <w:rPr>
          <w:rFonts w:hint="eastAsia" w:ascii="宋体" w:hAnsi="宋体"/>
          <w:sz w:val="24"/>
        </w:rPr>
        <w:t>4.2万立方米/年</w:t>
      </w:r>
    </w:p>
    <w:p>
      <w:pPr>
        <w:spacing w:line="360" w:lineRule="auto"/>
        <w:ind w:firstLine="480" w:firstLineChars="200"/>
        <w:rPr>
          <w:rFonts w:ascii="宋体" w:hAnsi="宋体"/>
          <w:sz w:val="24"/>
        </w:rPr>
      </w:pPr>
      <w:r>
        <w:rPr>
          <w:rFonts w:hint="eastAsia" w:ascii="宋体" w:hAnsi="宋体"/>
          <w:sz w:val="24"/>
        </w:rPr>
        <w:t>式中：Q-设备应满足的生产能力，万立方米；</w:t>
      </w:r>
    </w:p>
    <w:p>
      <w:pPr>
        <w:spacing w:line="360" w:lineRule="auto"/>
        <w:ind w:firstLine="1200" w:firstLineChars="500"/>
        <w:rPr>
          <w:rFonts w:ascii="宋体" w:hAnsi="宋体"/>
          <w:sz w:val="24"/>
        </w:rPr>
      </w:pPr>
      <w:r>
        <w:rPr>
          <w:rFonts w:hint="eastAsia" w:ascii="宋体" w:hAnsi="宋体"/>
          <w:sz w:val="24"/>
        </w:rPr>
        <w:t>A</w:t>
      </w:r>
      <w:r>
        <w:rPr>
          <w:rFonts w:hint="eastAsia" w:ascii="宋体" w:hAnsi="宋体"/>
          <w:sz w:val="24"/>
        </w:rPr>
        <w:tab/>
      </w:r>
      <w:r>
        <w:rPr>
          <w:rFonts w:hint="eastAsia" w:ascii="宋体" w:hAnsi="宋体"/>
          <w:sz w:val="24"/>
        </w:rPr>
        <w:t>-矿山年采剥总量，3.8万立方米/年；</w:t>
      </w:r>
    </w:p>
    <w:p>
      <w:pPr>
        <w:spacing w:line="360" w:lineRule="auto"/>
        <w:ind w:firstLine="1260" w:firstLineChars="600"/>
        <w:rPr>
          <w:rFonts w:ascii="宋体" w:hAnsi="宋体"/>
          <w:sz w:val="24"/>
        </w:rPr>
      </w:pPr>
      <w:r>
        <w:rPr>
          <w:szCs w:val="21"/>
        </w:rPr>
        <w:t>Ƞ</w:t>
      </w:r>
      <w:r>
        <w:rPr>
          <w:rFonts w:hint="eastAsia" w:ascii="宋体" w:hAnsi="宋体"/>
          <w:sz w:val="24"/>
        </w:rPr>
        <w:t>-生产不均衡系数，1.1。</w:t>
      </w:r>
    </w:p>
    <w:p>
      <w:pPr>
        <w:spacing w:line="360" w:lineRule="auto"/>
        <w:ind w:firstLine="480" w:firstLineChars="200"/>
        <w:rPr>
          <w:rFonts w:ascii="宋体" w:hAnsi="宋体"/>
          <w:sz w:val="24"/>
        </w:rPr>
      </w:pPr>
      <w:r>
        <w:rPr>
          <w:rFonts w:hint="eastAsia" w:ascii="宋体" w:hAnsi="宋体"/>
          <w:sz w:val="24"/>
        </w:rPr>
        <w:t>矿山设备应具备的生产能力为4.2万立方米/年</w:t>
      </w:r>
      <w:r>
        <w:rPr>
          <w:rFonts w:ascii="宋体" w:hAnsi="宋体"/>
          <w:sz w:val="24"/>
        </w:rPr>
        <w:t>。</w:t>
      </w:r>
    </w:p>
    <w:p>
      <w:pPr>
        <w:numPr>
          <w:ilvl w:val="2"/>
          <w:numId w:val="2"/>
        </w:numPr>
        <w:spacing w:line="360" w:lineRule="auto"/>
        <w:outlineLvl w:val="2"/>
        <w:rPr>
          <w:rFonts w:ascii="宋体"/>
          <w:b/>
          <w:bCs/>
          <w:sz w:val="28"/>
          <w:szCs w:val="28"/>
        </w:rPr>
      </w:pPr>
      <w:r>
        <w:rPr>
          <w:rFonts w:hint="eastAsia" w:ascii="宋体"/>
          <w:b/>
          <w:bCs/>
          <w:sz w:val="28"/>
          <w:szCs w:val="28"/>
        </w:rPr>
        <w:t>生产能力验算</w:t>
      </w:r>
    </w:p>
    <w:p>
      <w:pPr>
        <w:spacing w:line="360" w:lineRule="auto"/>
        <w:ind w:firstLine="480" w:firstLineChars="200"/>
        <w:rPr>
          <w:sz w:val="24"/>
        </w:rPr>
      </w:pPr>
      <w:r>
        <w:rPr>
          <w:rFonts w:hint="eastAsia"/>
          <w:sz w:val="24"/>
        </w:rPr>
        <w:t>按可布置的挖掘机工作面数量验证矿山生产能力验证：可布置的工作面1个，布置的挖掘机数量1个。</w:t>
      </w:r>
    </w:p>
    <w:p>
      <w:pPr>
        <w:spacing w:line="360" w:lineRule="auto"/>
        <w:ind w:firstLine="480" w:firstLineChars="200"/>
        <w:rPr>
          <w:sz w:val="24"/>
        </w:rPr>
      </w:pPr>
      <w:r>
        <w:rPr>
          <w:rFonts w:hint="eastAsia"/>
          <w:sz w:val="24"/>
        </w:rPr>
        <w:t>按可布置的挖掘机工作面生产能力验证矿山生产能力：</w:t>
      </w:r>
    </w:p>
    <w:p>
      <w:pPr>
        <w:spacing w:line="360" w:lineRule="auto"/>
        <w:ind w:firstLine="480" w:firstLineChars="200"/>
        <w:rPr>
          <w:sz w:val="24"/>
        </w:rPr>
      </w:pPr>
      <w:r>
        <w:rPr>
          <w:rFonts w:hint="eastAsia"/>
          <w:sz w:val="24"/>
        </w:rPr>
        <w:t>PC220-8M0型液压挖掘机生产能力： Q</w:t>
      </w:r>
      <w:r>
        <w:rPr>
          <w:rFonts w:hint="eastAsia"/>
          <w:sz w:val="24"/>
          <w:vertAlign w:val="subscript"/>
        </w:rPr>
        <w:t>a</w:t>
      </w:r>
      <w:r>
        <w:rPr>
          <w:rFonts w:hint="eastAsia"/>
          <w:sz w:val="24"/>
        </w:rPr>
        <w:t>=3600EK</w:t>
      </w:r>
      <w:r>
        <w:rPr>
          <w:rFonts w:hint="eastAsia"/>
          <w:sz w:val="24"/>
          <w:vertAlign w:val="subscript"/>
        </w:rPr>
        <w:t>H</w:t>
      </w:r>
      <w:r>
        <w:rPr>
          <w:rFonts w:hint="eastAsia"/>
          <w:sz w:val="24"/>
        </w:rPr>
        <w:t>M</w:t>
      </w:r>
      <w:r>
        <w:rPr>
          <w:sz w:val="24"/>
        </w:rPr>
        <w:t>Ƞ</w:t>
      </w:r>
      <w:r>
        <w:rPr>
          <w:rFonts w:hint="eastAsia" w:ascii="微软雅黑" w:hAnsi="微软雅黑" w:eastAsia="微软雅黑" w:cs="微软雅黑"/>
          <w:sz w:val="24"/>
        </w:rPr>
        <w:t>γ</w:t>
      </w:r>
      <w:r>
        <w:rPr>
          <w:rFonts w:hint="eastAsia"/>
          <w:sz w:val="24"/>
        </w:rPr>
        <w:t>/ (mK</w:t>
      </w:r>
      <w:r>
        <w:rPr>
          <w:rFonts w:hint="eastAsia"/>
          <w:sz w:val="24"/>
          <w:vertAlign w:val="subscript"/>
        </w:rPr>
        <w:t>p</w:t>
      </w:r>
      <w:r>
        <w:rPr>
          <w:rFonts w:hint="eastAsia"/>
          <w:sz w:val="24"/>
        </w:rPr>
        <w:t>)</w:t>
      </w:r>
    </w:p>
    <w:p>
      <w:pPr>
        <w:spacing w:line="360" w:lineRule="auto"/>
        <w:ind w:firstLine="480" w:firstLineChars="200"/>
        <w:rPr>
          <w:sz w:val="24"/>
        </w:rPr>
      </w:pPr>
      <w:r>
        <w:rPr>
          <w:rFonts w:hint="eastAsia"/>
          <w:sz w:val="24"/>
        </w:rPr>
        <w:t>=207m</w:t>
      </w:r>
      <w:r>
        <w:rPr>
          <w:rFonts w:hint="eastAsia"/>
          <w:sz w:val="24"/>
          <w:vertAlign w:val="superscript"/>
        </w:rPr>
        <w:t>3</w:t>
      </w:r>
      <w:r>
        <w:rPr>
          <w:rFonts w:hint="eastAsia"/>
          <w:sz w:val="24"/>
        </w:rPr>
        <w:t>/班。</w:t>
      </w:r>
    </w:p>
    <w:p>
      <w:pPr>
        <w:spacing w:line="360" w:lineRule="auto"/>
        <w:ind w:firstLine="480" w:firstLineChars="200"/>
        <w:rPr>
          <w:sz w:val="24"/>
        </w:rPr>
      </w:pPr>
      <w:r>
        <w:rPr>
          <w:rFonts w:hint="eastAsia"/>
          <w:sz w:val="24"/>
        </w:rPr>
        <w:t>式中：Q</w:t>
      </w:r>
      <w:r>
        <w:rPr>
          <w:rFonts w:hint="eastAsia"/>
          <w:sz w:val="24"/>
          <w:vertAlign w:val="subscript"/>
        </w:rPr>
        <w:t>a</w:t>
      </w:r>
      <w:r>
        <w:rPr>
          <w:rFonts w:hint="eastAsia"/>
          <w:sz w:val="24"/>
        </w:rPr>
        <w:t>—挖掘机台班生产能力，</w:t>
      </w:r>
      <w:r>
        <w:rPr>
          <w:rFonts w:hint="eastAsia"/>
          <w:sz w:val="24"/>
        </w:rPr>
        <w:tab/>
      </w:r>
      <w:r>
        <w:rPr>
          <w:rFonts w:hint="eastAsia"/>
          <w:sz w:val="24"/>
        </w:rPr>
        <w:t>m</w:t>
      </w:r>
      <w:r>
        <w:rPr>
          <w:rFonts w:hint="eastAsia"/>
          <w:sz w:val="24"/>
          <w:vertAlign w:val="superscript"/>
        </w:rPr>
        <w:t>3</w:t>
      </w:r>
      <w:r>
        <w:rPr>
          <w:rFonts w:hint="eastAsia"/>
          <w:sz w:val="24"/>
        </w:rPr>
        <w:t>/台班；</w:t>
      </w:r>
    </w:p>
    <w:p>
      <w:pPr>
        <w:spacing w:line="360" w:lineRule="auto"/>
        <w:ind w:firstLine="1200" w:firstLineChars="500"/>
        <w:rPr>
          <w:sz w:val="24"/>
        </w:rPr>
      </w:pPr>
      <w:r>
        <w:rPr>
          <w:rFonts w:hint="eastAsia"/>
          <w:sz w:val="24"/>
        </w:rPr>
        <w:t xml:space="preserve">E一挖掘机铲斗容积，     </w:t>
      </w:r>
      <w:r>
        <w:rPr>
          <w:rFonts w:hint="eastAsia"/>
          <w:sz w:val="24"/>
        </w:rPr>
        <w:tab/>
      </w:r>
      <w:r>
        <w:rPr>
          <w:rFonts w:hint="eastAsia"/>
          <w:sz w:val="24"/>
        </w:rPr>
        <w:t>0.7m</w:t>
      </w:r>
      <w:r>
        <w:rPr>
          <w:rFonts w:hint="eastAsia"/>
          <w:sz w:val="24"/>
          <w:vertAlign w:val="superscript"/>
        </w:rPr>
        <w:t>3</w:t>
      </w:r>
      <w:r>
        <w:rPr>
          <w:rFonts w:hint="eastAsia"/>
          <w:sz w:val="24"/>
        </w:rPr>
        <w:t>；</w:t>
      </w:r>
    </w:p>
    <w:p>
      <w:pPr>
        <w:spacing w:line="360" w:lineRule="auto"/>
        <w:ind w:firstLine="1200" w:firstLineChars="500"/>
        <w:rPr>
          <w:sz w:val="24"/>
        </w:rPr>
      </w:pPr>
      <w:r>
        <w:rPr>
          <w:rFonts w:hint="eastAsia"/>
          <w:sz w:val="24"/>
        </w:rPr>
        <w:t>m一挖掘机铲斗循环时间， 30s；</w:t>
      </w:r>
    </w:p>
    <w:p>
      <w:pPr>
        <w:spacing w:line="360" w:lineRule="auto"/>
        <w:ind w:firstLine="1200" w:firstLineChars="500"/>
        <w:rPr>
          <w:sz w:val="24"/>
        </w:rPr>
      </w:pPr>
      <w:r>
        <w:rPr>
          <w:rFonts w:hint="eastAsia"/>
          <w:sz w:val="24"/>
        </w:rPr>
        <w:t>K</w:t>
      </w:r>
      <w:r>
        <w:rPr>
          <w:rFonts w:hint="eastAsia"/>
          <w:sz w:val="24"/>
          <w:vertAlign w:val="subscript"/>
        </w:rPr>
        <w:t>H</w:t>
      </w:r>
      <w:r>
        <w:rPr>
          <w:rFonts w:hint="eastAsia"/>
          <w:sz w:val="24"/>
        </w:rPr>
        <w:t xml:space="preserve">一挖掘机铲斗满斗系数，       </w:t>
      </w:r>
      <w:r>
        <w:rPr>
          <w:rFonts w:hint="eastAsia"/>
          <w:sz w:val="24"/>
        </w:rPr>
        <w:tab/>
      </w:r>
      <w:r>
        <w:rPr>
          <w:rFonts w:hint="eastAsia"/>
          <w:sz w:val="24"/>
        </w:rPr>
        <w:t>0.9；</w:t>
      </w:r>
    </w:p>
    <w:p>
      <w:pPr>
        <w:spacing w:line="360" w:lineRule="auto"/>
        <w:ind w:firstLine="1200" w:firstLineChars="500"/>
        <w:rPr>
          <w:sz w:val="24"/>
        </w:rPr>
      </w:pPr>
      <w:r>
        <w:rPr>
          <w:rFonts w:hint="eastAsia"/>
          <w:sz w:val="24"/>
        </w:rPr>
        <w:t xml:space="preserve">M一挖掘机班工作时间，         </w:t>
      </w:r>
      <w:r>
        <w:rPr>
          <w:rFonts w:hint="eastAsia"/>
          <w:sz w:val="24"/>
        </w:rPr>
        <w:tab/>
      </w:r>
      <w:r>
        <w:rPr>
          <w:rFonts w:hint="eastAsia"/>
          <w:sz w:val="24"/>
        </w:rPr>
        <w:t>6h；</w:t>
      </w:r>
    </w:p>
    <w:p>
      <w:pPr>
        <w:spacing w:line="360" w:lineRule="auto"/>
        <w:ind w:firstLine="1200" w:firstLineChars="500"/>
        <w:rPr>
          <w:sz w:val="24"/>
        </w:rPr>
      </w:pPr>
      <w:r>
        <w:rPr>
          <w:rFonts w:hint="eastAsia"/>
          <w:sz w:val="24"/>
        </w:rPr>
        <w:t>K</w:t>
      </w:r>
      <w:r>
        <w:rPr>
          <w:rFonts w:hint="eastAsia"/>
          <w:sz w:val="24"/>
          <w:vertAlign w:val="subscript"/>
        </w:rPr>
        <w:t>p</w:t>
      </w:r>
      <w:r>
        <w:rPr>
          <w:rFonts w:hint="eastAsia"/>
          <w:sz w:val="24"/>
        </w:rPr>
        <w:t>—矿岩在铲斗中的松散系数，   1.4；</w:t>
      </w:r>
    </w:p>
    <w:p>
      <w:pPr>
        <w:spacing w:line="360" w:lineRule="auto"/>
        <w:ind w:firstLine="1200" w:firstLineChars="500"/>
        <w:rPr>
          <w:sz w:val="24"/>
        </w:rPr>
      </w:pPr>
      <w:r>
        <w:rPr>
          <w:rFonts w:hint="eastAsia" w:ascii="微软雅黑" w:hAnsi="微软雅黑" w:eastAsia="微软雅黑" w:cs="微软雅黑"/>
          <w:sz w:val="24"/>
        </w:rPr>
        <w:t>γ</w:t>
      </w:r>
      <w:r>
        <w:rPr>
          <w:rFonts w:hint="eastAsia"/>
          <w:sz w:val="24"/>
        </w:rPr>
        <w:t>一装载设备的高原工作系数，    0.8；</w:t>
      </w:r>
    </w:p>
    <w:p>
      <w:pPr>
        <w:spacing w:line="360" w:lineRule="auto"/>
        <w:ind w:firstLine="1200" w:firstLineChars="500"/>
        <w:rPr>
          <w:sz w:val="24"/>
        </w:rPr>
      </w:pPr>
      <w:r>
        <w:rPr>
          <w:sz w:val="24"/>
        </w:rPr>
        <w:t>Ƞ</w:t>
      </w:r>
      <w:r>
        <w:rPr>
          <w:rFonts w:hint="eastAsia"/>
          <w:sz w:val="24"/>
        </w:rPr>
        <w:t xml:space="preserve">—班工作时间利用系数，        </w:t>
      </w:r>
      <w:r>
        <w:rPr>
          <w:rFonts w:hint="eastAsia"/>
          <w:sz w:val="24"/>
        </w:rPr>
        <w:tab/>
      </w:r>
      <w:r>
        <w:rPr>
          <w:rFonts w:hint="eastAsia"/>
          <w:sz w:val="24"/>
        </w:rPr>
        <w:t>0.8。</w:t>
      </w:r>
    </w:p>
    <w:p>
      <w:pPr>
        <w:spacing w:line="360" w:lineRule="auto"/>
        <w:ind w:firstLine="480" w:firstLineChars="200"/>
        <w:rPr>
          <w:rFonts w:ascii="宋体" w:hAnsi="宋体"/>
          <w:sz w:val="24"/>
        </w:rPr>
      </w:pPr>
      <w:r>
        <w:rPr>
          <w:rFonts w:hint="eastAsia"/>
          <w:sz w:val="24"/>
        </w:rPr>
        <w:t>经计算，0. 7m</w:t>
      </w:r>
      <w:r>
        <w:rPr>
          <w:rFonts w:hint="eastAsia"/>
          <w:sz w:val="24"/>
          <w:vertAlign w:val="superscript"/>
        </w:rPr>
        <w:t>3</w:t>
      </w:r>
      <w:r>
        <w:rPr>
          <w:rFonts w:hint="eastAsia"/>
          <w:sz w:val="24"/>
        </w:rPr>
        <w:t>斗容挖掘机台班生产能力207m</w:t>
      </w:r>
      <w:r>
        <w:rPr>
          <w:rFonts w:hint="eastAsia"/>
          <w:sz w:val="24"/>
          <w:vertAlign w:val="superscript"/>
        </w:rPr>
        <w:t>3</w:t>
      </w:r>
      <w:r>
        <w:rPr>
          <w:rFonts w:hint="eastAsia"/>
          <w:sz w:val="24"/>
        </w:rPr>
        <w:t>，台年生产能力5.1万m</w:t>
      </w:r>
      <w:r>
        <w:rPr>
          <w:rFonts w:hint="eastAsia"/>
          <w:sz w:val="24"/>
          <w:vertAlign w:val="superscript"/>
        </w:rPr>
        <w:t>3</w:t>
      </w:r>
      <w:r>
        <w:rPr>
          <w:rFonts w:hint="eastAsia"/>
          <w:sz w:val="24"/>
        </w:rPr>
        <w:t>/a，即1台挖掘机年生产能力可达5.1万m</w:t>
      </w:r>
      <w:r>
        <w:rPr>
          <w:rFonts w:hint="eastAsia"/>
          <w:sz w:val="24"/>
          <w:vertAlign w:val="superscript"/>
        </w:rPr>
        <w:t>3</w:t>
      </w:r>
      <w:r>
        <w:rPr>
          <w:rFonts w:hint="eastAsia"/>
          <w:sz w:val="24"/>
        </w:rPr>
        <w:t>/a &gt;4.2万m</w:t>
      </w:r>
      <w:r>
        <w:rPr>
          <w:rFonts w:hint="eastAsia"/>
          <w:sz w:val="24"/>
          <w:vertAlign w:val="superscript"/>
        </w:rPr>
        <w:t>3</w:t>
      </w:r>
      <w:r>
        <w:rPr>
          <w:rFonts w:hint="eastAsia"/>
          <w:sz w:val="24"/>
        </w:rPr>
        <w:t>/a，完全能够满足生产能力</w:t>
      </w:r>
      <w:r>
        <w:rPr>
          <w:rFonts w:hint="eastAsia" w:ascii="宋体" w:hAnsi="宋体"/>
          <w:sz w:val="24"/>
        </w:rPr>
        <w:t>。</w:t>
      </w:r>
    </w:p>
    <w:p>
      <w:pPr>
        <w:numPr>
          <w:ilvl w:val="2"/>
          <w:numId w:val="2"/>
        </w:numPr>
        <w:spacing w:line="360" w:lineRule="auto"/>
        <w:outlineLvl w:val="2"/>
        <w:rPr>
          <w:rFonts w:ascii="宋体"/>
          <w:b/>
          <w:bCs/>
          <w:sz w:val="28"/>
          <w:szCs w:val="28"/>
        </w:rPr>
      </w:pPr>
      <w:r>
        <w:rPr>
          <w:rFonts w:hint="eastAsia" w:ascii="宋体"/>
          <w:b/>
          <w:bCs/>
          <w:sz w:val="28"/>
          <w:szCs w:val="28"/>
        </w:rPr>
        <w:t>服务年限</w:t>
      </w:r>
    </w:p>
    <w:p>
      <w:pPr>
        <w:spacing w:line="360" w:lineRule="auto"/>
        <w:ind w:firstLine="480" w:firstLineChars="200"/>
        <w:rPr>
          <w:rFonts w:ascii="宋体" w:hAnsi="宋体"/>
          <w:sz w:val="24"/>
        </w:rPr>
      </w:pPr>
      <w:r>
        <w:rPr>
          <w:rFonts w:hint="eastAsia" w:ascii="宋体" w:hAnsi="宋体"/>
          <w:sz w:val="24"/>
        </w:rPr>
        <w:t>计算矿区范围内可釆砂石矿资源量为21.00万m</w:t>
      </w:r>
      <w:r>
        <w:rPr>
          <w:rFonts w:hint="eastAsia" w:ascii="宋体" w:hAnsi="宋体"/>
          <w:sz w:val="24"/>
          <w:vertAlign w:val="superscript"/>
        </w:rPr>
        <w:t>3</w:t>
      </w:r>
      <w:r>
        <w:rPr>
          <w:rFonts w:hint="eastAsia" w:ascii="宋体" w:hAnsi="宋体"/>
          <w:sz w:val="24"/>
        </w:rPr>
        <w:t>，矿山年生产能力按3万m</w:t>
      </w:r>
      <w:r>
        <w:rPr>
          <w:rFonts w:hint="eastAsia" w:ascii="宋体" w:hAnsi="宋体"/>
          <w:sz w:val="24"/>
          <w:vertAlign w:val="superscript"/>
        </w:rPr>
        <w:t>3</w:t>
      </w:r>
      <w:r>
        <w:rPr>
          <w:rFonts w:hint="eastAsia" w:ascii="宋体" w:hAnsi="宋体"/>
          <w:sz w:val="24"/>
        </w:rPr>
        <w:t>/a， 计算矿山可釆年限为：</w:t>
      </w:r>
    </w:p>
    <w:p>
      <w:pPr>
        <w:spacing w:line="360" w:lineRule="auto"/>
        <w:ind w:firstLine="480" w:firstLineChars="200"/>
        <w:rPr>
          <w:rFonts w:ascii="宋体" w:hAnsi="宋体"/>
          <w:sz w:val="24"/>
        </w:rPr>
      </w:pPr>
      <w:r>
        <w:rPr>
          <w:rFonts w:hint="eastAsia" w:ascii="宋体" w:hAnsi="宋体"/>
          <w:sz w:val="24"/>
        </w:rPr>
        <w:t>T=Q</w:t>
      </w:r>
      <w:r>
        <w:rPr>
          <w:rFonts w:hint="eastAsia" w:ascii="宋体" w:hAnsi="宋体"/>
          <w:sz w:val="24"/>
          <w:vertAlign w:val="subscript"/>
        </w:rPr>
        <w:t>m</w:t>
      </w:r>
      <w:r>
        <w:rPr>
          <w:rFonts w:hint="eastAsia" w:ascii="宋体" w:hAnsi="宋体"/>
          <w:sz w:val="24"/>
        </w:rPr>
        <w:tab/>
      </w:r>
      <w:r>
        <w:rPr>
          <w:rFonts w:hint="eastAsia" w:ascii="宋体" w:hAnsi="宋体"/>
          <w:sz w:val="24"/>
        </w:rPr>
        <w:t>（1-</w:t>
      </w:r>
      <w:r>
        <w:rPr>
          <w:szCs w:val="21"/>
        </w:rPr>
        <w:t>Ƞ</w:t>
      </w:r>
      <w:r>
        <w:rPr>
          <w:rFonts w:hint="eastAsia" w:ascii="宋体" w:hAnsi="宋体"/>
          <w:sz w:val="24"/>
        </w:rPr>
        <w:t>）/Q=16.8</w:t>
      </w:r>
      <w:r>
        <w:rPr>
          <w:rFonts w:ascii="Arial" w:hAnsi="Arial" w:cs="Arial"/>
          <w:sz w:val="24"/>
        </w:rPr>
        <w:t>×</w:t>
      </w:r>
      <w:r>
        <w:rPr>
          <w:rFonts w:hint="eastAsia" w:ascii="宋体" w:hAnsi="宋体"/>
          <w:sz w:val="24"/>
        </w:rPr>
        <w:t>0.98/3=6.9年</w:t>
      </w:r>
    </w:p>
    <w:p>
      <w:pPr>
        <w:spacing w:line="360" w:lineRule="auto"/>
        <w:ind w:firstLine="480" w:firstLineChars="200"/>
        <w:rPr>
          <w:rFonts w:ascii="宋体" w:hAnsi="宋体"/>
          <w:sz w:val="24"/>
        </w:rPr>
      </w:pPr>
      <w:r>
        <w:rPr>
          <w:rFonts w:hint="eastAsia" w:ascii="宋体" w:hAnsi="宋体"/>
          <w:sz w:val="24"/>
        </w:rPr>
        <w:t>式中：T-山服务年限，年；</w:t>
      </w:r>
    </w:p>
    <w:p>
      <w:pPr>
        <w:spacing w:line="360" w:lineRule="auto"/>
        <w:ind w:firstLine="1200" w:firstLineChars="500"/>
        <w:rPr>
          <w:rFonts w:ascii="宋体" w:hAnsi="宋体"/>
          <w:sz w:val="24"/>
        </w:rPr>
      </w:pPr>
      <w:r>
        <w:rPr>
          <w:rFonts w:hint="eastAsia" w:ascii="宋体" w:hAnsi="宋体"/>
          <w:sz w:val="24"/>
        </w:rPr>
        <w:t>Q</w:t>
      </w:r>
      <w:r>
        <w:rPr>
          <w:rFonts w:hint="eastAsia" w:ascii="宋体" w:hAnsi="宋体"/>
          <w:sz w:val="24"/>
          <w:vertAlign w:val="subscript"/>
        </w:rPr>
        <w:t>m</w:t>
      </w:r>
      <w:r>
        <w:rPr>
          <w:rFonts w:hint="eastAsia" w:ascii="宋体" w:hAnsi="宋体"/>
          <w:sz w:val="24"/>
        </w:rPr>
        <w:t>-开采境界内可采矿石量，21.00万立方米；</w:t>
      </w:r>
    </w:p>
    <w:p>
      <w:pPr>
        <w:spacing w:line="360" w:lineRule="auto"/>
        <w:ind w:firstLine="1200" w:firstLineChars="500"/>
        <w:rPr>
          <w:rFonts w:ascii="宋体" w:hAnsi="宋体"/>
          <w:sz w:val="24"/>
        </w:rPr>
      </w:pPr>
      <w:r>
        <w:rPr>
          <w:rFonts w:hint="eastAsia" w:ascii="宋体" w:hAnsi="宋体"/>
          <w:sz w:val="24"/>
        </w:rPr>
        <w:t>Q-矿山设计生产规模，3.0万立方米/年；</w:t>
      </w:r>
    </w:p>
    <w:p>
      <w:pPr>
        <w:spacing w:line="360" w:lineRule="auto"/>
        <w:ind w:firstLine="1260" w:firstLineChars="600"/>
        <w:rPr>
          <w:rFonts w:ascii="宋体" w:hAnsi="宋体"/>
          <w:sz w:val="24"/>
        </w:rPr>
      </w:pPr>
      <w:r>
        <w:rPr>
          <w:szCs w:val="21"/>
        </w:rPr>
        <w:t>Ƞ</w:t>
      </w:r>
      <w:r>
        <w:rPr>
          <w:rFonts w:hint="eastAsia" w:ascii="宋体" w:hAnsi="宋体"/>
          <w:sz w:val="24"/>
        </w:rPr>
        <w:t>-矿石开釆、运输损失率，2%。</w:t>
      </w:r>
    </w:p>
    <w:p>
      <w:pPr>
        <w:spacing w:line="360" w:lineRule="auto"/>
        <w:ind w:firstLine="480" w:firstLineChars="200"/>
        <w:rPr>
          <w:rFonts w:ascii="宋体" w:hAnsi="宋体"/>
          <w:sz w:val="24"/>
        </w:rPr>
      </w:pPr>
      <w:r>
        <w:rPr>
          <w:rFonts w:hint="eastAsia" w:ascii="宋体" w:hAnsi="宋体"/>
          <w:sz w:val="24"/>
        </w:rPr>
        <w:t>经计算，矿山服务年限为6.9年。</w:t>
      </w:r>
    </w:p>
    <w:p>
      <w:pPr>
        <w:numPr>
          <w:ilvl w:val="1"/>
          <w:numId w:val="2"/>
        </w:numPr>
        <w:spacing w:line="360" w:lineRule="auto"/>
        <w:outlineLvl w:val="1"/>
        <w:rPr>
          <w:rFonts w:ascii="宋体" w:hAnsi="宋体" w:cs="宋体"/>
          <w:b/>
          <w:bCs/>
          <w:color w:val="000000"/>
          <w:sz w:val="30"/>
          <w:szCs w:val="30"/>
        </w:rPr>
      </w:pPr>
      <w:bookmarkStart w:id="153" w:name="_Toc457224796"/>
      <w:bookmarkStart w:id="154" w:name="_Toc25931"/>
      <w:r>
        <w:rPr>
          <w:rFonts w:hint="eastAsia" w:ascii="宋体" w:hAnsi="宋体" w:cs="宋体"/>
          <w:b/>
          <w:bCs/>
          <w:color w:val="000000"/>
          <w:sz w:val="30"/>
          <w:szCs w:val="30"/>
        </w:rPr>
        <w:t>开采工艺</w:t>
      </w:r>
      <w:bookmarkEnd w:id="153"/>
      <w:bookmarkEnd w:id="154"/>
    </w:p>
    <w:p>
      <w:pPr>
        <w:numPr>
          <w:ilvl w:val="2"/>
          <w:numId w:val="2"/>
        </w:numPr>
        <w:spacing w:line="360" w:lineRule="auto"/>
        <w:outlineLvl w:val="2"/>
        <w:rPr>
          <w:rFonts w:ascii="宋体"/>
          <w:b/>
          <w:bCs/>
          <w:sz w:val="28"/>
          <w:szCs w:val="28"/>
        </w:rPr>
      </w:pPr>
      <w:bookmarkStart w:id="155" w:name="_Toc215906514"/>
      <w:r>
        <w:rPr>
          <w:rFonts w:ascii="宋体"/>
          <w:b/>
          <w:bCs/>
          <w:sz w:val="28"/>
          <w:szCs w:val="28"/>
        </w:rPr>
        <w:t>采矿顺序</w:t>
      </w:r>
      <w:bookmarkEnd w:id="155"/>
    </w:p>
    <w:p>
      <w:pPr>
        <w:spacing w:line="360" w:lineRule="auto"/>
        <w:ind w:firstLine="480" w:firstLineChars="200"/>
        <w:rPr>
          <w:rFonts w:ascii="宋体" w:hAnsi="宋体"/>
          <w:sz w:val="24"/>
        </w:rPr>
      </w:pPr>
      <w:r>
        <w:rPr>
          <w:rFonts w:hint="eastAsia" w:ascii="宋体" w:hAnsi="宋体"/>
          <w:sz w:val="24"/>
        </w:rPr>
        <w:t>设计开拓方案采用公路开拓、汽车运输方案。设计从采场南侧起坡修建运输道路至+2532m水平，其余各生产水平均可修建支线到达。基建工作结束后，形成+2532m、</w:t>
      </w:r>
    </w:p>
    <w:p>
      <w:pPr>
        <w:spacing w:line="360" w:lineRule="auto"/>
        <w:rPr>
          <w:rFonts w:ascii="宋体" w:hAnsi="宋体"/>
          <w:sz w:val="24"/>
        </w:rPr>
      </w:pPr>
      <w:r>
        <w:rPr>
          <w:rFonts w:hint="eastAsia" w:ascii="宋体" w:hAnsi="宋体"/>
          <w:sz w:val="24"/>
        </w:rPr>
        <w:t>+2522m、+2512m、+2502m基建终了平台，并对+2502m水平进行拓宽，形成基建终了最小工作平台。</w:t>
      </w:r>
    </w:p>
    <w:p>
      <w:pPr>
        <w:spacing w:line="360" w:lineRule="auto"/>
        <w:ind w:firstLine="480" w:firstLineChars="200"/>
        <w:rPr>
          <w:rFonts w:ascii="宋体" w:hAnsi="宋体"/>
          <w:sz w:val="24"/>
        </w:rPr>
      </w:pPr>
      <w:r>
        <w:rPr>
          <w:rFonts w:hint="eastAsia" w:ascii="宋体" w:hAnsi="宋体"/>
          <w:sz w:val="24"/>
        </w:rPr>
        <w:t>生产期从+2502m基建水平自上而下按10m高的台阶逐层开采。开采工作线垂直等 高线布置，并挖掘开段沟，平行等高线推进。</w:t>
      </w:r>
    </w:p>
    <w:p>
      <w:pPr>
        <w:spacing w:line="360" w:lineRule="auto"/>
        <w:ind w:firstLine="480" w:firstLineChars="200"/>
        <w:rPr>
          <w:rFonts w:ascii="宋体" w:hAnsi="宋体"/>
          <w:sz w:val="24"/>
        </w:rPr>
      </w:pPr>
      <w:r>
        <w:rPr>
          <w:rFonts w:hint="eastAsia" w:ascii="宋体" w:hAnsi="宋体"/>
          <w:sz w:val="24"/>
        </w:rPr>
        <w:t>每个开釆水平即将结束时，进行新水平的准备，以保证开釆水平的正常接替</w:t>
      </w:r>
      <w:r>
        <w:rPr>
          <w:rFonts w:ascii="宋体" w:hAnsi="宋体"/>
          <w:sz w:val="24"/>
        </w:rPr>
        <w:t>。</w:t>
      </w:r>
    </w:p>
    <w:p>
      <w:pPr>
        <w:numPr>
          <w:ilvl w:val="2"/>
          <w:numId w:val="2"/>
        </w:numPr>
        <w:spacing w:line="360" w:lineRule="auto"/>
        <w:outlineLvl w:val="2"/>
        <w:rPr>
          <w:rFonts w:ascii="宋体"/>
          <w:b/>
          <w:bCs/>
          <w:sz w:val="28"/>
          <w:szCs w:val="28"/>
        </w:rPr>
      </w:pPr>
      <w:r>
        <w:rPr>
          <w:rFonts w:ascii="宋体"/>
          <w:b/>
          <w:bCs/>
          <w:sz w:val="28"/>
          <w:szCs w:val="28"/>
        </w:rPr>
        <w:t>采矿工艺</w:t>
      </w:r>
    </w:p>
    <w:p>
      <w:pPr>
        <w:spacing w:line="360" w:lineRule="auto"/>
        <w:ind w:firstLine="480" w:firstLineChars="200"/>
        <w:rPr>
          <w:rFonts w:ascii="宋体" w:hAnsi="宋体"/>
          <w:sz w:val="24"/>
        </w:rPr>
      </w:pPr>
      <w:r>
        <w:rPr>
          <w:rFonts w:hint="eastAsia" w:ascii="宋体" w:hAnsi="宋体"/>
          <w:sz w:val="24"/>
        </w:rPr>
        <w:t>采用潜孔钻机穿孔、爆破</w:t>
      </w:r>
      <w:r>
        <w:rPr>
          <w:rFonts w:ascii="宋体" w:hAnsi="宋体"/>
          <w:sz w:val="24"/>
        </w:rPr>
        <w:t>，通过</w:t>
      </w:r>
      <w:r>
        <w:rPr>
          <w:rFonts w:hint="eastAsia" w:ascii="宋体" w:hAnsi="宋体"/>
          <w:sz w:val="24"/>
        </w:rPr>
        <w:t>1</w:t>
      </w:r>
      <w:r>
        <w:rPr>
          <w:rFonts w:ascii="宋体" w:hAnsi="宋体"/>
          <w:sz w:val="24"/>
        </w:rPr>
        <w:t>m</w:t>
      </w:r>
      <w:r>
        <w:rPr>
          <w:rFonts w:ascii="宋体" w:hAnsi="宋体"/>
          <w:sz w:val="24"/>
          <w:vertAlign w:val="superscript"/>
        </w:rPr>
        <w:t>3</w:t>
      </w:r>
      <w:r>
        <w:rPr>
          <w:rFonts w:ascii="宋体" w:hAnsi="宋体"/>
          <w:sz w:val="24"/>
        </w:rPr>
        <w:t>挖掘机进行采掘</w:t>
      </w:r>
      <w:r>
        <w:rPr>
          <w:rFonts w:hint="eastAsia" w:ascii="宋体" w:hAnsi="宋体"/>
          <w:sz w:val="24"/>
        </w:rPr>
        <w:t>，装载机铲</w:t>
      </w:r>
      <w:r>
        <w:rPr>
          <w:rFonts w:ascii="宋体" w:hAnsi="宋体"/>
          <w:sz w:val="24"/>
        </w:rPr>
        <w:t>装入</w:t>
      </w:r>
      <w:r>
        <w:rPr>
          <w:rFonts w:hint="eastAsia" w:ascii="宋体" w:hAnsi="宋体"/>
          <w:sz w:val="24"/>
        </w:rPr>
        <w:t>20</w:t>
      </w:r>
      <w:r>
        <w:rPr>
          <w:rFonts w:ascii="宋体" w:hAnsi="宋体"/>
          <w:sz w:val="24"/>
        </w:rPr>
        <w:t>t自卸汽车运输</w:t>
      </w:r>
      <w:r>
        <w:rPr>
          <w:rFonts w:hint="eastAsia" w:ascii="宋体" w:hAnsi="宋体"/>
          <w:sz w:val="24"/>
        </w:rPr>
        <w:t>。对于大块矿石进行二次机械破碎，装车后由自卸汽车运往破碎站。</w:t>
      </w:r>
    </w:p>
    <w:p>
      <w:pPr>
        <w:tabs>
          <w:tab w:val="left" w:pos="945"/>
        </w:tabs>
        <w:spacing w:line="360" w:lineRule="auto"/>
        <w:ind w:firstLine="480" w:firstLineChars="200"/>
        <w:rPr>
          <w:rFonts w:ascii="宋体" w:hAnsi="宋体"/>
          <w:sz w:val="24"/>
        </w:rPr>
      </w:pPr>
      <w:r>
        <w:rPr>
          <w:rFonts w:hint="eastAsia" w:ascii="宋体" w:hAnsi="宋体"/>
          <w:sz w:val="24"/>
        </w:rPr>
        <w:t>采矿工艺顺序为：穿孔－爆破－二次破碎一装载一运输一加工（筛分）一外运。</w:t>
      </w:r>
    </w:p>
    <w:p>
      <w:pPr>
        <w:numPr>
          <w:ilvl w:val="2"/>
          <w:numId w:val="2"/>
        </w:numPr>
        <w:tabs>
          <w:tab w:val="left" w:pos="945"/>
        </w:tabs>
        <w:spacing w:line="360" w:lineRule="auto"/>
        <w:outlineLvl w:val="2"/>
        <w:rPr>
          <w:rFonts w:ascii="宋体"/>
          <w:b/>
          <w:bCs/>
          <w:sz w:val="28"/>
          <w:szCs w:val="28"/>
        </w:rPr>
      </w:pPr>
      <w:r>
        <w:rPr>
          <w:rFonts w:ascii="宋体"/>
          <w:b/>
          <w:bCs/>
          <w:sz w:val="28"/>
          <w:szCs w:val="28"/>
        </w:rPr>
        <w:t>剥离工作</w:t>
      </w:r>
    </w:p>
    <w:p>
      <w:pPr>
        <w:spacing w:line="360" w:lineRule="auto"/>
        <w:ind w:firstLine="480" w:firstLineChars="200"/>
        <w:rPr>
          <w:rFonts w:ascii="宋体" w:hAnsi="宋体"/>
          <w:sz w:val="24"/>
        </w:rPr>
      </w:pPr>
      <w:r>
        <w:rPr>
          <w:rFonts w:hint="eastAsia" w:ascii="宋体" w:hAnsi="宋体"/>
          <w:sz w:val="24"/>
        </w:rPr>
        <w:t>本矿山的剥离量，剥离围岩、表土除用于回填复垦、矿区道路、工业场地填方、附近民房地基的修建外，其余全部运至底部装矿平台，由运输车辆运至排土场，合理填埋。</w:t>
      </w:r>
    </w:p>
    <w:bookmarkEnd w:id="148"/>
    <w:bookmarkEnd w:id="149"/>
    <w:bookmarkEnd w:id="150"/>
    <w:bookmarkEnd w:id="151"/>
    <w:bookmarkEnd w:id="152"/>
    <w:p>
      <w:pPr>
        <w:numPr>
          <w:ilvl w:val="2"/>
          <w:numId w:val="2"/>
        </w:numPr>
        <w:spacing w:line="360" w:lineRule="auto"/>
        <w:outlineLvl w:val="2"/>
        <w:rPr>
          <w:rFonts w:ascii="宋体"/>
          <w:b/>
          <w:bCs/>
          <w:sz w:val="28"/>
          <w:szCs w:val="28"/>
        </w:rPr>
      </w:pPr>
      <w:bookmarkStart w:id="156" w:name="_Toc301451905"/>
      <w:bookmarkStart w:id="157" w:name="_Toc289175844"/>
      <w:bookmarkStart w:id="158" w:name="_Toc267813786"/>
      <w:bookmarkStart w:id="159" w:name="_Toc267813307"/>
      <w:bookmarkStart w:id="160" w:name="_Toc289793119"/>
      <w:bookmarkStart w:id="161" w:name="_Toc403027844"/>
      <w:bookmarkStart w:id="162" w:name="_Toc289359691"/>
      <w:bookmarkStart w:id="163" w:name="_Toc343030099"/>
      <w:bookmarkStart w:id="164" w:name="_Toc403027765"/>
      <w:r>
        <w:rPr>
          <w:rFonts w:hint="eastAsia" w:ascii="宋体"/>
          <w:b/>
          <w:bCs/>
          <w:sz w:val="28"/>
          <w:szCs w:val="28"/>
        </w:rPr>
        <w:t>穿孔、凿岩工作</w:t>
      </w:r>
    </w:p>
    <w:p>
      <w:pPr>
        <w:spacing w:line="360" w:lineRule="auto"/>
        <w:ind w:firstLine="480" w:firstLineChars="200"/>
        <w:rPr>
          <w:rFonts w:ascii="宋体" w:hAnsi="宋体"/>
          <w:sz w:val="24"/>
        </w:rPr>
      </w:pPr>
      <w:r>
        <w:rPr>
          <w:rFonts w:hint="eastAsia" w:ascii="宋体" w:hAnsi="宋体"/>
          <w:sz w:val="24"/>
        </w:rPr>
        <w:t>按1万</w:t>
      </w:r>
      <w:r>
        <w:rPr>
          <w:rFonts w:hint="eastAsia" w:ascii="宋体" w:hAnsi="宋体" w:cs="宋体"/>
          <w:sz w:val="24"/>
        </w:rPr>
        <w:t>m</w:t>
      </w:r>
      <w:r>
        <w:rPr>
          <w:rFonts w:hint="eastAsia" w:ascii="宋体" w:hAnsi="宋体" w:cs="宋体"/>
          <w:sz w:val="24"/>
          <w:vertAlign w:val="superscript"/>
        </w:rPr>
        <w:t>3</w:t>
      </w:r>
      <w:r>
        <w:rPr>
          <w:rFonts w:hint="eastAsia" w:ascii="宋体" w:hAnsi="宋体"/>
          <w:sz w:val="24"/>
        </w:rPr>
        <w:t>/年的矿山采剥总量计算，年需穿孔总量约1000m左右。</w:t>
      </w:r>
    </w:p>
    <w:p>
      <w:pPr>
        <w:spacing w:line="360" w:lineRule="auto"/>
        <w:ind w:firstLine="480" w:firstLineChars="200"/>
        <w:rPr>
          <w:rFonts w:ascii="宋体" w:hAnsi="宋体"/>
          <w:sz w:val="24"/>
        </w:rPr>
      </w:pPr>
      <w:r>
        <w:rPr>
          <w:rFonts w:hint="eastAsia" w:ascii="宋体" w:hAnsi="宋体"/>
          <w:sz w:val="24"/>
        </w:rPr>
        <w:t>选用潜孔钻机1台（自带10m</w:t>
      </w:r>
      <w:r>
        <w:rPr>
          <w:rFonts w:hint="eastAsia" w:ascii="宋体" w:hAnsi="宋体"/>
          <w:sz w:val="24"/>
          <w:vertAlign w:val="superscript"/>
        </w:rPr>
        <w:t>3</w:t>
      </w:r>
      <w:r>
        <w:rPr>
          <w:rFonts w:hint="eastAsia" w:ascii="宋体" w:hAnsi="宋体"/>
          <w:sz w:val="24"/>
        </w:rPr>
        <w:t>空压机），钻孔直径80mm，根据实际生产经验，潜孔钻机台班穿孔效率为40m/台班，台年穿孔能力为8000m。潜孔钻机的穿孔能力能够满足生产规模要求。</w:t>
      </w:r>
    </w:p>
    <w:p>
      <w:pPr>
        <w:numPr>
          <w:ilvl w:val="2"/>
          <w:numId w:val="2"/>
        </w:numPr>
        <w:spacing w:line="360" w:lineRule="auto"/>
        <w:outlineLvl w:val="2"/>
        <w:rPr>
          <w:rFonts w:ascii="宋体"/>
          <w:b/>
          <w:bCs/>
          <w:sz w:val="28"/>
          <w:szCs w:val="28"/>
        </w:rPr>
      </w:pPr>
      <w:r>
        <w:rPr>
          <w:rFonts w:hint="eastAsia" w:ascii="宋体"/>
          <w:b/>
          <w:bCs/>
          <w:sz w:val="28"/>
          <w:szCs w:val="28"/>
        </w:rPr>
        <w:t>爆破工作</w:t>
      </w:r>
    </w:p>
    <w:p>
      <w:pPr>
        <w:spacing w:line="360" w:lineRule="auto"/>
        <w:ind w:firstLine="480" w:firstLineChars="200"/>
        <w:rPr>
          <w:rFonts w:ascii="宋体" w:hAnsi="宋体"/>
          <w:sz w:val="24"/>
        </w:rPr>
      </w:pPr>
      <w:r>
        <w:rPr>
          <w:rFonts w:hint="eastAsia" w:ascii="宋体" w:hAnsi="宋体"/>
          <w:sz w:val="24"/>
        </w:rPr>
        <w:t>因为该矿山属于小型矿山，爆破工作需请民爆公司。</w:t>
      </w:r>
    </w:p>
    <w:p>
      <w:pPr>
        <w:spacing w:line="360" w:lineRule="auto"/>
        <w:ind w:firstLine="482" w:firstLineChars="200"/>
        <w:rPr>
          <w:rFonts w:ascii="宋体" w:hAnsi="宋体"/>
          <w:b/>
          <w:bCs/>
          <w:sz w:val="24"/>
        </w:rPr>
      </w:pPr>
      <w:r>
        <w:rPr>
          <w:rFonts w:hint="eastAsia" w:ascii="宋体" w:hAnsi="宋体"/>
          <w:b/>
          <w:bCs/>
          <w:sz w:val="24"/>
        </w:rPr>
        <w:t>1、深孔爆破主要参数</w:t>
      </w:r>
    </w:p>
    <w:p>
      <w:pPr>
        <w:spacing w:line="360" w:lineRule="auto"/>
        <w:ind w:firstLine="480" w:firstLineChars="200"/>
        <w:rPr>
          <w:rFonts w:ascii="宋体" w:hAnsi="宋体"/>
          <w:color w:val="auto"/>
          <w:sz w:val="24"/>
        </w:rPr>
      </w:pPr>
      <w:r>
        <w:rPr>
          <w:rFonts w:hint="eastAsia" w:ascii="宋体" w:hAnsi="宋体"/>
          <w:color w:val="auto"/>
          <w:sz w:val="24"/>
        </w:rPr>
        <w:t>台阶高度H=10m；</w:t>
      </w:r>
    </w:p>
    <w:p>
      <w:pPr>
        <w:spacing w:line="360" w:lineRule="auto"/>
        <w:ind w:firstLine="480" w:firstLineChars="200"/>
        <w:rPr>
          <w:rFonts w:ascii="宋体" w:hAnsi="宋体"/>
          <w:color w:val="auto"/>
          <w:sz w:val="24"/>
        </w:rPr>
      </w:pPr>
      <w:r>
        <w:rPr>
          <w:rFonts w:hint="eastAsia" w:ascii="宋体" w:hAnsi="宋体"/>
          <w:color w:val="auto"/>
          <w:sz w:val="24"/>
        </w:rPr>
        <w:t>工作台阶坡面角a=70°；</w:t>
      </w:r>
    </w:p>
    <w:p>
      <w:pPr>
        <w:spacing w:line="360" w:lineRule="auto"/>
        <w:ind w:firstLine="480" w:firstLineChars="200"/>
        <w:rPr>
          <w:rFonts w:ascii="宋体" w:hAnsi="宋体"/>
          <w:color w:val="auto"/>
          <w:sz w:val="24"/>
        </w:rPr>
      </w:pPr>
      <w:r>
        <w:rPr>
          <w:rFonts w:hint="eastAsia" w:ascii="宋体" w:hAnsi="宋体"/>
          <w:color w:val="auto"/>
          <w:sz w:val="24"/>
        </w:rPr>
        <w:t>炮孔深度L=12.7m；</w:t>
      </w:r>
    </w:p>
    <w:p>
      <w:pPr>
        <w:spacing w:line="360" w:lineRule="auto"/>
        <w:ind w:firstLine="480" w:firstLineChars="200"/>
        <w:rPr>
          <w:rFonts w:ascii="宋体" w:hAnsi="宋体"/>
          <w:color w:val="auto"/>
          <w:sz w:val="24"/>
        </w:rPr>
      </w:pPr>
      <w:r>
        <w:rPr>
          <w:rFonts w:hint="eastAsia" w:ascii="宋体" w:hAnsi="宋体"/>
          <w:color w:val="auto"/>
          <w:sz w:val="24"/>
        </w:rPr>
        <w:t>炮孔直径d=80mm；</w:t>
      </w:r>
    </w:p>
    <w:p>
      <w:pPr>
        <w:spacing w:line="360" w:lineRule="auto"/>
        <w:ind w:firstLine="480" w:firstLineChars="200"/>
        <w:rPr>
          <w:rFonts w:ascii="宋体" w:hAnsi="宋体"/>
          <w:color w:val="auto"/>
          <w:sz w:val="24"/>
        </w:rPr>
      </w:pPr>
      <w:r>
        <w:rPr>
          <w:rFonts w:hint="eastAsia" w:ascii="宋体" w:hAnsi="宋体"/>
          <w:color w:val="auto"/>
          <w:sz w:val="24"/>
        </w:rPr>
        <w:t>底盘抵抗线w=6.0m；</w:t>
      </w:r>
    </w:p>
    <w:p>
      <w:pPr>
        <w:spacing w:line="360" w:lineRule="auto"/>
        <w:ind w:firstLine="480" w:firstLineChars="200"/>
        <w:rPr>
          <w:rFonts w:ascii="宋体" w:hAnsi="宋体"/>
          <w:color w:val="auto"/>
          <w:sz w:val="24"/>
        </w:rPr>
      </w:pPr>
      <w:r>
        <w:rPr>
          <w:rFonts w:hint="eastAsia" w:ascii="宋体" w:hAnsi="宋体"/>
          <w:color w:val="auto"/>
          <w:sz w:val="24"/>
        </w:rPr>
        <w:t>孔间距a=3.0m；</w:t>
      </w:r>
    </w:p>
    <w:p>
      <w:pPr>
        <w:spacing w:line="360" w:lineRule="auto"/>
        <w:ind w:firstLine="480" w:firstLineChars="200"/>
        <w:rPr>
          <w:rFonts w:hint="eastAsia" w:ascii="宋体" w:hAnsi="宋体"/>
          <w:color w:val="auto"/>
          <w:sz w:val="24"/>
        </w:rPr>
      </w:pPr>
      <w:r>
        <w:rPr>
          <w:rFonts w:hint="eastAsia" w:ascii="宋体" w:hAnsi="宋体"/>
          <w:color w:val="auto"/>
          <w:sz w:val="24"/>
        </w:rPr>
        <w:t>排间距b=2.6m；</w:t>
      </w:r>
    </w:p>
    <w:p>
      <w:pPr>
        <w:spacing w:line="360" w:lineRule="auto"/>
        <w:ind w:firstLine="480" w:firstLineChars="200"/>
        <w:rPr>
          <w:rFonts w:hint="eastAsia" w:ascii="宋体" w:hAnsi="宋体"/>
          <w:color w:val="auto"/>
          <w:sz w:val="24"/>
        </w:rPr>
      </w:pPr>
      <w:r>
        <w:rPr>
          <w:rFonts w:hint="eastAsia" w:ascii="宋体" w:hAnsi="宋体"/>
          <w:color w:val="auto"/>
          <w:sz w:val="24"/>
        </w:rPr>
        <w:t>堵塞长度L</w:t>
      </w:r>
      <w:r>
        <w:rPr>
          <w:rFonts w:hint="eastAsia" w:ascii="宋体" w:hAnsi="宋体"/>
          <w:color w:val="auto"/>
          <w:sz w:val="24"/>
          <w:vertAlign w:val="subscript"/>
        </w:rPr>
        <w:t>2</w:t>
      </w:r>
      <w:r>
        <w:rPr>
          <w:rFonts w:hint="eastAsia" w:ascii="宋体" w:hAnsi="宋体"/>
          <w:color w:val="auto"/>
          <w:sz w:val="24"/>
        </w:rPr>
        <w:t>=5.4m</w:t>
      </w:r>
    </w:p>
    <w:p>
      <w:pPr>
        <w:spacing w:line="360" w:lineRule="auto"/>
        <w:ind w:firstLine="480" w:firstLineChars="200"/>
        <w:rPr>
          <w:rFonts w:hint="eastAsia" w:ascii="宋体" w:hAnsi="宋体"/>
          <w:color w:val="auto"/>
          <w:sz w:val="24"/>
        </w:rPr>
      </w:pPr>
      <w:r>
        <w:rPr>
          <w:rFonts w:hint="eastAsia" w:ascii="宋体" w:hAnsi="宋体"/>
          <w:color w:val="auto"/>
          <w:sz w:val="24"/>
        </w:rPr>
        <w:t>超深  h=2.1m</w:t>
      </w:r>
    </w:p>
    <w:p>
      <w:pPr>
        <w:spacing w:line="360" w:lineRule="auto"/>
        <w:ind w:firstLine="480" w:firstLineChars="200"/>
        <w:rPr>
          <w:rFonts w:ascii="宋体" w:hAnsi="宋体"/>
          <w:sz w:val="24"/>
        </w:rPr>
      </w:pPr>
      <w:r>
        <w:rPr>
          <w:rFonts w:hint="eastAsia" w:ascii="宋体" w:hAnsi="宋体"/>
          <w:sz w:val="24"/>
        </w:rPr>
        <w:t>以上数据仅供参考，根据矿山实际爆破效果可作适当调整，使爆破达到最佳效果。</w:t>
      </w:r>
    </w:p>
    <w:p>
      <w:pPr>
        <w:spacing w:line="360" w:lineRule="auto"/>
        <w:ind w:firstLine="482" w:firstLineChars="200"/>
        <w:rPr>
          <w:rFonts w:ascii="宋体" w:hAnsi="宋体"/>
          <w:b/>
          <w:bCs/>
          <w:sz w:val="24"/>
        </w:rPr>
      </w:pPr>
      <w:r>
        <w:rPr>
          <w:rFonts w:hint="eastAsia" w:ascii="宋体" w:hAnsi="宋体"/>
          <w:b/>
          <w:bCs/>
          <w:sz w:val="24"/>
        </w:rPr>
        <w:t>2、炮孔布置</w:t>
      </w:r>
    </w:p>
    <w:p>
      <w:pPr>
        <w:spacing w:line="360" w:lineRule="auto"/>
        <w:ind w:firstLine="480" w:firstLineChars="200"/>
        <w:rPr>
          <w:rFonts w:ascii="宋体" w:hAnsi="宋体"/>
          <w:sz w:val="24"/>
        </w:rPr>
      </w:pPr>
      <w:r>
        <w:rPr>
          <w:rFonts w:hint="eastAsia" w:ascii="宋体" w:hAnsi="宋体"/>
          <w:sz w:val="24"/>
        </w:rPr>
        <w:t>布孔方式分为单排布孔与多排布孔两种方式。如单次爆破量较少，且是沿边坡布孔时，可采用单排孔；单次爆破量较大，则采用多排交错（梅花型）布孔方式。</w:t>
      </w:r>
    </w:p>
    <w:p>
      <w:pPr>
        <w:spacing w:line="360" w:lineRule="auto"/>
        <w:ind w:firstLine="482" w:firstLineChars="200"/>
        <w:rPr>
          <w:rFonts w:ascii="宋体" w:hAnsi="宋体"/>
          <w:b/>
          <w:bCs/>
          <w:sz w:val="24"/>
        </w:rPr>
      </w:pPr>
      <w:r>
        <w:rPr>
          <w:rFonts w:hint="eastAsia" w:ascii="宋体" w:hAnsi="宋体"/>
          <w:b/>
          <w:bCs/>
          <w:sz w:val="24"/>
        </w:rPr>
        <w:t>3、联线与起爆顺序</w:t>
      </w:r>
    </w:p>
    <w:p>
      <w:pPr>
        <w:spacing w:line="360" w:lineRule="auto"/>
        <w:ind w:firstLine="480" w:firstLineChars="200"/>
        <w:rPr>
          <w:rFonts w:ascii="宋体" w:hAnsi="宋体"/>
          <w:sz w:val="24"/>
        </w:rPr>
      </w:pPr>
      <w:r>
        <w:rPr>
          <w:rFonts w:hint="eastAsia" w:ascii="宋体" w:hAnsi="宋体"/>
          <w:sz w:val="24"/>
        </w:rPr>
        <w:t>因为该矿山属于小型露天采石场，爆破工作推荐民爆公司处理。</w:t>
      </w:r>
    </w:p>
    <w:p>
      <w:pPr>
        <w:spacing w:line="360" w:lineRule="auto"/>
        <w:ind w:firstLine="482" w:firstLineChars="200"/>
        <w:rPr>
          <w:rFonts w:ascii="宋体" w:hAnsi="宋体"/>
          <w:b/>
          <w:bCs/>
          <w:sz w:val="24"/>
        </w:rPr>
      </w:pPr>
      <w:r>
        <w:rPr>
          <w:rFonts w:hint="eastAsia" w:ascii="宋体" w:hAnsi="宋体"/>
          <w:b/>
          <w:bCs/>
          <w:sz w:val="24"/>
        </w:rPr>
        <w:t>4、爆破安全距离</w:t>
      </w:r>
    </w:p>
    <w:p>
      <w:pPr>
        <w:spacing w:line="360" w:lineRule="auto"/>
        <w:ind w:firstLine="480" w:firstLineChars="200"/>
        <w:rPr>
          <w:rFonts w:ascii="宋体" w:hAnsi="宋体"/>
          <w:sz w:val="24"/>
        </w:rPr>
      </w:pPr>
      <w:r>
        <w:rPr>
          <w:rFonts w:hint="eastAsia" w:ascii="宋体" w:hAnsi="宋体"/>
          <w:sz w:val="24"/>
        </w:rPr>
        <w:t>本矿山为山坡露天矿，开采过程中采取控制爆破等安全防范措施，根据同类矿山的经验，设计爆破安全距离确定为300m，若小于该安全距离，危险地带应采取爆破面覆盖、改变爆破方向等保护措施，减少石块的飞行距离。</w:t>
      </w:r>
    </w:p>
    <w:p>
      <w:pPr>
        <w:spacing w:line="360" w:lineRule="auto"/>
        <w:ind w:firstLine="482" w:firstLineChars="200"/>
        <w:rPr>
          <w:rFonts w:ascii="宋体" w:hAnsi="宋体"/>
          <w:b/>
          <w:bCs/>
          <w:sz w:val="24"/>
        </w:rPr>
      </w:pPr>
      <w:r>
        <w:rPr>
          <w:rFonts w:hint="eastAsia" w:ascii="宋体" w:hAnsi="宋体"/>
          <w:b/>
          <w:bCs/>
          <w:sz w:val="24"/>
        </w:rPr>
        <w:t>5、炸药消耗</w:t>
      </w:r>
    </w:p>
    <w:p>
      <w:pPr>
        <w:spacing w:line="360" w:lineRule="auto"/>
        <w:ind w:firstLine="480" w:firstLineChars="200"/>
        <w:rPr>
          <w:rFonts w:ascii="宋体" w:hAnsi="宋体"/>
          <w:sz w:val="24"/>
        </w:rPr>
      </w:pPr>
      <w:r>
        <w:rPr>
          <w:rFonts w:hint="eastAsia" w:ascii="宋体" w:hAnsi="宋体"/>
          <w:sz w:val="24"/>
        </w:rPr>
        <w:t>设计采用硝铵炸药爆破，根据矿石物理力学性能确定的单位炸药消耗量为0.30kg/m</w:t>
      </w:r>
      <w:r>
        <w:rPr>
          <w:rFonts w:hint="eastAsia" w:ascii="宋体" w:hAnsi="宋体"/>
          <w:sz w:val="24"/>
          <w:vertAlign w:val="superscript"/>
        </w:rPr>
        <w:t>3</w:t>
      </w:r>
      <w:r>
        <w:rPr>
          <w:rFonts w:hint="eastAsia" w:ascii="宋体" w:hAnsi="宋体"/>
          <w:sz w:val="24"/>
        </w:rPr>
        <w:t>。表3-3开采水平+2475～+2502三个台阶总设计矿石量为18.89万m</w:t>
      </w:r>
      <w:r>
        <w:rPr>
          <w:rFonts w:hint="eastAsia" w:ascii="宋体" w:hAnsi="宋体"/>
          <w:sz w:val="24"/>
          <w:vertAlign w:val="superscript"/>
        </w:rPr>
        <w:t>3</w:t>
      </w:r>
      <w:r>
        <w:rPr>
          <w:rFonts w:hint="eastAsia" w:ascii="宋体" w:hAnsi="宋体"/>
          <w:sz w:val="24"/>
        </w:rPr>
        <w:t>，其中需要爆破矿石量取1/3约</w:t>
      </w:r>
      <w:r>
        <w:rPr>
          <w:rFonts w:hint="eastAsia" w:ascii="宋体" w:hAnsi="宋体"/>
          <w:color w:val="auto"/>
          <w:sz w:val="24"/>
        </w:rPr>
        <w:t>6万m</w:t>
      </w:r>
      <w:r>
        <w:rPr>
          <w:rFonts w:hint="eastAsia" w:ascii="宋体" w:hAnsi="宋体"/>
          <w:color w:val="auto"/>
          <w:sz w:val="24"/>
          <w:vertAlign w:val="superscript"/>
        </w:rPr>
        <w:t>3</w:t>
      </w:r>
      <w:r>
        <w:rPr>
          <w:rFonts w:hint="eastAsia" w:ascii="宋体" w:hAnsi="宋体"/>
          <w:color w:val="auto"/>
          <w:sz w:val="24"/>
        </w:rPr>
        <w:t>，开采消耗炸药总量约为18t。</w:t>
      </w:r>
    </w:p>
    <w:p>
      <w:pPr>
        <w:spacing w:line="360" w:lineRule="auto"/>
        <w:jc w:val="center"/>
        <w:rPr>
          <w:rFonts w:ascii="宋体" w:hAnsi="宋体"/>
          <w:sz w:val="24"/>
        </w:rPr>
      </w:pPr>
      <w:r>
        <w:rPr>
          <w:rFonts w:ascii="宋体" w:hAnsi="宋体"/>
          <w:sz w:val="24"/>
        </w:rPr>
        <w:pict>
          <v:shape id="_x0000_i1026" o:spt="75" alt="QQ截图20160830185703" type="#_x0000_t75" style="height:178.15pt;width:417.95pt;" filled="f" o:preferrelative="t" stroked="f" coordsize="21600,21600">
            <v:path/>
            <v:fill on="f" focussize="0,0"/>
            <v:stroke on="f" joinstyle="miter"/>
            <v:imagedata r:id="rId13" o:title="QQ截图20160830185703"/>
            <o:lock v:ext="edit" aspectratio="t"/>
            <w10:wrap type="none"/>
            <w10:anchorlock/>
          </v:shape>
        </w:pict>
      </w:r>
    </w:p>
    <w:p>
      <w:pPr>
        <w:spacing w:line="360" w:lineRule="auto"/>
        <w:jc w:val="center"/>
        <w:rPr>
          <w:rFonts w:ascii="宋体" w:hAnsi="宋体"/>
          <w:sz w:val="24"/>
        </w:rPr>
      </w:pPr>
      <w:r>
        <w:rPr>
          <w:rFonts w:hint="eastAsia" w:ascii="宋体" w:hAnsi="宋体"/>
          <w:b/>
          <w:szCs w:val="21"/>
        </w:rPr>
        <w:t>图5-1   起爆网络图</w:t>
      </w:r>
    </w:p>
    <w:p>
      <w:pPr>
        <w:numPr>
          <w:ilvl w:val="2"/>
          <w:numId w:val="2"/>
        </w:numPr>
        <w:spacing w:line="360" w:lineRule="auto"/>
        <w:outlineLvl w:val="2"/>
        <w:rPr>
          <w:rFonts w:ascii="宋体"/>
          <w:b/>
          <w:bCs/>
          <w:sz w:val="28"/>
          <w:szCs w:val="28"/>
        </w:rPr>
      </w:pPr>
      <w:r>
        <w:rPr>
          <w:rFonts w:hint="eastAsia" w:ascii="宋体"/>
          <w:b/>
          <w:bCs/>
          <w:sz w:val="28"/>
          <w:szCs w:val="28"/>
        </w:rPr>
        <w:t>二次破碎</w:t>
      </w:r>
    </w:p>
    <w:p>
      <w:pPr>
        <w:spacing w:line="360" w:lineRule="auto"/>
        <w:ind w:firstLine="480" w:firstLineChars="200"/>
        <w:rPr>
          <w:rFonts w:ascii="宋体" w:hAnsi="宋体"/>
          <w:bCs/>
          <w:sz w:val="24"/>
        </w:rPr>
      </w:pPr>
      <w:r>
        <w:rPr>
          <w:rFonts w:hint="eastAsia" w:ascii="宋体" w:hAnsi="宋体"/>
          <w:bCs/>
          <w:sz w:val="24"/>
        </w:rPr>
        <w:t>由于采用微差挤压爆破，爆破后的大块率较小，出现的个别大块采用液压破碎锤进行二次破碎，以满足装运的要求。</w:t>
      </w:r>
    </w:p>
    <w:p>
      <w:pPr>
        <w:numPr>
          <w:ilvl w:val="2"/>
          <w:numId w:val="2"/>
        </w:numPr>
        <w:spacing w:line="360" w:lineRule="auto"/>
        <w:outlineLvl w:val="2"/>
        <w:rPr>
          <w:rFonts w:ascii="宋体"/>
          <w:b/>
          <w:bCs/>
          <w:sz w:val="28"/>
          <w:szCs w:val="28"/>
        </w:rPr>
      </w:pPr>
      <w:r>
        <w:rPr>
          <w:rFonts w:hint="eastAsia" w:ascii="宋体"/>
          <w:b/>
          <w:bCs/>
          <w:sz w:val="28"/>
          <w:szCs w:val="28"/>
        </w:rPr>
        <w:t>采装作业</w:t>
      </w:r>
    </w:p>
    <w:p>
      <w:pPr>
        <w:spacing w:line="360" w:lineRule="auto"/>
        <w:ind w:firstLine="480" w:firstLineChars="200"/>
        <w:rPr>
          <w:rFonts w:ascii="宋体" w:hAnsi="宋体"/>
          <w:kern w:val="10"/>
          <w:sz w:val="24"/>
        </w:rPr>
      </w:pPr>
      <w:r>
        <w:rPr>
          <w:rFonts w:hint="eastAsia" w:ascii="宋体" w:hAnsi="宋体"/>
          <w:kern w:val="10"/>
          <w:sz w:val="24"/>
        </w:rPr>
        <w:t>本矿山生产规模小，设置1个开采工作面工作。釆矿及装载选用1台PC220-8M0型液压挖掘机。同时可进行工作面清理等辅助作业。</w:t>
      </w:r>
    </w:p>
    <w:p>
      <w:pPr>
        <w:numPr>
          <w:ilvl w:val="2"/>
          <w:numId w:val="2"/>
        </w:numPr>
        <w:spacing w:line="360" w:lineRule="auto"/>
        <w:outlineLvl w:val="2"/>
        <w:rPr>
          <w:rFonts w:ascii="宋体"/>
          <w:b/>
          <w:bCs/>
          <w:sz w:val="28"/>
          <w:szCs w:val="28"/>
        </w:rPr>
      </w:pPr>
      <w:r>
        <w:rPr>
          <w:rFonts w:hint="eastAsia" w:ascii="宋体"/>
          <w:b/>
          <w:bCs/>
          <w:sz w:val="28"/>
          <w:szCs w:val="28"/>
        </w:rPr>
        <w:t>运输作业</w:t>
      </w:r>
    </w:p>
    <w:p>
      <w:pPr>
        <w:spacing w:line="360" w:lineRule="auto"/>
        <w:ind w:firstLine="480" w:firstLineChars="200"/>
        <w:rPr>
          <w:rFonts w:ascii="宋体" w:hAnsi="宋体"/>
          <w:kern w:val="10"/>
          <w:sz w:val="24"/>
        </w:rPr>
      </w:pPr>
      <w:bookmarkStart w:id="165" w:name="_Toc364440431"/>
      <w:bookmarkStart w:id="166" w:name="_Toc10274"/>
      <w:bookmarkStart w:id="167" w:name="_Toc249115586"/>
      <w:bookmarkStart w:id="168" w:name="_Toc456610949"/>
      <w:r>
        <w:rPr>
          <w:rFonts w:hint="eastAsia" w:ascii="宋体" w:hAnsi="宋体"/>
          <w:kern w:val="10"/>
          <w:sz w:val="24"/>
        </w:rPr>
        <w:t>釆矿选用1台PC220-8M0型液压挖掘机，负责挖掘及装载工作；选用东风30t自卸车2台，负责运输工作。</w:t>
      </w:r>
    </w:p>
    <w:p>
      <w:pPr>
        <w:spacing w:line="360" w:lineRule="auto"/>
        <w:ind w:firstLine="480" w:firstLineChars="200"/>
        <w:rPr>
          <w:rFonts w:ascii="宋体" w:hAnsi="宋体"/>
          <w:b/>
          <w:bCs/>
        </w:rPr>
      </w:pPr>
      <w:r>
        <w:rPr>
          <w:rFonts w:hint="eastAsia" w:ascii="宋体" w:hAnsi="宋体"/>
          <w:kern w:val="10"/>
          <w:sz w:val="24"/>
        </w:rPr>
        <w:t>根据汽车平均行驶速度、运输距离、卸车时间，台车运输能力约105m</w:t>
      </w:r>
      <w:r>
        <w:rPr>
          <w:rFonts w:hint="eastAsia" w:ascii="宋体" w:hAnsi="宋体"/>
          <w:kern w:val="10"/>
          <w:sz w:val="24"/>
          <w:vertAlign w:val="superscript"/>
        </w:rPr>
        <w:t>3</w:t>
      </w:r>
      <w:r>
        <w:rPr>
          <w:rFonts w:hint="eastAsia" w:ascii="宋体" w:hAnsi="宋体"/>
          <w:kern w:val="10"/>
          <w:sz w:val="24"/>
        </w:rPr>
        <w:t>/d，2台车年总运输能力为5.2万m</w:t>
      </w:r>
      <w:r>
        <w:rPr>
          <w:rFonts w:hint="eastAsia" w:ascii="宋体" w:hAnsi="宋体"/>
          <w:kern w:val="10"/>
          <w:sz w:val="24"/>
          <w:vertAlign w:val="superscript"/>
        </w:rPr>
        <w:t>3</w:t>
      </w:r>
      <w:r>
        <w:rPr>
          <w:rFonts w:hint="eastAsia" w:ascii="宋体" w:hAnsi="宋体"/>
          <w:kern w:val="10"/>
          <w:sz w:val="24"/>
        </w:rPr>
        <w:t>/a，大于4.2万m</w:t>
      </w:r>
      <w:r>
        <w:rPr>
          <w:rFonts w:hint="eastAsia" w:ascii="宋体" w:hAnsi="宋体"/>
          <w:kern w:val="10"/>
          <w:sz w:val="24"/>
          <w:vertAlign w:val="superscript"/>
        </w:rPr>
        <w:t>3</w:t>
      </w:r>
      <w:r>
        <w:rPr>
          <w:rFonts w:hint="eastAsia" w:ascii="宋体" w:hAnsi="宋体"/>
          <w:kern w:val="10"/>
          <w:sz w:val="24"/>
        </w:rPr>
        <w:t>/a，能够满足生产需要。</w:t>
      </w:r>
    </w:p>
    <w:p>
      <w:pPr>
        <w:numPr>
          <w:ilvl w:val="1"/>
          <w:numId w:val="2"/>
        </w:numPr>
        <w:spacing w:line="360" w:lineRule="auto"/>
        <w:outlineLvl w:val="1"/>
        <w:rPr>
          <w:rFonts w:ascii="宋体" w:hAnsi="宋体" w:cs="宋体"/>
          <w:b/>
          <w:bCs/>
          <w:color w:val="000000"/>
          <w:sz w:val="30"/>
          <w:szCs w:val="30"/>
        </w:rPr>
      </w:pPr>
      <w:bookmarkStart w:id="169" w:name="_Toc25536"/>
      <w:r>
        <w:rPr>
          <w:rFonts w:hint="eastAsia" w:ascii="宋体" w:hAnsi="宋体" w:cs="宋体"/>
          <w:b/>
          <w:bCs/>
          <w:color w:val="000000"/>
          <w:sz w:val="30"/>
          <w:szCs w:val="30"/>
        </w:rPr>
        <w:t>主要采矿设备</w:t>
      </w:r>
      <w:bookmarkEnd w:id="165"/>
      <w:bookmarkEnd w:id="166"/>
      <w:bookmarkEnd w:id="167"/>
      <w:bookmarkEnd w:id="168"/>
      <w:bookmarkEnd w:id="169"/>
    </w:p>
    <w:bookmarkEnd w:id="156"/>
    <w:bookmarkEnd w:id="157"/>
    <w:bookmarkEnd w:id="158"/>
    <w:bookmarkEnd w:id="159"/>
    <w:bookmarkEnd w:id="160"/>
    <w:bookmarkEnd w:id="161"/>
    <w:bookmarkEnd w:id="162"/>
    <w:bookmarkEnd w:id="163"/>
    <w:bookmarkEnd w:id="164"/>
    <w:p>
      <w:pPr>
        <w:adjustRightInd w:val="0"/>
        <w:snapToGrid w:val="0"/>
        <w:spacing w:line="360" w:lineRule="auto"/>
        <w:ind w:firstLine="480" w:firstLineChars="200"/>
        <w:rPr>
          <w:rFonts w:ascii="宋体" w:hAnsi="宋体"/>
          <w:sz w:val="24"/>
        </w:rPr>
      </w:pPr>
      <w:r>
        <w:rPr>
          <w:rFonts w:hint="eastAsia" w:ascii="宋体" w:hAnsi="宋体"/>
          <w:sz w:val="24"/>
        </w:rPr>
        <w:t>矿山属小型矿山，在满足矿山正常生产的情况下，尽量选用廉价且性能有保证的国产设备，</w:t>
      </w:r>
      <w:bookmarkStart w:id="170" w:name="OLE_LINK245"/>
      <w:bookmarkStart w:id="171" w:name="OLE_LINK244"/>
      <w:bookmarkStart w:id="172" w:name="OLE_LINK213"/>
      <w:r>
        <w:rPr>
          <w:rFonts w:hint="eastAsia" w:ascii="宋体" w:hAnsi="宋体"/>
          <w:sz w:val="24"/>
        </w:rPr>
        <w:t>主要采矿设备见表5-</w:t>
      </w:r>
      <w:bookmarkEnd w:id="170"/>
      <w:bookmarkEnd w:id="171"/>
      <w:r>
        <w:rPr>
          <w:rFonts w:hint="eastAsia" w:ascii="宋体" w:hAnsi="宋体"/>
          <w:sz w:val="24"/>
        </w:rPr>
        <w:t>3。</w:t>
      </w:r>
      <w:bookmarkEnd w:id="172"/>
    </w:p>
    <w:p>
      <w:pPr>
        <w:tabs>
          <w:tab w:val="left" w:pos="1440"/>
        </w:tabs>
        <w:ind w:firstLine="422" w:firstLineChars="200"/>
        <w:jc w:val="center"/>
        <w:rPr>
          <w:b/>
        </w:rPr>
      </w:pPr>
      <w:r>
        <w:rPr>
          <w:rFonts w:hint="eastAsia"/>
          <w:b/>
        </w:rPr>
        <w:t xml:space="preserve">表5-3   </w:t>
      </w:r>
      <w:r>
        <w:rPr>
          <w:b/>
        </w:rPr>
        <w:t>主要采矿设备表</w:t>
      </w:r>
    </w:p>
    <w:tbl>
      <w:tblPr>
        <w:tblStyle w:val="59"/>
        <w:tblW w:w="8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9"/>
        <w:gridCol w:w="2271"/>
        <w:gridCol w:w="1573"/>
        <w:gridCol w:w="1573"/>
        <w:gridCol w:w="1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649" w:type="dxa"/>
            <w:vAlign w:val="center"/>
          </w:tcPr>
          <w:p>
            <w:pPr>
              <w:jc w:val="center"/>
              <w:rPr>
                <w:rFonts w:asciiTheme="minorHAnsi"/>
                <w:szCs w:val="21"/>
              </w:rPr>
            </w:pPr>
            <w:r>
              <w:rPr>
                <w:rFonts w:asciiTheme="minorHAnsi"/>
                <w:szCs w:val="21"/>
              </w:rPr>
              <w:t>名称</w:t>
            </w:r>
          </w:p>
        </w:tc>
        <w:tc>
          <w:tcPr>
            <w:tcW w:w="2271" w:type="dxa"/>
            <w:vAlign w:val="center"/>
          </w:tcPr>
          <w:p>
            <w:pPr>
              <w:jc w:val="center"/>
              <w:rPr>
                <w:rFonts w:asciiTheme="minorHAnsi"/>
                <w:szCs w:val="21"/>
              </w:rPr>
            </w:pPr>
            <w:r>
              <w:rPr>
                <w:rFonts w:asciiTheme="minorHAnsi"/>
                <w:szCs w:val="21"/>
              </w:rPr>
              <w:t>规    格</w:t>
            </w:r>
          </w:p>
        </w:tc>
        <w:tc>
          <w:tcPr>
            <w:tcW w:w="1573" w:type="dxa"/>
            <w:vAlign w:val="center"/>
          </w:tcPr>
          <w:p>
            <w:pPr>
              <w:jc w:val="center"/>
              <w:rPr>
                <w:rFonts w:asciiTheme="minorHAnsi"/>
                <w:szCs w:val="21"/>
              </w:rPr>
            </w:pPr>
            <w:r>
              <w:rPr>
                <w:rFonts w:asciiTheme="minorHAnsi"/>
                <w:szCs w:val="21"/>
              </w:rPr>
              <w:t>单位</w:t>
            </w:r>
          </w:p>
        </w:tc>
        <w:tc>
          <w:tcPr>
            <w:tcW w:w="1573" w:type="dxa"/>
            <w:vAlign w:val="center"/>
          </w:tcPr>
          <w:p>
            <w:pPr>
              <w:jc w:val="center"/>
              <w:rPr>
                <w:rFonts w:asciiTheme="minorHAnsi"/>
                <w:szCs w:val="21"/>
              </w:rPr>
            </w:pPr>
            <w:r>
              <w:rPr>
                <w:rFonts w:asciiTheme="minorHAnsi"/>
                <w:szCs w:val="21"/>
              </w:rPr>
              <w:t>数量</w:t>
            </w:r>
          </w:p>
        </w:tc>
        <w:tc>
          <w:tcPr>
            <w:tcW w:w="1574" w:type="dxa"/>
            <w:vAlign w:val="center"/>
          </w:tcPr>
          <w:p>
            <w:pPr>
              <w:jc w:val="center"/>
              <w:rPr>
                <w:rFonts w:asciiTheme="minorHAnsi"/>
                <w:szCs w:val="21"/>
              </w:rPr>
            </w:pPr>
            <w:r>
              <w:rPr>
                <w:rFonts w:asciiTheme="minorHAnsi"/>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649" w:type="dxa"/>
            <w:shd w:val="clear" w:color="auto" w:fill="auto"/>
            <w:vAlign w:val="center"/>
          </w:tcPr>
          <w:p>
            <w:pPr>
              <w:jc w:val="center"/>
              <w:rPr>
                <w:rFonts w:asciiTheme="minorHAnsi"/>
                <w:szCs w:val="21"/>
              </w:rPr>
            </w:pPr>
            <w:r>
              <w:rPr>
                <w:rFonts w:hint="eastAsia" w:asciiTheme="minorHAnsi"/>
                <w:szCs w:val="21"/>
              </w:rPr>
              <w:t>挖掘机</w:t>
            </w:r>
          </w:p>
        </w:tc>
        <w:tc>
          <w:tcPr>
            <w:tcW w:w="2271" w:type="dxa"/>
            <w:shd w:val="clear" w:color="auto" w:fill="auto"/>
            <w:vAlign w:val="center"/>
          </w:tcPr>
          <w:p>
            <w:pPr>
              <w:jc w:val="center"/>
              <w:rPr>
                <w:rFonts w:asciiTheme="minorHAnsi"/>
                <w:szCs w:val="21"/>
              </w:rPr>
            </w:pPr>
            <w:r>
              <w:rPr>
                <w:rFonts w:hint="eastAsia" w:asciiTheme="minorHAnsi"/>
                <w:szCs w:val="21"/>
              </w:rPr>
              <w:t>PC220-8M0</w:t>
            </w:r>
          </w:p>
        </w:tc>
        <w:tc>
          <w:tcPr>
            <w:tcW w:w="1573" w:type="dxa"/>
            <w:shd w:val="clear" w:color="auto" w:fill="auto"/>
            <w:vAlign w:val="center"/>
          </w:tcPr>
          <w:p>
            <w:pPr>
              <w:jc w:val="center"/>
              <w:rPr>
                <w:rFonts w:asciiTheme="minorHAnsi"/>
                <w:szCs w:val="21"/>
              </w:rPr>
            </w:pPr>
            <w:r>
              <w:rPr>
                <w:rFonts w:hint="eastAsia" w:asciiTheme="minorHAnsi"/>
                <w:szCs w:val="21"/>
              </w:rPr>
              <w:t>台</w:t>
            </w:r>
          </w:p>
        </w:tc>
        <w:tc>
          <w:tcPr>
            <w:tcW w:w="1573" w:type="dxa"/>
            <w:shd w:val="clear" w:color="auto" w:fill="auto"/>
            <w:vAlign w:val="center"/>
          </w:tcPr>
          <w:p>
            <w:pPr>
              <w:jc w:val="center"/>
              <w:rPr>
                <w:rFonts w:asciiTheme="minorHAnsi"/>
                <w:szCs w:val="21"/>
              </w:rPr>
            </w:pPr>
            <w:r>
              <w:rPr>
                <w:rFonts w:hint="eastAsia" w:asciiTheme="minorHAnsi"/>
                <w:szCs w:val="21"/>
              </w:rPr>
              <w:t>1</w:t>
            </w:r>
          </w:p>
        </w:tc>
        <w:tc>
          <w:tcPr>
            <w:tcW w:w="1574" w:type="dxa"/>
            <w:shd w:val="clear" w:color="auto" w:fill="FFFFFF"/>
            <w:vAlign w:val="center"/>
          </w:tcPr>
          <w:p>
            <w:pPr>
              <w:jc w:val="center"/>
              <w:rPr>
                <w:rFonts w:asciiTheme="minorHAnsi"/>
                <w:szCs w:val="21"/>
              </w:rPr>
            </w:pPr>
            <w:r>
              <w:rPr>
                <w:rFonts w:hint="eastAsia" w:asciiTheme="minorHAnsi"/>
                <w:szCs w:val="21"/>
              </w:rPr>
              <w:t>租用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649" w:type="dxa"/>
            <w:shd w:val="clear" w:color="auto" w:fill="auto"/>
            <w:vAlign w:val="center"/>
          </w:tcPr>
          <w:p>
            <w:pPr>
              <w:jc w:val="center"/>
              <w:rPr>
                <w:rFonts w:asciiTheme="minorHAnsi"/>
                <w:szCs w:val="21"/>
              </w:rPr>
            </w:pPr>
            <w:r>
              <w:rPr>
                <w:rFonts w:hint="eastAsia" w:asciiTheme="minorHAnsi"/>
                <w:szCs w:val="21"/>
              </w:rPr>
              <w:t>装载机</w:t>
            </w:r>
          </w:p>
        </w:tc>
        <w:tc>
          <w:tcPr>
            <w:tcW w:w="2271" w:type="dxa"/>
            <w:shd w:val="clear" w:color="auto" w:fill="auto"/>
            <w:vAlign w:val="center"/>
          </w:tcPr>
          <w:p>
            <w:pPr>
              <w:jc w:val="center"/>
              <w:rPr>
                <w:rFonts w:asciiTheme="minorHAnsi"/>
                <w:szCs w:val="21"/>
              </w:rPr>
            </w:pPr>
            <w:r>
              <w:rPr>
                <w:rFonts w:hint="eastAsia" w:asciiTheme="minorHAnsi"/>
                <w:szCs w:val="21"/>
              </w:rPr>
              <w:t>ZL50</w:t>
            </w:r>
          </w:p>
        </w:tc>
        <w:tc>
          <w:tcPr>
            <w:tcW w:w="1573" w:type="dxa"/>
            <w:shd w:val="clear" w:color="auto" w:fill="auto"/>
            <w:vAlign w:val="center"/>
          </w:tcPr>
          <w:p>
            <w:pPr>
              <w:jc w:val="center"/>
              <w:rPr>
                <w:rFonts w:asciiTheme="minorHAnsi"/>
                <w:szCs w:val="21"/>
              </w:rPr>
            </w:pPr>
            <w:r>
              <w:rPr>
                <w:rFonts w:hint="eastAsia" w:asciiTheme="minorHAnsi"/>
                <w:szCs w:val="21"/>
              </w:rPr>
              <w:t>台</w:t>
            </w:r>
          </w:p>
        </w:tc>
        <w:tc>
          <w:tcPr>
            <w:tcW w:w="1573" w:type="dxa"/>
            <w:shd w:val="clear" w:color="auto" w:fill="auto"/>
            <w:vAlign w:val="center"/>
          </w:tcPr>
          <w:p>
            <w:pPr>
              <w:jc w:val="center"/>
              <w:rPr>
                <w:rFonts w:asciiTheme="minorHAnsi"/>
                <w:szCs w:val="21"/>
              </w:rPr>
            </w:pPr>
            <w:r>
              <w:rPr>
                <w:rFonts w:hint="eastAsia" w:asciiTheme="minorHAnsi"/>
                <w:szCs w:val="21"/>
              </w:rPr>
              <w:t>1</w:t>
            </w:r>
          </w:p>
        </w:tc>
        <w:tc>
          <w:tcPr>
            <w:tcW w:w="1574" w:type="dxa"/>
            <w:shd w:val="clear" w:color="auto" w:fill="FFFFFF"/>
            <w:vAlign w:val="center"/>
          </w:tcPr>
          <w:p>
            <w:pPr>
              <w:jc w:val="center"/>
              <w:rPr>
                <w:rFonts w:asciiTheme="minorHAnsi"/>
                <w:szCs w:val="21"/>
              </w:rPr>
            </w:pPr>
            <w:r>
              <w:rPr>
                <w:rFonts w:hint="eastAsia" w:asciiTheme="minorHAnsi"/>
                <w:szCs w:val="21"/>
              </w:rPr>
              <w:t>已有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649" w:type="dxa"/>
            <w:vAlign w:val="center"/>
          </w:tcPr>
          <w:p>
            <w:pPr>
              <w:jc w:val="center"/>
              <w:rPr>
                <w:rFonts w:asciiTheme="minorHAnsi"/>
                <w:szCs w:val="21"/>
              </w:rPr>
            </w:pPr>
            <w:r>
              <w:rPr>
                <w:rFonts w:asciiTheme="minorHAnsi"/>
                <w:szCs w:val="21"/>
              </w:rPr>
              <w:t>自卸汽车</w:t>
            </w:r>
          </w:p>
        </w:tc>
        <w:tc>
          <w:tcPr>
            <w:tcW w:w="2271" w:type="dxa"/>
            <w:vAlign w:val="center"/>
          </w:tcPr>
          <w:p>
            <w:pPr>
              <w:jc w:val="center"/>
              <w:rPr>
                <w:rFonts w:asciiTheme="minorHAnsi"/>
                <w:szCs w:val="21"/>
              </w:rPr>
            </w:pPr>
            <w:r>
              <w:rPr>
                <w:rFonts w:hint="eastAsia" w:asciiTheme="minorHAnsi"/>
                <w:szCs w:val="21"/>
              </w:rPr>
              <w:t>东风-30t</w:t>
            </w:r>
          </w:p>
        </w:tc>
        <w:tc>
          <w:tcPr>
            <w:tcW w:w="1573" w:type="dxa"/>
            <w:vAlign w:val="center"/>
          </w:tcPr>
          <w:p>
            <w:pPr>
              <w:jc w:val="center"/>
              <w:rPr>
                <w:rFonts w:asciiTheme="minorHAnsi"/>
                <w:szCs w:val="21"/>
              </w:rPr>
            </w:pPr>
            <w:r>
              <w:rPr>
                <w:rFonts w:asciiTheme="minorHAnsi"/>
                <w:szCs w:val="21"/>
              </w:rPr>
              <w:t>辆</w:t>
            </w:r>
          </w:p>
        </w:tc>
        <w:tc>
          <w:tcPr>
            <w:tcW w:w="1573" w:type="dxa"/>
            <w:vAlign w:val="center"/>
          </w:tcPr>
          <w:p>
            <w:pPr>
              <w:jc w:val="center"/>
              <w:rPr>
                <w:rFonts w:asciiTheme="minorHAnsi"/>
                <w:szCs w:val="21"/>
              </w:rPr>
            </w:pPr>
            <w:r>
              <w:rPr>
                <w:rFonts w:hint="eastAsia" w:asciiTheme="minorHAnsi"/>
                <w:szCs w:val="21"/>
              </w:rPr>
              <w:t>2</w:t>
            </w:r>
          </w:p>
        </w:tc>
        <w:tc>
          <w:tcPr>
            <w:tcW w:w="1574" w:type="dxa"/>
            <w:vAlign w:val="center"/>
          </w:tcPr>
          <w:p>
            <w:pPr>
              <w:jc w:val="center"/>
              <w:rPr>
                <w:rFonts w:asciiTheme="minorHAnsi"/>
                <w:szCs w:val="21"/>
              </w:rPr>
            </w:pPr>
            <w:r>
              <w:rPr>
                <w:rFonts w:hint="eastAsia" w:asciiTheme="minorHAnsi"/>
                <w:szCs w:val="21"/>
              </w:rPr>
              <w:t>租用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649" w:type="dxa"/>
            <w:vAlign w:val="center"/>
          </w:tcPr>
          <w:p>
            <w:pPr>
              <w:jc w:val="center"/>
              <w:rPr>
                <w:rFonts w:asciiTheme="minorHAnsi"/>
                <w:szCs w:val="21"/>
              </w:rPr>
            </w:pPr>
            <w:r>
              <w:rPr>
                <w:rFonts w:hint="eastAsia" w:asciiTheme="minorHAnsi"/>
                <w:szCs w:val="21"/>
              </w:rPr>
              <w:t>潜孔钻机</w:t>
            </w:r>
          </w:p>
        </w:tc>
        <w:tc>
          <w:tcPr>
            <w:tcW w:w="2271" w:type="dxa"/>
            <w:vAlign w:val="center"/>
          </w:tcPr>
          <w:p>
            <w:pPr>
              <w:jc w:val="center"/>
              <w:rPr>
                <w:rFonts w:asciiTheme="minorHAnsi"/>
                <w:szCs w:val="21"/>
              </w:rPr>
            </w:pPr>
            <w:r>
              <w:rPr>
                <w:rFonts w:hint="eastAsia" w:asciiTheme="minorHAnsi"/>
                <w:szCs w:val="21"/>
              </w:rPr>
              <w:t>YQ90-E，φ=76mm</w:t>
            </w:r>
          </w:p>
        </w:tc>
        <w:tc>
          <w:tcPr>
            <w:tcW w:w="1573" w:type="dxa"/>
            <w:vAlign w:val="center"/>
          </w:tcPr>
          <w:p>
            <w:pPr>
              <w:jc w:val="center"/>
              <w:rPr>
                <w:rFonts w:asciiTheme="minorHAnsi"/>
                <w:szCs w:val="21"/>
              </w:rPr>
            </w:pPr>
            <w:r>
              <w:rPr>
                <w:rFonts w:hint="eastAsia" w:asciiTheme="minorHAnsi"/>
                <w:szCs w:val="21"/>
              </w:rPr>
              <w:t>台</w:t>
            </w:r>
          </w:p>
        </w:tc>
        <w:tc>
          <w:tcPr>
            <w:tcW w:w="1573" w:type="dxa"/>
            <w:vAlign w:val="center"/>
          </w:tcPr>
          <w:p>
            <w:pPr>
              <w:jc w:val="center"/>
              <w:rPr>
                <w:rFonts w:asciiTheme="minorHAnsi"/>
                <w:szCs w:val="21"/>
              </w:rPr>
            </w:pPr>
            <w:r>
              <w:rPr>
                <w:rFonts w:hint="eastAsia" w:asciiTheme="minorHAnsi"/>
                <w:szCs w:val="21"/>
              </w:rPr>
              <w:t>1</w:t>
            </w:r>
          </w:p>
        </w:tc>
        <w:tc>
          <w:tcPr>
            <w:tcW w:w="1574" w:type="dxa"/>
            <w:vAlign w:val="center"/>
          </w:tcPr>
          <w:p>
            <w:pPr>
              <w:jc w:val="center"/>
              <w:rPr>
                <w:rFonts w:asciiTheme="minorHAnsi"/>
                <w:szCs w:val="21"/>
              </w:rPr>
            </w:pPr>
            <w:r>
              <w:rPr>
                <w:rFonts w:hint="eastAsia" w:asciiTheme="minorHAnsi"/>
                <w:szCs w:val="21"/>
              </w:rPr>
              <w:t>自备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649" w:type="dxa"/>
            <w:vAlign w:val="center"/>
          </w:tcPr>
          <w:p>
            <w:pPr>
              <w:jc w:val="center"/>
              <w:rPr>
                <w:rFonts w:asciiTheme="minorHAnsi"/>
                <w:szCs w:val="21"/>
              </w:rPr>
            </w:pPr>
            <w:r>
              <w:rPr>
                <w:rFonts w:hint="eastAsia" w:asciiTheme="minorHAnsi"/>
                <w:szCs w:val="21"/>
              </w:rPr>
              <w:t>简易洒水车</w:t>
            </w:r>
          </w:p>
        </w:tc>
        <w:tc>
          <w:tcPr>
            <w:tcW w:w="2271" w:type="dxa"/>
            <w:vAlign w:val="center"/>
          </w:tcPr>
          <w:p>
            <w:pPr>
              <w:jc w:val="center"/>
              <w:rPr>
                <w:rFonts w:asciiTheme="minorHAnsi"/>
                <w:szCs w:val="21"/>
              </w:rPr>
            </w:pPr>
            <w:r>
              <w:rPr>
                <w:rFonts w:hint="eastAsia" w:asciiTheme="minorHAnsi"/>
                <w:szCs w:val="21"/>
              </w:rPr>
              <w:t>5t</w:t>
            </w:r>
          </w:p>
        </w:tc>
        <w:tc>
          <w:tcPr>
            <w:tcW w:w="1573" w:type="dxa"/>
            <w:vAlign w:val="center"/>
          </w:tcPr>
          <w:p>
            <w:pPr>
              <w:jc w:val="center"/>
              <w:rPr>
                <w:rFonts w:asciiTheme="minorHAnsi"/>
                <w:szCs w:val="21"/>
              </w:rPr>
            </w:pPr>
            <w:r>
              <w:rPr>
                <w:rFonts w:hint="eastAsia" w:asciiTheme="minorHAnsi"/>
                <w:szCs w:val="21"/>
              </w:rPr>
              <w:t>辆</w:t>
            </w:r>
          </w:p>
        </w:tc>
        <w:tc>
          <w:tcPr>
            <w:tcW w:w="1573" w:type="dxa"/>
            <w:vAlign w:val="center"/>
          </w:tcPr>
          <w:p>
            <w:pPr>
              <w:jc w:val="center"/>
              <w:rPr>
                <w:rFonts w:asciiTheme="minorHAnsi"/>
                <w:szCs w:val="21"/>
              </w:rPr>
            </w:pPr>
            <w:r>
              <w:rPr>
                <w:rFonts w:hint="eastAsia" w:asciiTheme="minorHAnsi"/>
                <w:szCs w:val="21"/>
              </w:rPr>
              <w:t>1</w:t>
            </w:r>
          </w:p>
        </w:tc>
        <w:tc>
          <w:tcPr>
            <w:tcW w:w="1574" w:type="dxa"/>
            <w:vAlign w:val="center"/>
          </w:tcPr>
          <w:p>
            <w:pPr>
              <w:jc w:val="center"/>
              <w:rPr>
                <w:rFonts w:asciiTheme="minorHAnsi"/>
                <w:szCs w:val="21"/>
              </w:rPr>
            </w:pPr>
            <w:r>
              <w:rPr>
                <w:rFonts w:hint="eastAsia" w:asciiTheme="minorHAnsi"/>
                <w:szCs w:val="21"/>
              </w:rPr>
              <w:t>改装</w:t>
            </w:r>
          </w:p>
        </w:tc>
      </w:tr>
    </w:tbl>
    <w:p>
      <w:bookmarkStart w:id="173" w:name="_Toc456610950"/>
    </w:p>
    <w:p>
      <w:pPr>
        <w:numPr>
          <w:ilvl w:val="1"/>
          <w:numId w:val="2"/>
        </w:numPr>
        <w:spacing w:line="360" w:lineRule="auto"/>
        <w:outlineLvl w:val="1"/>
        <w:rPr>
          <w:rFonts w:ascii="宋体" w:hAnsi="宋体" w:cs="宋体"/>
          <w:b/>
          <w:bCs/>
          <w:sz w:val="30"/>
          <w:szCs w:val="30"/>
        </w:rPr>
      </w:pPr>
      <w:bookmarkStart w:id="174" w:name="_Toc24517"/>
      <w:r>
        <w:rPr>
          <w:rFonts w:hint="eastAsia" w:ascii="宋体" w:hAnsi="宋体" w:cs="宋体"/>
          <w:b/>
          <w:bCs/>
          <w:sz w:val="30"/>
          <w:szCs w:val="30"/>
        </w:rPr>
        <w:t>矿山基建工作</w:t>
      </w:r>
      <w:bookmarkEnd w:id="173"/>
      <w:bookmarkEnd w:id="174"/>
    </w:p>
    <w:p>
      <w:pPr>
        <w:numPr>
          <w:ilvl w:val="2"/>
          <w:numId w:val="2"/>
        </w:numPr>
        <w:spacing w:line="360" w:lineRule="auto"/>
        <w:outlineLvl w:val="2"/>
        <w:rPr>
          <w:rFonts w:ascii="宋体"/>
          <w:b/>
          <w:bCs/>
          <w:sz w:val="28"/>
          <w:szCs w:val="28"/>
        </w:rPr>
      </w:pPr>
      <w:r>
        <w:rPr>
          <w:rFonts w:hint="eastAsia" w:ascii="宋体"/>
          <w:b/>
          <w:bCs/>
          <w:sz w:val="28"/>
          <w:szCs w:val="28"/>
        </w:rPr>
        <w:t>露天采场</w:t>
      </w:r>
      <w:r>
        <w:rPr>
          <w:rFonts w:ascii="宋体"/>
          <w:b/>
          <w:bCs/>
          <w:sz w:val="28"/>
          <w:szCs w:val="28"/>
        </w:rPr>
        <w:t>基建</w:t>
      </w:r>
      <w:r>
        <w:rPr>
          <w:rFonts w:hint="eastAsia" w:ascii="宋体"/>
          <w:b/>
          <w:bCs/>
          <w:sz w:val="28"/>
          <w:szCs w:val="28"/>
        </w:rPr>
        <w:t>工程</w:t>
      </w:r>
    </w:p>
    <w:p>
      <w:pPr>
        <w:adjustRightInd w:val="0"/>
        <w:snapToGrid w:val="0"/>
        <w:spacing w:line="360" w:lineRule="auto"/>
        <w:ind w:firstLine="480" w:firstLineChars="200"/>
        <w:rPr>
          <w:rFonts w:ascii="宋体" w:hAnsi="宋体"/>
          <w:sz w:val="24"/>
        </w:rPr>
      </w:pPr>
      <w:r>
        <w:rPr>
          <w:rFonts w:hint="eastAsia" w:ascii="宋体" w:hAnsi="宋体"/>
          <w:sz w:val="24"/>
        </w:rPr>
        <w:t>基建工程主要包括加工场地、工业场地基建工程、矿山道路工程、露天釆场集排水设施等。基建水平包括+2532m、+2522m、+2512m、+2502m。</w:t>
      </w:r>
    </w:p>
    <w:p>
      <w:pPr>
        <w:adjustRightInd w:val="0"/>
        <w:snapToGrid w:val="0"/>
        <w:spacing w:line="360" w:lineRule="auto"/>
        <w:ind w:firstLine="480" w:firstLineChars="200"/>
        <w:rPr>
          <w:rFonts w:ascii="宋体" w:hAnsi="宋体"/>
          <w:sz w:val="24"/>
        </w:rPr>
      </w:pPr>
      <w:r>
        <w:rPr>
          <w:rFonts w:hint="eastAsia" w:ascii="宋体" w:hAnsi="宋体"/>
          <w:sz w:val="24"/>
        </w:rPr>
        <w:t>矿区外部主干道路大部己有，仅需修筑约230m采场道路；修筑截排水沟长度为357m，工程量为143m</w:t>
      </w:r>
      <w:r>
        <w:rPr>
          <w:rFonts w:hint="eastAsia" w:ascii="宋体" w:hAnsi="宋体"/>
          <w:sz w:val="24"/>
          <w:vertAlign w:val="superscript"/>
        </w:rPr>
        <w:t>3</w:t>
      </w:r>
      <w:r>
        <w:rPr>
          <w:rFonts w:hint="eastAsia" w:ascii="宋体" w:hAnsi="宋体"/>
          <w:sz w:val="24"/>
        </w:rPr>
        <w:t>。</w:t>
      </w:r>
    </w:p>
    <w:p>
      <w:pPr>
        <w:adjustRightInd w:val="0"/>
        <w:snapToGrid w:val="0"/>
        <w:spacing w:line="360" w:lineRule="auto"/>
        <w:ind w:firstLine="480" w:firstLineChars="200"/>
        <w:rPr>
          <w:rFonts w:ascii="宋体" w:hAnsi="宋体"/>
          <w:sz w:val="24"/>
        </w:rPr>
      </w:pPr>
      <w:r>
        <w:rPr>
          <w:rFonts w:hint="eastAsia" w:ascii="宋体" w:hAnsi="宋体"/>
          <w:sz w:val="24"/>
        </w:rPr>
        <w:t>釆场道路等级为三级，路面宽为4.5m，路基宽6.0m，平均坡度6.5%，最大坡度小于9.5%，最小转弯半径为15m。</w:t>
      </w:r>
    </w:p>
    <w:p>
      <w:pPr>
        <w:adjustRightInd w:val="0"/>
        <w:snapToGrid w:val="0"/>
        <w:spacing w:line="360" w:lineRule="auto"/>
        <w:ind w:firstLine="480" w:firstLineChars="200"/>
        <w:rPr>
          <w:rFonts w:ascii="宋体" w:hAnsi="宋体"/>
          <w:sz w:val="24"/>
        </w:rPr>
      </w:pPr>
      <w:r>
        <w:rPr>
          <w:rFonts w:hint="eastAsia" w:ascii="宋体" w:hAnsi="宋体"/>
          <w:sz w:val="24"/>
        </w:rPr>
        <w:t>截排水沟断面为梯形，顶宽1.0m、底宽0.6m、深0.5m，平缓地带坡度3</w:t>
      </w:r>
      <w:r>
        <w:rPr>
          <w:rFonts w:ascii="Arial" w:hAnsi="Arial" w:cs="Arial"/>
          <w:sz w:val="24"/>
        </w:rPr>
        <w:t>‰</w:t>
      </w:r>
      <w:r>
        <w:rPr>
          <w:rFonts w:hint="eastAsia" w:ascii="宋体" w:hAnsi="宋体"/>
          <w:sz w:val="24"/>
        </w:rPr>
        <w:t>，从高处点流入低洼处。</w:t>
      </w:r>
    </w:p>
    <w:p>
      <w:pPr>
        <w:adjustRightInd w:val="0"/>
        <w:snapToGrid w:val="0"/>
        <w:spacing w:line="360" w:lineRule="auto"/>
        <w:ind w:firstLine="480" w:firstLineChars="200"/>
        <w:rPr>
          <w:rFonts w:ascii="宋体" w:hAnsi="宋体"/>
          <w:sz w:val="24"/>
        </w:rPr>
      </w:pPr>
      <w:r>
        <w:rPr>
          <w:rFonts w:hint="eastAsia" w:ascii="宋体" w:hAnsi="宋体"/>
          <w:sz w:val="24"/>
        </w:rPr>
        <w:t>矿山基建工程量统计表如下表5-4。</w:t>
      </w:r>
    </w:p>
    <w:p>
      <w:pPr>
        <w:jc w:val="center"/>
        <w:rPr>
          <w:rFonts w:ascii="宋体" w:hAnsi="宋体"/>
        </w:rPr>
      </w:pPr>
      <w:r>
        <w:rPr>
          <w:rFonts w:hint="eastAsia"/>
          <w:b/>
          <w:bCs/>
        </w:rPr>
        <w:t>表5-4  矿山基建工程量统计表（万立方米）</w:t>
      </w:r>
    </w:p>
    <w:tbl>
      <w:tblPr>
        <w:tblStyle w:val="59"/>
        <w:tblW w:w="8703" w:type="dxa"/>
        <w:tblInd w:w="3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812"/>
        <w:gridCol w:w="1812"/>
        <w:gridCol w:w="1812"/>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455" w:type="dxa"/>
            <w:vAlign w:val="center"/>
          </w:tcPr>
          <w:p>
            <w:pPr>
              <w:jc w:val="center"/>
              <w:rPr>
                <w:rFonts w:asciiTheme="minorHAnsi"/>
                <w:szCs w:val="21"/>
              </w:rPr>
            </w:pPr>
            <w:r>
              <w:rPr>
                <w:rFonts w:hint="eastAsia" w:asciiTheme="minorHAnsi"/>
                <w:szCs w:val="21"/>
              </w:rPr>
              <w:t>基建项目</w:t>
            </w:r>
          </w:p>
        </w:tc>
        <w:tc>
          <w:tcPr>
            <w:tcW w:w="1812" w:type="dxa"/>
            <w:vAlign w:val="center"/>
          </w:tcPr>
          <w:p>
            <w:pPr>
              <w:jc w:val="center"/>
              <w:rPr>
                <w:rFonts w:asciiTheme="minorHAnsi"/>
                <w:szCs w:val="21"/>
              </w:rPr>
            </w:pPr>
            <w:r>
              <w:rPr>
                <w:rFonts w:hint="eastAsia" w:asciiTheme="minorHAnsi"/>
                <w:szCs w:val="21"/>
              </w:rPr>
              <w:t>基建平台</w:t>
            </w:r>
          </w:p>
        </w:tc>
        <w:tc>
          <w:tcPr>
            <w:tcW w:w="1812" w:type="dxa"/>
            <w:vAlign w:val="center"/>
          </w:tcPr>
          <w:p>
            <w:pPr>
              <w:jc w:val="center"/>
              <w:rPr>
                <w:rFonts w:asciiTheme="minorHAnsi"/>
                <w:szCs w:val="21"/>
              </w:rPr>
            </w:pPr>
            <w:r>
              <w:rPr>
                <w:rFonts w:hint="eastAsia" w:asciiTheme="minorHAnsi"/>
                <w:szCs w:val="21"/>
              </w:rPr>
              <w:t>道路工程</w:t>
            </w:r>
          </w:p>
        </w:tc>
        <w:tc>
          <w:tcPr>
            <w:tcW w:w="1812" w:type="dxa"/>
            <w:vAlign w:val="center"/>
          </w:tcPr>
          <w:p>
            <w:pPr>
              <w:jc w:val="center"/>
              <w:rPr>
                <w:rFonts w:asciiTheme="minorHAnsi"/>
                <w:szCs w:val="21"/>
              </w:rPr>
            </w:pPr>
            <w:r>
              <w:rPr>
                <w:rFonts w:hint="eastAsia" w:asciiTheme="minorHAnsi"/>
                <w:szCs w:val="21"/>
              </w:rPr>
              <w:t>防排水</w:t>
            </w:r>
          </w:p>
        </w:tc>
        <w:tc>
          <w:tcPr>
            <w:tcW w:w="1812" w:type="dxa"/>
            <w:vAlign w:val="center"/>
          </w:tcPr>
          <w:p>
            <w:pPr>
              <w:jc w:val="center"/>
              <w:rPr>
                <w:rFonts w:asciiTheme="minorHAnsi"/>
                <w:szCs w:val="21"/>
              </w:rPr>
            </w:pPr>
            <w:r>
              <w:rPr>
                <w:rFonts w:hint="eastAsia" w:asciiTheme="minorHAnsi"/>
                <w:szCs w:val="21"/>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455" w:type="dxa"/>
            <w:vAlign w:val="center"/>
          </w:tcPr>
          <w:p>
            <w:pPr>
              <w:jc w:val="center"/>
              <w:rPr>
                <w:rFonts w:asciiTheme="minorHAnsi"/>
                <w:szCs w:val="21"/>
              </w:rPr>
            </w:pPr>
            <w:r>
              <w:rPr>
                <w:rFonts w:hint="eastAsia" w:asciiTheme="minorHAnsi"/>
                <w:szCs w:val="21"/>
              </w:rPr>
              <w:t>工程量</w:t>
            </w:r>
          </w:p>
        </w:tc>
        <w:tc>
          <w:tcPr>
            <w:tcW w:w="1812" w:type="dxa"/>
            <w:vAlign w:val="center"/>
          </w:tcPr>
          <w:p>
            <w:pPr>
              <w:jc w:val="center"/>
              <w:rPr>
                <w:rFonts w:asciiTheme="minorHAnsi"/>
                <w:szCs w:val="21"/>
              </w:rPr>
            </w:pPr>
            <w:r>
              <w:rPr>
                <w:rFonts w:hint="eastAsia" w:asciiTheme="minorHAnsi"/>
                <w:szCs w:val="21"/>
              </w:rPr>
              <w:t>2.20</w:t>
            </w:r>
          </w:p>
        </w:tc>
        <w:tc>
          <w:tcPr>
            <w:tcW w:w="1812" w:type="dxa"/>
            <w:vAlign w:val="center"/>
          </w:tcPr>
          <w:p>
            <w:pPr>
              <w:jc w:val="center"/>
              <w:rPr>
                <w:rFonts w:asciiTheme="minorHAnsi"/>
                <w:szCs w:val="21"/>
              </w:rPr>
            </w:pPr>
            <w:r>
              <w:rPr>
                <w:rFonts w:hint="eastAsia" w:asciiTheme="minorHAnsi"/>
                <w:szCs w:val="21"/>
              </w:rPr>
              <w:t>0.25</w:t>
            </w:r>
          </w:p>
        </w:tc>
        <w:tc>
          <w:tcPr>
            <w:tcW w:w="1812" w:type="dxa"/>
            <w:vAlign w:val="center"/>
          </w:tcPr>
          <w:p>
            <w:pPr>
              <w:jc w:val="center"/>
              <w:rPr>
                <w:rFonts w:asciiTheme="minorHAnsi"/>
                <w:szCs w:val="21"/>
              </w:rPr>
            </w:pPr>
            <w:r>
              <w:rPr>
                <w:rFonts w:hint="eastAsia" w:asciiTheme="minorHAnsi"/>
                <w:szCs w:val="21"/>
              </w:rPr>
              <w:t>0.01</w:t>
            </w:r>
          </w:p>
        </w:tc>
        <w:tc>
          <w:tcPr>
            <w:tcW w:w="1812" w:type="dxa"/>
            <w:vAlign w:val="center"/>
          </w:tcPr>
          <w:p>
            <w:pPr>
              <w:jc w:val="center"/>
              <w:rPr>
                <w:rFonts w:asciiTheme="minorHAnsi"/>
                <w:szCs w:val="21"/>
              </w:rPr>
            </w:pPr>
            <w:r>
              <w:rPr>
                <w:rFonts w:hint="eastAsia" w:asciiTheme="minorHAnsi"/>
                <w:szCs w:val="21"/>
              </w:rPr>
              <w:t>2.46</w:t>
            </w:r>
          </w:p>
        </w:tc>
      </w:tr>
    </w:tbl>
    <w:p>
      <w:pPr>
        <w:adjustRightInd w:val="0"/>
        <w:snapToGrid w:val="0"/>
        <w:spacing w:line="360" w:lineRule="auto"/>
        <w:ind w:firstLine="480" w:firstLineChars="200"/>
        <w:rPr>
          <w:rFonts w:ascii="宋体" w:hAnsi="宋体"/>
          <w:sz w:val="24"/>
        </w:rPr>
      </w:pPr>
      <w:r>
        <w:rPr>
          <w:rFonts w:hint="eastAsia" w:ascii="宋体" w:hAnsi="宋体"/>
          <w:sz w:val="24"/>
        </w:rPr>
        <w:t>基建工程量约2.46万立方米，其中矿石0.10万立方米全部回收。</w:t>
      </w:r>
    </w:p>
    <w:p>
      <w:pPr>
        <w:adjustRightInd w:val="0"/>
        <w:snapToGrid w:val="0"/>
        <w:spacing w:line="360" w:lineRule="auto"/>
        <w:ind w:firstLine="480" w:firstLineChars="200"/>
        <w:rPr>
          <w:rFonts w:ascii="宋体" w:hAnsi="宋体"/>
          <w:sz w:val="24"/>
        </w:rPr>
      </w:pPr>
      <w:r>
        <w:rPr>
          <w:rFonts w:hint="eastAsia" w:ascii="宋体" w:hAnsi="宋体"/>
          <w:sz w:val="24"/>
        </w:rPr>
        <w:t>基建结束后，备采矿量约为2.10万立方米，满足设计规范要求。</w:t>
      </w:r>
    </w:p>
    <w:p>
      <w:pPr>
        <w:numPr>
          <w:ilvl w:val="2"/>
          <w:numId w:val="2"/>
        </w:numPr>
        <w:spacing w:line="360" w:lineRule="auto"/>
        <w:outlineLvl w:val="2"/>
        <w:rPr>
          <w:rFonts w:ascii="宋体"/>
          <w:b/>
          <w:bCs/>
          <w:sz w:val="28"/>
          <w:szCs w:val="28"/>
        </w:rPr>
      </w:pPr>
      <w:r>
        <w:rPr>
          <w:rFonts w:ascii="宋体"/>
          <w:b/>
          <w:bCs/>
          <w:sz w:val="28"/>
          <w:szCs w:val="28"/>
        </w:rPr>
        <w:t>基建时间及投产比例</w:t>
      </w:r>
    </w:p>
    <w:p>
      <w:pPr>
        <w:pStyle w:val="18"/>
        <w:ind w:firstLine="480"/>
        <w:rPr>
          <w:kern w:val="10"/>
          <w:sz w:val="24"/>
          <w:szCs w:val="24"/>
        </w:rPr>
      </w:pPr>
      <w:r>
        <w:rPr>
          <w:kern w:val="10"/>
          <w:sz w:val="24"/>
          <w:szCs w:val="24"/>
        </w:rPr>
        <w:t>基建方式为公司自营施工，基建时间需</w:t>
      </w:r>
      <w:r>
        <w:rPr>
          <w:rFonts w:hint="eastAsia"/>
          <w:kern w:val="10"/>
          <w:sz w:val="24"/>
          <w:szCs w:val="24"/>
        </w:rPr>
        <w:t>基约3个月</w:t>
      </w:r>
      <w:r>
        <w:rPr>
          <w:kern w:val="10"/>
          <w:sz w:val="24"/>
          <w:szCs w:val="24"/>
        </w:rPr>
        <w:t>。</w:t>
      </w:r>
    </w:p>
    <w:p>
      <w:pPr>
        <w:pStyle w:val="18"/>
        <w:ind w:firstLine="480"/>
        <w:rPr>
          <w:kern w:val="10"/>
          <w:sz w:val="24"/>
          <w:szCs w:val="24"/>
        </w:rPr>
      </w:pPr>
      <w:r>
        <w:rPr>
          <w:kern w:val="10"/>
          <w:sz w:val="24"/>
          <w:szCs w:val="24"/>
        </w:rPr>
        <w:t>投产标准：基建结束后，投产当年即达到设计产量的100%，即</w:t>
      </w:r>
      <w:r>
        <w:rPr>
          <w:rFonts w:hint="eastAsia"/>
          <w:sz w:val="24"/>
          <w:szCs w:val="24"/>
        </w:rPr>
        <w:t>3</w:t>
      </w:r>
      <w:r>
        <w:rPr>
          <w:kern w:val="10"/>
          <w:sz w:val="24"/>
        </w:rPr>
        <w:t>万</w:t>
      </w:r>
      <w:r>
        <w:rPr>
          <w:rFonts w:hint="eastAsia"/>
          <w:kern w:val="10"/>
          <w:sz w:val="24"/>
        </w:rPr>
        <w:t>m</w:t>
      </w:r>
      <w:r>
        <w:rPr>
          <w:rFonts w:hint="eastAsia"/>
          <w:kern w:val="10"/>
          <w:sz w:val="24"/>
          <w:vertAlign w:val="superscript"/>
        </w:rPr>
        <w:t>3</w:t>
      </w:r>
      <w:r>
        <w:rPr>
          <w:kern w:val="10"/>
          <w:sz w:val="24"/>
          <w:szCs w:val="24"/>
        </w:rPr>
        <w:t>/年。</w:t>
      </w:r>
    </w:p>
    <w:p>
      <w:pPr>
        <w:numPr>
          <w:ilvl w:val="1"/>
          <w:numId w:val="2"/>
        </w:numPr>
        <w:spacing w:line="360" w:lineRule="auto"/>
        <w:outlineLvl w:val="1"/>
        <w:rPr>
          <w:rFonts w:ascii="宋体" w:hAnsi="宋体" w:cs="宋体"/>
          <w:b/>
          <w:bCs/>
          <w:sz w:val="30"/>
          <w:szCs w:val="30"/>
        </w:rPr>
      </w:pPr>
      <w:bookmarkStart w:id="175" w:name="_Toc21561"/>
      <w:bookmarkStart w:id="176" w:name="_Toc456610951"/>
      <w:r>
        <w:rPr>
          <w:rFonts w:hint="eastAsia" w:ascii="宋体" w:hAnsi="宋体" w:cs="宋体"/>
          <w:b/>
          <w:bCs/>
          <w:sz w:val="30"/>
          <w:szCs w:val="30"/>
        </w:rPr>
        <w:t>剥离物综合利用</w:t>
      </w:r>
      <w:bookmarkEnd w:id="175"/>
      <w:bookmarkEnd w:id="176"/>
      <w:bookmarkStart w:id="177" w:name="_Toc435453455"/>
    </w:p>
    <w:p>
      <w:pPr>
        <w:pStyle w:val="18"/>
        <w:ind w:firstLine="480"/>
        <w:rPr>
          <w:kern w:val="10"/>
          <w:sz w:val="24"/>
          <w:szCs w:val="24"/>
        </w:rPr>
      </w:pPr>
      <w:r>
        <w:rPr>
          <w:rFonts w:hint="eastAsia"/>
          <w:kern w:val="10"/>
          <w:sz w:val="24"/>
          <w:szCs w:val="24"/>
        </w:rPr>
        <w:t>剥离产出的废石、废土可用于平整场地和矿山道路，为满足闭坑后进行地表植被恢复治理工程用土的需求。</w:t>
      </w:r>
    </w:p>
    <w:p>
      <w:pPr>
        <w:sectPr>
          <w:pgSz w:w="11906" w:h="16838"/>
          <w:pgMar w:top="1474" w:right="1474" w:bottom="1474" w:left="1588" w:header="964" w:footer="1021" w:gutter="0"/>
          <w:cols w:space="720" w:num="1"/>
          <w:docGrid w:linePitch="326" w:charSpace="0"/>
        </w:sectPr>
      </w:pPr>
    </w:p>
    <w:p>
      <w:pPr>
        <w:pStyle w:val="2"/>
        <w:numPr>
          <w:ilvl w:val="0"/>
          <w:numId w:val="2"/>
        </w:numPr>
        <w:snapToGrid w:val="0"/>
        <w:spacing w:before="0" w:after="240" w:line="360" w:lineRule="auto"/>
        <w:jc w:val="center"/>
        <w:rPr>
          <w:color w:val="000000"/>
          <w:sz w:val="32"/>
          <w:szCs w:val="32"/>
        </w:rPr>
      </w:pPr>
      <w:bookmarkStart w:id="178" w:name="_Toc456610952"/>
      <w:bookmarkStart w:id="179" w:name="_Toc4417"/>
      <w:r>
        <w:rPr>
          <w:rFonts w:hint="eastAsia"/>
          <w:color w:val="000000"/>
          <w:sz w:val="32"/>
          <w:szCs w:val="32"/>
        </w:rPr>
        <w:t>矿石加工</w:t>
      </w:r>
      <w:bookmarkEnd w:id="178"/>
      <w:bookmarkEnd w:id="179"/>
    </w:p>
    <w:p>
      <w:pPr>
        <w:pStyle w:val="18"/>
        <w:ind w:firstLine="480"/>
        <w:rPr>
          <w:kern w:val="10"/>
          <w:sz w:val="24"/>
          <w:szCs w:val="24"/>
        </w:rPr>
      </w:pPr>
      <w:r>
        <w:rPr>
          <w:rFonts w:hint="eastAsia"/>
          <w:kern w:val="10"/>
          <w:sz w:val="24"/>
          <w:szCs w:val="24"/>
        </w:rPr>
        <w:t>根据矿山的生产规模，年破碎加工矿石3</w:t>
      </w:r>
      <w:r>
        <w:rPr>
          <w:kern w:val="10"/>
          <w:sz w:val="24"/>
        </w:rPr>
        <w:t>万</w:t>
      </w:r>
      <w:r>
        <w:rPr>
          <w:rFonts w:hint="eastAsia"/>
          <w:kern w:val="10"/>
          <w:sz w:val="24"/>
        </w:rPr>
        <w:t>m</w:t>
      </w:r>
      <w:r>
        <w:rPr>
          <w:rFonts w:hint="eastAsia"/>
          <w:kern w:val="10"/>
          <w:sz w:val="24"/>
          <w:vertAlign w:val="superscript"/>
        </w:rPr>
        <w:t>3</w:t>
      </w:r>
      <w:r>
        <w:rPr>
          <w:rFonts w:hint="eastAsia"/>
          <w:kern w:val="10"/>
          <w:sz w:val="24"/>
          <w:szCs w:val="24"/>
        </w:rPr>
        <w:t>，产品规格按国家标准或用户要求生产。在设计圈定的开采境界范围内开采出的矿石均可进行破碎加工。</w:t>
      </w:r>
    </w:p>
    <w:p>
      <w:pPr>
        <w:numPr>
          <w:ilvl w:val="1"/>
          <w:numId w:val="2"/>
        </w:numPr>
        <w:spacing w:line="360" w:lineRule="auto"/>
        <w:outlineLvl w:val="1"/>
        <w:rPr>
          <w:rFonts w:ascii="宋体" w:hAnsi="宋体" w:cs="宋体"/>
          <w:b/>
          <w:bCs/>
          <w:color w:val="000000"/>
          <w:sz w:val="30"/>
          <w:szCs w:val="30"/>
        </w:rPr>
      </w:pPr>
      <w:bookmarkStart w:id="180" w:name="_Toc456610953"/>
      <w:bookmarkStart w:id="181" w:name="_Toc31206"/>
      <w:bookmarkStart w:id="182" w:name="_Toc459671773"/>
      <w:bookmarkStart w:id="183" w:name="_Toc20271"/>
      <w:bookmarkStart w:id="184" w:name="_Toc456610954"/>
      <w:r>
        <w:rPr>
          <w:rFonts w:hint="eastAsia" w:ascii="宋体" w:hAnsi="宋体" w:cs="宋体"/>
          <w:b/>
          <w:bCs/>
          <w:color w:val="000000"/>
          <w:sz w:val="30"/>
          <w:szCs w:val="30"/>
        </w:rPr>
        <w:t>建设规模及产品纲领</w:t>
      </w:r>
      <w:bookmarkEnd w:id="180"/>
      <w:bookmarkEnd w:id="181"/>
      <w:bookmarkEnd w:id="182"/>
      <w:bookmarkEnd w:id="183"/>
    </w:p>
    <w:p>
      <w:pPr>
        <w:spacing w:line="360" w:lineRule="auto"/>
        <w:ind w:firstLine="480" w:firstLineChars="200"/>
        <w:rPr>
          <w:rFonts w:ascii="宋体" w:hAnsi="宋体"/>
          <w:kern w:val="10"/>
          <w:sz w:val="24"/>
        </w:rPr>
      </w:pPr>
      <w:r>
        <w:rPr>
          <w:rFonts w:hint="eastAsia" w:ascii="宋体" w:hAnsi="宋体"/>
          <w:kern w:val="10"/>
          <w:sz w:val="24"/>
        </w:rPr>
        <w:t>建设规模：年处理原矿3</w:t>
      </w:r>
      <w:r>
        <w:rPr>
          <w:rFonts w:ascii="宋体" w:hAnsi="宋体"/>
          <w:kern w:val="10"/>
          <w:sz w:val="24"/>
        </w:rPr>
        <w:t>万</w:t>
      </w:r>
      <w:r>
        <w:rPr>
          <w:rFonts w:hint="eastAsia" w:ascii="宋体" w:hAnsi="宋体"/>
          <w:kern w:val="10"/>
          <w:sz w:val="24"/>
        </w:rPr>
        <w:t>m</w:t>
      </w:r>
      <w:r>
        <w:rPr>
          <w:rFonts w:hint="eastAsia" w:ascii="宋体" w:hAnsi="宋体"/>
          <w:kern w:val="10"/>
          <w:sz w:val="24"/>
          <w:vertAlign w:val="superscript"/>
        </w:rPr>
        <w:t>3</w:t>
      </w:r>
      <w:r>
        <w:rPr>
          <w:rFonts w:hint="eastAsia" w:ascii="宋体" w:hAnsi="宋体"/>
          <w:kern w:val="10"/>
          <w:sz w:val="24"/>
        </w:rPr>
        <w:t>。</w:t>
      </w:r>
    </w:p>
    <w:p>
      <w:pPr>
        <w:spacing w:line="360" w:lineRule="auto"/>
        <w:ind w:firstLine="480" w:firstLineChars="200"/>
        <w:rPr>
          <w:rFonts w:ascii="宋体" w:hAnsi="宋体"/>
          <w:kern w:val="10"/>
          <w:sz w:val="24"/>
        </w:rPr>
      </w:pPr>
      <w:r>
        <w:rPr>
          <w:rFonts w:hint="eastAsia" w:ascii="宋体" w:hAnsi="宋体"/>
          <w:kern w:val="10"/>
          <w:sz w:val="24"/>
        </w:rPr>
        <w:t>产品方案：本矿山砂卵石矿产品的设计用途:建筑集料用砂及碎石，产品分为4个粒级，分别为100～40mm、40～20mm、20～5mm、＜5mm。</w:t>
      </w:r>
    </w:p>
    <w:p>
      <w:pPr>
        <w:spacing w:line="360" w:lineRule="auto"/>
        <w:ind w:firstLine="480" w:firstLineChars="200"/>
        <w:rPr>
          <w:rFonts w:ascii="宋体" w:hAnsi="宋体" w:cs="仿宋"/>
          <w:kern w:val="10"/>
          <w:sz w:val="24"/>
        </w:rPr>
      </w:pPr>
      <w:r>
        <w:rPr>
          <w:rFonts w:hint="eastAsia" w:ascii="宋体" w:hAnsi="宋体"/>
          <w:kern w:val="10"/>
          <w:sz w:val="24"/>
        </w:rPr>
        <w:t>工作制度</w:t>
      </w:r>
      <w:r>
        <w:rPr>
          <w:rFonts w:hint="eastAsia" w:ascii="宋体" w:hAnsi="宋体" w:cs="仿宋"/>
          <w:kern w:val="10"/>
          <w:sz w:val="24"/>
        </w:rPr>
        <w:t>：年工作250天，每天1班，每班设备工作6小时。</w:t>
      </w:r>
    </w:p>
    <w:p>
      <w:pPr>
        <w:numPr>
          <w:ilvl w:val="1"/>
          <w:numId w:val="2"/>
        </w:numPr>
        <w:spacing w:line="360" w:lineRule="auto"/>
        <w:outlineLvl w:val="1"/>
        <w:rPr>
          <w:rFonts w:ascii="宋体" w:hAnsi="宋体" w:cs="宋体"/>
          <w:b/>
          <w:bCs/>
          <w:color w:val="000000"/>
          <w:sz w:val="30"/>
          <w:szCs w:val="30"/>
        </w:rPr>
      </w:pPr>
      <w:bookmarkStart w:id="185" w:name="_Toc10690"/>
      <w:r>
        <w:rPr>
          <w:rFonts w:hint="eastAsia" w:ascii="宋体" w:hAnsi="宋体" w:cs="宋体"/>
          <w:b/>
          <w:bCs/>
          <w:color w:val="000000"/>
          <w:sz w:val="30"/>
          <w:szCs w:val="30"/>
        </w:rPr>
        <w:t>加工场位置</w:t>
      </w:r>
      <w:bookmarkEnd w:id="184"/>
      <w:bookmarkEnd w:id="185"/>
    </w:p>
    <w:p>
      <w:pPr>
        <w:spacing w:line="360" w:lineRule="auto"/>
        <w:ind w:firstLine="480" w:firstLineChars="200"/>
        <w:rPr>
          <w:rFonts w:ascii="宋体" w:hAnsi="宋体"/>
          <w:sz w:val="24"/>
        </w:rPr>
      </w:pPr>
      <w:r>
        <w:rPr>
          <w:rFonts w:ascii="宋体" w:hAnsi="宋体"/>
          <w:sz w:val="24"/>
        </w:rPr>
        <w:t>矿山加工场设于</w:t>
      </w:r>
      <w:r>
        <w:rPr>
          <w:rFonts w:ascii="宋体" w:hAnsi="宋体"/>
          <w:kern w:val="10"/>
          <w:sz w:val="24"/>
        </w:rPr>
        <w:t>采场</w:t>
      </w:r>
      <w:r>
        <w:rPr>
          <w:rFonts w:hint="eastAsia" w:ascii="宋体" w:hAnsi="宋体"/>
          <w:kern w:val="10"/>
          <w:sz w:val="24"/>
        </w:rPr>
        <w:t>南</w:t>
      </w:r>
      <w:r>
        <w:rPr>
          <w:rFonts w:ascii="宋体" w:hAnsi="宋体"/>
          <w:kern w:val="10"/>
          <w:sz w:val="24"/>
        </w:rPr>
        <w:t>边</w:t>
      </w:r>
      <w:r>
        <w:rPr>
          <w:rFonts w:hint="eastAsia" w:ascii="宋体" w:hAnsi="宋体"/>
          <w:kern w:val="10"/>
          <w:sz w:val="24"/>
        </w:rPr>
        <w:t>300m处</w:t>
      </w:r>
      <w:r>
        <w:rPr>
          <w:rFonts w:ascii="宋体" w:hAnsi="宋体"/>
          <w:kern w:val="10"/>
          <w:sz w:val="24"/>
        </w:rPr>
        <w:t>，占地面积约</w:t>
      </w:r>
      <w:r>
        <w:rPr>
          <w:rFonts w:hint="eastAsia" w:ascii="宋体" w:hAnsi="宋体"/>
          <w:kern w:val="10"/>
          <w:sz w:val="24"/>
        </w:rPr>
        <w:t>300</w:t>
      </w:r>
      <w:r>
        <w:rPr>
          <w:rFonts w:ascii="宋体" w:hAnsi="宋体"/>
          <w:kern w:val="10"/>
          <w:sz w:val="24"/>
        </w:rPr>
        <w:t>0m</w:t>
      </w:r>
      <w:r>
        <w:rPr>
          <w:rFonts w:ascii="宋体" w:hAnsi="宋体"/>
          <w:kern w:val="10"/>
          <w:sz w:val="24"/>
          <w:vertAlign w:val="superscript"/>
        </w:rPr>
        <w:t>2</w:t>
      </w:r>
      <w:r>
        <w:rPr>
          <w:rFonts w:ascii="宋体" w:hAnsi="宋体"/>
          <w:kern w:val="10"/>
          <w:sz w:val="24"/>
        </w:rPr>
        <w:t>，</w:t>
      </w:r>
      <w:r>
        <w:rPr>
          <w:rFonts w:ascii="宋体" w:hAnsi="宋体"/>
          <w:sz w:val="24"/>
        </w:rPr>
        <w:t>主要为</w:t>
      </w:r>
      <w:r>
        <w:rPr>
          <w:rFonts w:hint="eastAsia" w:ascii="宋体" w:hAnsi="宋体"/>
          <w:sz w:val="24"/>
        </w:rPr>
        <w:t>筛分场地、破碎站</w:t>
      </w:r>
      <w:r>
        <w:rPr>
          <w:rFonts w:ascii="宋体" w:hAnsi="宋体"/>
          <w:sz w:val="24"/>
        </w:rPr>
        <w:t>场地。加工场用电电源</w:t>
      </w:r>
      <w:r>
        <w:rPr>
          <w:rFonts w:hint="eastAsia" w:ascii="宋体" w:hAnsi="宋体"/>
          <w:sz w:val="24"/>
        </w:rPr>
        <w:t>引自外部</w:t>
      </w:r>
      <w:r>
        <w:rPr>
          <w:rFonts w:ascii="宋体" w:hAnsi="宋体"/>
          <w:sz w:val="24"/>
        </w:rPr>
        <w:t>供电线路，在加工场设</w:t>
      </w:r>
      <w:r>
        <w:rPr>
          <w:rFonts w:hint="eastAsia" w:ascii="宋体" w:hAnsi="宋体"/>
          <w:sz w:val="24"/>
        </w:rPr>
        <w:t>400kVA</w:t>
      </w:r>
      <w:r>
        <w:rPr>
          <w:rFonts w:ascii="宋体" w:hAnsi="宋体"/>
          <w:sz w:val="24"/>
        </w:rPr>
        <w:t>变压器</w:t>
      </w:r>
      <w:r>
        <w:rPr>
          <w:rFonts w:hint="eastAsia" w:ascii="宋体" w:hAnsi="宋体"/>
          <w:sz w:val="24"/>
        </w:rPr>
        <w:t>一个</w:t>
      </w:r>
      <w:r>
        <w:rPr>
          <w:rFonts w:ascii="宋体" w:hAnsi="宋体"/>
          <w:sz w:val="24"/>
        </w:rPr>
        <w:t>。</w:t>
      </w:r>
      <w:r>
        <w:rPr>
          <w:rFonts w:hint="eastAsia" w:ascii="宋体" w:hAnsi="宋体"/>
          <w:sz w:val="24"/>
        </w:rPr>
        <w:t>破碎生产线利用地形布置。</w:t>
      </w:r>
    </w:p>
    <w:p>
      <w:pPr>
        <w:numPr>
          <w:ilvl w:val="1"/>
          <w:numId w:val="2"/>
        </w:numPr>
        <w:spacing w:line="360" w:lineRule="auto"/>
        <w:outlineLvl w:val="1"/>
        <w:rPr>
          <w:rFonts w:ascii="宋体" w:hAnsi="宋体" w:cs="宋体"/>
          <w:b/>
          <w:bCs/>
          <w:color w:val="000000"/>
          <w:sz w:val="30"/>
          <w:szCs w:val="30"/>
        </w:rPr>
      </w:pPr>
      <w:bookmarkStart w:id="186" w:name="_Toc17057"/>
      <w:bookmarkStart w:id="187" w:name="_Toc456610955"/>
      <w:r>
        <w:rPr>
          <w:rFonts w:hint="eastAsia" w:ascii="宋体" w:hAnsi="宋体" w:cs="宋体"/>
          <w:b/>
          <w:bCs/>
          <w:color w:val="000000"/>
          <w:sz w:val="30"/>
          <w:szCs w:val="30"/>
        </w:rPr>
        <w:t>生产加工工艺流程</w:t>
      </w:r>
      <w:bookmarkEnd w:id="186"/>
      <w:bookmarkEnd w:id="187"/>
    </w:p>
    <w:p>
      <w:pPr>
        <w:spacing w:line="360" w:lineRule="auto"/>
        <w:ind w:firstLine="480" w:firstLineChars="200"/>
        <w:rPr>
          <w:rFonts w:ascii="宋体" w:hAnsi="宋体"/>
          <w:sz w:val="24"/>
        </w:rPr>
      </w:pPr>
      <w:r>
        <w:rPr>
          <w:rFonts w:hint="eastAsia" w:ascii="宋体" w:hAnsi="宋体"/>
          <w:sz w:val="24"/>
        </w:rPr>
        <w:t>从矿山运来的砂石直接进入破碎系统进行破碎加工，破碎后的砂石经螺旋洗砂机，由皮带输送机运输至各产品堆场，设计破碎设备能够满足矿山年处理3万立方米的要求。</w:t>
      </w:r>
    </w:p>
    <w:p>
      <w:pPr>
        <w:spacing w:line="360" w:lineRule="auto"/>
        <w:ind w:firstLine="480" w:firstLineChars="200"/>
        <w:rPr>
          <w:rFonts w:ascii="宋体" w:hAnsi="宋体"/>
          <w:sz w:val="24"/>
        </w:rPr>
      </w:pPr>
      <w:r>
        <w:rPr>
          <w:rFonts w:hint="eastAsia" w:ascii="宋体" w:hAnsi="宋体"/>
          <w:sz w:val="24"/>
        </w:rPr>
        <w:t>破碎产品利用1台ZL50装载机进行装载，直接装车外运。</w:t>
      </w:r>
    </w:p>
    <w:p>
      <w:pPr>
        <w:spacing w:line="360" w:lineRule="auto"/>
        <w:ind w:firstLine="480" w:firstLineChars="200"/>
        <w:rPr>
          <w:rFonts w:ascii="宋体" w:hAnsi="宋体"/>
          <w:sz w:val="24"/>
        </w:rPr>
      </w:pPr>
      <w:r>
        <w:rPr>
          <w:rFonts w:hint="eastAsia" w:ascii="宋体" w:hAnsi="宋体"/>
          <w:sz w:val="24"/>
        </w:rPr>
        <w:t>轮式洗砂机旁建有二级循环水池，循环水池长5m，款5m，深1m。</w:t>
      </w:r>
    </w:p>
    <w:p>
      <w:pPr>
        <w:spacing w:line="360" w:lineRule="auto"/>
        <w:ind w:firstLine="480" w:firstLineChars="200"/>
        <w:rPr>
          <w:rFonts w:ascii="宋体" w:hAnsi="宋体"/>
          <w:sz w:val="24"/>
        </w:rPr>
      </w:pPr>
      <w:r>
        <w:rPr>
          <w:rFonts w:hint="eastAsia" w:ascii="宋体" w:hAnsi="宋体"/>
          <w:sz w:val="24"/>
        </w:rPr>
        <w:t>生产过程中扬尘点采用喷淋设施与洒水车洒水降尘，使生产环节达到国家环保标准。矿石加工工艺流程图6-1。</w:t>
      </w:r>
    </w:p>
    <w:p>
      <w:pPr>
        <w:jc w:val="center"/>
        <w:rPr>
          <w:rFonts w:ascii="宋体" w:hAnsi="宋体"/>
          <w:b/>
          <w:bCs/>
          <w:sz w:val="24"/>
        </w:rPr>
      </w:pPr>
    </w:p>
    <w:p>
      <w:pPr>
        <w:jc w:val="center"/>
        <w:rPr>
          <w:rFonts w:ascii="宋体" w:hAnsi="宋体"/>
          <w:b/>
          <w:bCs/>
          <w:sz w:val="24"/>
        </w:rPr>
      </w:pPr>
    </w:p>
    <w:p>
      <w:pPr>
        <w:jc w:val="center"/>
        <w:rPr>
          <w:rFonts w:ascii="宋体" w:hAnsi="宋体"/>
          <w:b/>
          <w:bCs/>
          <w:sz w:val="24"/>
        </w:rPr>
      </w:pPr>
    </w:p>
    <w:p>
      <w:pPr>
        <w:jc w:val="center"/>
        <w:rPr>
          <w:rFonts w:ascii="宋体" w:hAnsi="宋体"/>
          <w:b/>
          <w:bCs/>
          <w:sz w:val="24"/>
        </w:rPr>
      </w:pPr>
    </w:p>
    <w:p>
      <w:pPr>
        <w:jc w:val="center"/>
        <w:rPr>
          <w:rFonts w:ascii="宋体" w:hAnsi="宋体"/>
          <w:b/>
          <w:bCs/>
          <w:sz w:val="24"/>
        </w:rPr>
      </w:pPr>
    </w:p>
    <w:p>
      <w:pPr>
        <w:jc w:val="center"/>
        <w:rPr>
          <w:rFonts w:ascii="宋体" w:hAnsi="宋体"/>
          <w:b/>
          <w:bCs/>
          <w:sz w:val="24"/>
        </w:rPr>
      </w:pPr>
    </w:p>
    <w:p>
      <w:pPr>
        <w:jc w:val="center"/>
        <w:rPr>
          <w:rFonts w:ascii="宋体" w:hAnsi="宋体"/>
          <w:b/>
          <w:bCs/>
          <w:sz w:val="24"/>
        </w:rPr>
      </w:pPr>
    </w:p>
    <w:p>
      <w:pPr>
        <w:jc w:val="center"/>
        <w:rPr>
          <w:rFonts w:ascii="宋体" w:hAnsi="宋体"/>
          <w:b/>
          <w:bCs/>
          <w:sz w:val="24"/>
        </w:rPr>
      </w:pPr>
    </w:p>
    <w:p>
      <w:pPr>
        <w:jc w:val="center"/>
        <w:rPr>
          <w:rFonts w:ascii="宋体" w:hAnsi="宋体"/>
          <w:b/>
          <w:bCs/>
          <w:sz w:val="24"/>
        </w:rPr>
      </w:pPr>
    </w:p>
    <w:p>
      <w:pPr>
        <w:jc w:val="center"/>
        <w:rPr>
          <w:rFonts w:ascii="宋体" w:hAnsi="宋体"/>
          <w:b/>
          <w:bCs/>
          <w:sz w:val="24"/>
        </w:rPr>
      </w:pPr>
    </w:p>
    <w:p>
      <w:pPr>
        <w:rPr>
          <w:rFonts w:ascii="宋体" w:hAnsi="宋体"/>
          <w:b/>
          <w:bCs/>
          <w:sz w:val="24"/>
        </w:rPr>
      </w:pPr>
    </w:p>
    <w:p>
      <w:pPr>
        <w:rPr>
          <w:sz w:val="24"/>
        </w:rPr>
      </w:pPr>
    </w:p>
    <w:p>
      <w:pPr>
        <w:jc w:val="center"/>
        <w:rPr>
          <w:sz w:val="24"/>
        </w:rPr>
      </w:pPr>
      <w:r>
        <w:rPr>
          <w:sz w:val="24"/>
        </w:rPr>
        <w:pict>
          <v:line id="_x0000_s1138" o:spid="_x0000_s1138" o:spt="20" style="position:absolute;left:0pt;margin-left:219.2pt;margin-top:14.8pt;height:32.95pt;width:0.05pt;z-index:1024;mso-width-relative:page;mso-height-relative:page;" filled="t" stroked="f" coordsize="21600,21600">
            <v:path arrowok="t"/>
            <v:fill on="t" focussize="0,0"/>
            <v:stroke on="f" endarrow="open"/>
            <v:imagedata o:title=""/>
            <o:lock v:ext="edit"/>
          </v:line>
        </w:pict>
      </w:r>
      <w:r>
        <w:rPr>
          <w:rFonts w:hint="eastAsia"/>
          <w:sz w:val="24"/>
        </w:rPr>
        <w:t>原矿石</w:t>
      </w:r>
    </w:p>
    <w:p>
      <w:pPr>
        <w:jc w:val="center"/>
        <w:rPr>
          <w:sz w:val="24"/>
        </w:rPr>
      </w:pPr>
      <w:r>
        <w:rPr>
          <w:sz w:val="24"/>
        </w:rPr>
        <w:pict>
          <v:line id="_x0000_s1139" o:spid="_x0000_s1139" o:spt="20" style="position:absolute;left:0pt;margin-left:222.5pt;margin-top:1.25pt;height:27.9pt;width:0.05pt;z-index:1024;mso-width-relative:page;mso-height-relative:page;" coordsize="21600,21600">
            <v:path arrowok="t"/>
            <v:fill focussize="0,0"/>
            <v:stroke endarrow="open"/>
            <v:imagedata o:title=""/>
            <o:lock v:ext="edit"/>
          </v:line>
        </w:pict>
      </w:r>
    </w:p>
    <w:p>
      <w:pPr>
        <w:jc w:val="center"/>
        <w:rPr>
          <w:sz w:val="24"/>
        </w:rPr>
      </w:pPr>
    </w:p>
    <w:p>
      <w:pPr>
        <w:jc w:val="center"/>
        <w:rPr>
          <w:rFonts w:ascii="宋体" w:hAnsi="宋体"/>
          <w:b/>
          <w:bCs/>
          <w:sz w:val="24"/>
        </w:rPr>
      </w:pPr>
      <w:r>
        <w:rPr>
          <w:sz w:val="24"/>
        </w:rPr>
        <w:pict>
          <v:shape id="_x0000_s1119" o:spid="_x0000_s1119" o:spt="8" type="#_x0000_t8" style="position:absolute;left:0pt;margin-left:171.85pt;margin-top:3.75pt;height:30.9pt;width:101.65pt;mso-wrap-distance-bottom:0pt;mso-wrap-distance-left:9pt;mso-wrap-distance-right:9pt;mso-wrap-distance-top:0pt;z-index:1024;mso-width-relative:page;mso-height-relative:page;" coordsize="21600,21600">
            <v:path/>
            <v:fill focussize="0,0"/>
            <v:stroke joinstyle="miter"/>
            <v:imagedata o:title=""/>
            <o:lock v:ext="edit"/>
            <v:textbox>
              <w:txbxContent>
                <w:p>
                  <w:pPr>
                    <w:ind w:firstLine="240" w:firstLineChars="100"/>
                    <w:rPr>
                      <w:sz w:val="24"/>
                    </w:rPr>
                  </w:pPr>
                  <w:r>
                    <w:rPr>
                      <w:rFonts w:hint="eastAsia"/>
                      <w:sz w:val="24"/>
                    </w:rPr>
                    <w:t>下料口</w:t>
                  </w:r>
                </w:p>
              </w:txbxContent>
            </v:textbox>
            <w10:wrap type="square"/>
          </v:shape>
        </w:pict>
      </w:r>
    </w:p>
    <w:p>
      <w:pPr>
        <w:rPr>
          <w:rFonts w:ascii="宋体" w:hAnsi="宋体"/>
          <w:sz w:val="24"/>
        </w:rPr>
      </w:pPr>
      <w:bookmarkStart w:id="188" w:name="_Toc457224804"/>
      <w:r>
        <w:rPr>
          <w:rFonts w:hint="eastAsia" w:ascii="宋体" w:hAnsi="宋体"/>
          <w:sz w:val="24"/>
        </w:rPr>
        <w:t xml:space="preserve">                   </w:t>
      </w:r>
    </w:p>
    <w:p>
      <w:pPr>
        <w:spacing w:line="360" w:lineRule="auto"/>
        <w:ind w:firstLine="480" w:firstLineChars="200"/>
        <w:rPr>
          <w:rFonts w:ascii="宋体" w:hAnsi="宋体"/>
          <w:sz w:val="24"/>
        </w:rPr>
      </w:pPr>
      <w:r>
        <w:rPr>
          <w:sz w:val="24"/>
        </w:rPr>
        <w:pict>
          <v:line id="_x0000_s1124" o:spid="_x0000_s1124" o:spt="20" style="position:absolute;left:0pt;margin-left:223.3pt;margin-top:3.1pt;height:27.9pt;width:0.05pt;z-index:1024;mso-width-relative:page;mso-height-relative:page;" coordsize="21600,21600">
            <v:path arrowok="t"/>
            <v:fill focussize="0,0"/>
            <v:stroke endarrow="open"/>
            <v:imagedata o:title=""/>
            <o:lock v:ext="edit"/>
          </v:line>
        </w:pict>
      </w:r>
    </w:p>
    <w:p>
      <w:pPr>
        <w:tabs>
          <w:tab w:val="center" w:pos="4422"/>
        </w:tabs>
        <w:spacing w:line="360" w:lineRule="auto"/>
        <w:ind w:firstLine="480" w:firstLineChars="200"/>
        <w:rPr>
          <w:rFonts w:ascii="宋体" w:hAnsi="宋体"/>
          <w:sz w:val="24"/>
        </w:rPr>
      </w:pPr>
      <w:r>
        <w:rPr>
          <w:sz w:val="24"/>
        </w:rPr>
        <w:pict>
          <v:rect id="_x0000_s1120" o:spid="_x0000_s1120" o:spt="1" style="position:absolute;left:0pt;margin-left:194.75pt;margin-top:7.1pt;height:23.9pt;width:61.05pt;z-index:1024;mso-width-relative:page;mso-height-relative:page;" filled="f" coordsize="21600,21600">
            <v:path/>
            <v:fill on="f" focussize="0,0"/>
            <v:stroke/>
            <v:imagedata o:title=""/>
            <o:lock v:ext="edit"/>
            <v:textbox>
              <w:txbxContent>
                <w:p>
                  <w:pPr>
                    <w:ind w:firstLine="240" w:firstLineChars="100"/>
                    <w:rPr>
                      <w:sz w:val="24"/>
                    </w:rPr>
                  </w:pPr>
                  <w:r>
                    <w:rPr>
                      <w:rFonts w:hint="eastAsia"/>
                      <w:sz w:val="24"/>
                    </w:rPr>
                    <w:t>颚破</w:t>
                  </w:r>
                </w:p>
              </w:txbxContent>
            </v:textbox>
          </v:rect>
        </w:pict>
      </w:r>
      <w:r>
        <w:rPr>
          <w:rFonts w:hint="eastAsia" w:ascii="宋体" w:hAnsi="宋体"/>
          <w:sz w:val="24"/>
        </w:rPr>
        <w:tab/>
      </w:r>
    </w:p>
    <w:p>
      <w:pPr>
        <w:spacing w:line="360" w:lineRule="auto"/>
        <w:ind w:firstLine="480" w:firstLineChars="200"/>
        <w:rPr>
          <w:rFonts w:ascii="宋体" w:hAnsi="宋体"/>
          <w:sz w:val="24"/>
        </w:rPr>
      </w:pPr>
      <w:r>
        <w:rPr>
          <w:sz w:val="24"/>
        </w:rPr>
        <w:pict>
          <v:line id="_x0000_s1126" o:spid="_x0000_s1126" o:spt="20" style="position:absolute;left:0pt;margin-left:224.1pt;margin-top:6.25pt;height:27.9pt;width:0.05pt;z-index:1024;mso-width-relative:page;mso-height-relative:page;" coordsize="21600,21600">
            <v:path arrowok="t"/>
            <v:fill focussize="0,0"/>
            <v:stroke endarrow="open"/>
            <v:imagedata o:title=""/>
            <o:lock v:ext="edit"/>
          </v:line>
        </w:pict>
      </w:r>
    </w:p>
    <w:p>
      <w:pPr>
        <w:spacing w:line="360" w:lineRule="auto"/>
        <w:ind w:firstLine="480" w:firstLineChars="200"/>
        <w:rPr>
          <w:rFonts w:ascii="宋体" w:hAnsi="宋体"/>
          <w:sz w:val="24"/>
        </w:rPr>
      </w:pPr>
      <w:r>
        <w:rPr>
          <w:sz w:val="24"/>
        </w:rPr>
        <w:pict>
          <v:line id="_x0000_s1137" o:spid="_x0000_s1137" o:spt="20" style="position:absolute;left:0pt;flip:x;margin-left:269.05pt;margin-top:14.5pt;height:0.05pt;width:29.2pt;z-index:1024;mso-width-relative:page;mso-height-relative:page;" coordsize="21600,21600">
            <v:path arrowok="t"/>
            <v:fill focussize="0,0"/>
            <v:stroke endarrow="open"/>
            <v:imagedata o:title=""/>
            <o:lock v:ext="edit"/>
          </v:line>
        </w:pict>
      </w:r>
      <w:r>
        <w:rPr>
          <w:sz w:val="24"/>
        </w:rPr>
        <w:pict>
          <v:line id="_x0000_s1135" o:spid="_x0000_s1135" o:spt="20" style="position:absolute;left:0pt;flip:y;margin-left:325.4pt;margin-top:21.15pt;height:50.45pt;width:0.05pt;z-index:1024;mso-width-relative:page;mso-height-relative:page;" coordsize="21600,21600">
            <v:path arrowok="t"/>
            <v:fill focussize="0,0"/>
            <v:stroke/>
            <v:imagedata o:title=""/>
            <o:lock v:ext="edit"/>
          </v:line>
        </w:pict>
      </w:r>
      <w:r>
        <w:rPr>
          <w:sz w:val="24"/>
        </w:rPr>
        <w:pict>
          <v:line id="_x0000_s1134" o:spid="_x0000_s1134" o:spt="20" style="position:absolute;left:0pt;margin-left:257.75pt;margin-top:21.15pt;height:0.05pt;width:68.35pt;z-index:1024;mso-width-relative:page;mso-height-relative:page;" coordsize="21600,21600">
            <v:path arrowok="t"/>
            <v:fill focussize="0,0"/>
            <v:stroke/>
            <v:imagedata o:title=""/>
            <o:lock v:ext="edit"/>
          </v:line>
        </w:pict>
      </w:r>
      <w:r>
        <w:rPr>
          <w:sz w:val="24"/>
        </w:rPr>
        <w:pict>
          <v:rect id="_x0000_s1121" o:spid="_x0000_s1121" o:spt="1" style="position:absolute;left:0pt;margin-left:196.15pt;margin-top:10pt;height:23.9pt;width:61.05pt;z-index:1024;mso-width-relative:page;mso-height-relative:page;" filled="f" coordsize="21600,21600">
            <v:path/>
            <v:fill on="f" focussize="0,0"/>
            <v:stroke/>
            <v:imagedata o:title=""/>
            <o:lock v:ext="edit"/>
            <v:textbox>
              <w:txbxContent>
                <w:p>
                  <w:pPr>
                    <w:rPr>
                      <w:sz w:val="24"/>
                    </w:rPr>
                  </w:pPr>
                  <w:r>
                    <w:rPr>
                      <w:rFonts w:hint="eastAsia"/>
                      <w:sz w:val="24"/>
                    </w:rPr>
                    <w:t>反击破</w:t>
                  </w:r>
                </w:p>
              </w:txbxContent>
            </v:textbox>
          </v:rect>
        </w:pict>
      </w:r>
    </w:p>
    <w:p>
      <w:pPr>
        <w:spacing w:line="360" w:lineRule="auto"/>
        <w:ind w:firstLine="480" w:firstLineChars="200"/>
        <w:rPr>
          <w:rFonts w:ascii="宋体" w:hAnsi="宋体"/>
          <w:sz w:val="24"/>
        </w:rPr>
      </w:pPr>
      <w:r>
        <w:rPr>
          <w:sz w:val="24"/>
        </w:rPr>
        <w:pict>
          <v:line id="_x0000_s1127" o:spid="_x0000_s1127" o:spt="20" style="position:absolute;left:0pt;margin-left:224.85pt;margin-top:9.45pt;height:27.9pt;width:0.05pt;z-index:1024;mso-width-relative:page;mso-height-relative:page;" coordsize="21600,21600">
            <v:path arrowok="t"/>
            <v:fill focussize="0,0"/>
            <v:stroke endarrow="open"/>
            <v:imagedata o:title=""/>
            <o:lock v:ext="edit"/>
          </v:line>
        </w:pict>
      </w:r>
    </w:p>
    <w:p>
      <w:pPr>
        <w:spacing w:line="360" w:lineRule="auto"/>
        <w:ind w:firstLine="480" w:firstLineChars="200"/>
        <w:rPr>
          <w:rFonts w:ascii="宋体" w:hAnsi="宋体"/>
          <w:sz w:val="24"/>
        </w:rPr>
      </w:pPr>
      <w:r>
        <w:rPr>
          <w:sz w:val="24"/>
        </w:rPr>
        <w:pict>
          <v:line id="_x0000_s1136" o:spid="_x0000_s1136" o:spt="20" style="position:absolute;left:0pt;margin-left:269.7pt;margin-top:18.25pt;height:0.05pt;width:26.55pt;z-index:1024;mso-width-relative:page;mso-height-relative:page;" coordsize="21600,21600">
            <v:path arrowok="t"/>
            <v:fill focussize="0,0"/>
            <v:stroke endarrow="open"/>
            <v:imagedata o:title=""/>
            <o:lock v:ext="edit"/>
          </v:line>
        </w:pict>
      </w:r>
      <w:r>
        <w:rPr>
          <w:sz w:val="24"/>
        </w:rPr>
        <w:pict>
          <v:rect id="_x0000_s1122" o:spid="_x0000_s1122" o:spt="1" style="position:absolute;left:0pt;margin-left:195.5pt;margin-top:12.75pt;height:23.9pt;width:61.05pt;z-index:1024;mso-width-relative:page;mso-height-relative:page;" filled="f" coordsize="21600,21600">
            <v:path/>
            <v:fill on="f" focussize="0,0"/>
            <v:stroke/>
            <v:imagedata o:title=""/>
            <o:lock v:ext="edit"/>
            <v:textbox>
              <w:txbxContent>
                <w:p>
                  <w:pPr>
                    <w:rPr>
                      <w:sz w:val="24"/>
                    </w:rPr>
                  </w:pPr>
                  <w:r>
                    <w:rPr>
                      <w:rFonts w:hint="eastAsia"/>
                      <w:sz w:val="24"/>
                    </w:rPr>
                    <w:t>振动筛</w:t>
                  </w:r>
                </w:p>
              </w:txbxContent>
            </v:textbox>
          </v:rect>
        </w:pict>
      </w:r>
      <w:r>
        <w:rPr>
          <w:rFonts w:hint="eastAsia" w:ascii="宋体" w:hAnsi="宋体"/>
          <w:sz w:val="24"/>
        </w:rPr>
        <w:t xml:space="preserve">                                      </w:t>
      </w:r>
      <w:r>
        <w:rPr>
          <w:rFonts w:hint="eastAsia" w:ascii="宋体" w:hAnsi="宋体" w:cs="宋体"/>
          <w:sz w:val="24"/>
        </w:rPr>
        <w:t>≧100mm</w:t>
      </w:r>
      <w:r>
        <w:rPr>
          <w:rFonts w:hint="eastAsia" w:ascii="宋体" w:hAnsi="宋体"/>
          <w:sz w:val="24"/>
        </w:rPr>
        <w:t>回料</w:t>
      </w:r>
    </w:p>
    <w:p>
      <w:pPr>
        <w:spacing w:line="360" w:lineRule="auto"/>
        <w:ind w:firstLine="480" w:firstLineChars="200"/>
        <w:rPr>
          <w:rFonts w:ascii="宋体" w:hAnsi="宋体"/>
          <w:sz w:val="24"/>
        </w:rPr>
      </w:pPr>
      <w:r>
        <w:rPr>
          <w:sz w:val="24"/>
        </w:rPr>
        <w:pict>
          <v:line id="_x0000_s1133" o:spid="_x0000_s1133" o:spt="20" style="position:absolute;left:0pt;margin-left:258.4pt;margin-top:2.3pt;height:0.05pt;width:67.7pt;z-index:1024;mso-width-relative:page;mso-height-relative:page;" coordsize="21600,21600">
            <v:path arrowok="t"/>
            <v:fill focussize="0,0"/>
            <v:stroke/>
            <v:imagedata o:title=""/>
            <o:lock v:ext="edit"/>
          </v:line>
        </w:pict>
      </w:r>
      <w:r>
        <w:rPr>
          <w:sz w:val="24"/>
        </w:rPr>
        <w:pict>
          <v:line id="_x0000_s1128" o:spid="_x0000_s1128" o:spt="20" style="position:absolute;left:0pt;margin-left:225.55pt;margin-top:13.15pt;height:27.9pt;width:0.05pt;z-index:1024;mso-width-relative:page;mso-height-relative:page;" coordsize="21600,21600">
            <v:path arrowok="t"/>
            <v:fill focussize="0,0"/>
            <v:stroke endarrow="open"/>
            <v:imagedata o:title=""/>
            <o:lock v:ext="edit"/>
          </v:line>
        </w:pict>
      </w:r>
    </w:p>
    <w:p>
      <w:pPr>
        <w:spacing w:line="360" w:lineRule="auto"/>
        <w:ind w:firstLine="4560" w:firstLineChars="1900"/>
        <w:rPr>
          <w:rFonts w:ascii="宋体" w:hAnsi="宋体"/>
          <w:sz w:val="24"/>
        </w:rPr>
      </w:pPr>
      <w:r>
        <w:rPr>
          <w:rFonts w:hint="eastAsia" w:ascii="宋体" w:hAnsi="宋体" w:cs="宋体"/>
          <w:sz w:val="24"/>
        </w:rPr>
        <w:t>≦100mm</w:t>
      </w:r>
      <w:r>
        <w:rPr>
          <w:sz w:val="24"/>
        </w:rPr>
        <w:pict>
          <v:rect id="_x0000_s1123" o:spid="_x0000_s1123" o:spt="1" style="position:absolute;left:0pt;margin-left:197.6pt;margin-top:16.95pt;height:23.9pt;width:61.05pt;z-index:1024;mso-width-relative:page;mso-height-relative:page;" filled="f" coordsize="21600,21600">
            <v:path/>
            <v:fill on="f" focussize="0,0"/>
            <v:stroke/>
            <v:imagedata o:title=""/>
            <o:lock v:ext="edit"/>
            <v:textbox>
              <w:txbxContent>
                <w:p>
                  <w:pPr>
                    <w:rPr>
                      <w:sz w:val="24"/>
                    </w:rPr>
                  </w:pPr>
                  <w:r>
                    <w:rPr>
                      <w:rFonts w:hint="eastAsia"/>
                      <w:sz w:val="24"/>
                    </w:rPr>
                    <w:t>洗砂机</w:t>
                  </w:r>
                </w:p>
              </w:txbxContent>
            </v:textbox>
          </v:rect>
        </w:pict>
      </w:r>
    </w:p>
    <w:p>
      <w:pPr>
        <w:spacing w:line="360" w:lineRule="auto"/>
        <w:ind w:firstLine="480" w:firstLineChars="200"/>
        <w:rPr>
          <w:rFonts w:ascii="宋体" w:hAnsi="宋体"/>
          <w:sz w:val="24"/>
        </w:rPr>
      </w:pPr>
      <w:r>
        <w:rPr>
          <w:sz w:val="24"/>
        </w:rPr>
        <w:pict>
          <v:line id="_x0000_s1125" o:spid="_x0000_s1125" o:spt="20" style="position:absolute;left:0pt;margin-left:226.05pt;margin-top:18.15pt;height:27.9pt;width:0.05pt;z-index:1024;mso-width-relative:page;mso-height-relative:page;" coordsize="21600,21600">
            <v:path arrowok="t"/>
            <v:fill focussize="0,0"/>
            <v:stroke endarrow="open"/>
            <v:imagedata o:title=""/>
            <o:lock v:ext="edit"/>
          </v:line>
        </w:pict>
      </w:r>
    </w:p>
    <w:p>
      <w:pPr>
        <w:spacing w:line="360" w:lineRule="auto"/>
        <w:ind w:firstLine="4560" w:firstLineChars="1900"/>
        <w:rPr>
          <w:rFonts w:ascii="宋体" w:hAnsi="宋体"/>
          <w:sz w:val="24"/>
        </w:rPr>
      </w:pPr>
      <w:r>
        <w:rPr>
          <w:rFonts w:hint="eastAsia" w:ascii="宋体" w:hAnsi="宋体"/>
          <w:sz w:val="24"/>
        </w:rPr>
        <w:t>产品</w:t>
      </w:r>
    </w:p>
    <w:p>
      <w:pPr>
        <w:spacing w:line="360" w:lineRule="auto"/>
        <w:ind w:firstLine="480" w:firstLineChars="200"/>
        <w:rPr>
          <w:rFonts w:ascii="宋体" w:hAnsi="宋体"/>
          <w:sz w:val="24"/>
        </w:rPr>
      </w:pPr>
      <w:r>
        <w:rPr>
          <w:sz w:val="24"/>
        </w:rPr>
        <w:pict>
          <v:line id="_x0000_s1150" o:spid="_x0000_s1150" o:spt="20" style="position:absolute;left:0pt;margin-left:270pt;margin-top:1.1pt;height:39.65pt;width:0.05pt;z-index:1024;mso-width-relative:page;mso-height-relative:page;" filled="t" coordsize="21600,21600">
            <v:path arrowok="t"/>
            <v:fill on="t" focussize="0,0"/>
            <v:stroke endarrow="open"/>
            <v:imagedata o:title=""/>
            <o:lock v:ext="edit"/>
          </v:line>
        </w:pict>
      </w:r>
      <w:r>
        <w:rPr>
          <w:sz w:val="24"/>
        </w:rPr>
        <w:pict>
          <v:line id="_x0000_s1149" o:spid="_x0000_s1149" o:spt="20" style="position:absolute;left:0pt;margin-left:195.85pt;margin-top:1.9pt;height:39.65pt;width:0.05pt;z-index:1024;mso-width-relative:page;mso-height-relative:page;" filled="t" coordsize="21600,21600">
            <v:path arrowok="t"/>
            <v:fill on="t" focussize="0,0"/>
            <v:stroke endarrow="open"/>
            <v:imagedata o:title=""/>
            <o:lock v:ext="edit"/>
          </v:line>
        </w:pict>
      </w:r>
      <w:r>
        <w:rPr>
          <w:sz w:val="24"/>
        </w:rPr>
        <w:pict>
          <v:line id="_x0000_s1148" o:spid="_x0000_s1148" o:spt="20" style="position:absolute;left:0pt;margin-left:121pt;margin-top:1.5pt;height:39.65pt;width:0.05pt;z-index:1024;mso-width-relative:page;mso-height-relative:page;" filled="t" coordsize="21600,21600">
            <v:path arrowok="t"/>
            <v:fill on="t" focussize="0,0"/>
            <v:stroke endarrow="open"/>
            <v:imagedata o:title=""/>
            <o:lock v:ext="edit"/>
          </v:line>
        </w:pict>
      </w:r>
      <w:r>
        <w:rPr>
          <w:sz w:val="24"/>
        </w:rPr>
        <w:pict>
          <v:line id="_x0000_s1151" o:spid="_x0000_s1151" o:spt="20" style="position:absolute;left:0pt;margin-left:342.35pt;margin-top:1.5pt;height:39.65pt;width:0.05pt;z-index:1024;mso-width-relative:page;mso-height-relative:page;" filled="t" coordsize="21600,21600">
            <v:path arrowok="t"/>
            <v:fill on="t" focussize="0,0"/>
            <v:stroke endarrow="open"/>
            <v:imagedata o:title=""/>
            <o:lock v:ext="edit"/>
          </v:line>
        </w:pict>
      </w:r>
      <w:r>
        <w:rPr>
          <w:sz w:val="24"/>
        </w:rPr>
        <w:pict>
          <v:line id="_x0000_s1147" o:spid="_x0000_s1147" o:spt="20" style="position:absolute;left:0pt;margin-left:119.95pt;margin-top:0.65pt;height:0.05pt;width:221.35pt;z-index:1024;mso-width-relative:page;mso-height-relative:page;" filled="t" coordsize="21600,21600">
            <v:path arrowok="t"/>
            <v:fill on="t" focussize="0,0"/>
            <v:stroke/>
            <v:imagedata o:title=""/>
            <o:lock v:ext="edit"/>
          </v:line>
        </w:pict>
      </w:r>
      <w:r>
        <w:rPr>
          <w:rFonts w:hint="eastAsia" w:ascii="宋体" w:hAnsi="宋体"/>
          <w:sz w:val="24"/>
        </w:rPr>
        <w:t xml:space="preserve">                               </w:t>
      </w:r>
    </w:p>
    <w:p>
      <w:pPr>
        <w:spacing w:line="360" w:lineRule="auto"/>
        <w:ind w:firstLine="480" w:firstLineChars="200"/>
        <w:rPr>
          <w:rFonts w:ascii="宋体" w:hAnsi="宋体"/>
          <w:sz w:val="24"/>
        </w:rPr>
      </w:pPr>
    </w:p>
    <w:p>
      <w:pPr>
        <w:spacing w:line="360" w:lineRule="auto"/>
        <w:ind w:firstLine="1920" w:firstLineChars="800"/>
        <w:rPr>
          <w:rFonts w:ascii="宋体" w:hAnsi="宋体"/>
          <w:sz w:val="24"/>
        </w:rPr>
      </w:pPr>
      <w:r>
        <w:rPr>
          <w:rFonts w:hint="eastAsia" w:ascii="宋体" w:hAnsi="宋体"/>
          <w:sz w:val="24"/>
        </w:rPr>
        <w:t>100-40mm      40-20mm     20-5mm       &lt;5mm</w:t>
      </w:r>
    </w:p>
    <w:p>
      <w:pPr>
        <w:jc w:val="center"/>
        <w:rPr>
          <w:rFonts w:ascii="宋体" w:hAnsi="宋体"/>
          <w:b/>
          <w:bCs/>
          <w:sz w:val="24"/>
        </w:rPr>
      </w:pPr>
      <w:r>
        <w:rPr>
          <w:rFonts w:hint="eastAsia" w:ascii="宋体" w:hAnsi="宋体"/>
          <w:sz w:val="24"/>
        </w:rPr>
        <w:t xml:space="preserve">   </w:t>
      </w:r>
      <w:r>
        <w:rPr>
          <w:rFonts w:hint="eastAsia" w:ascii="宋体" w:hAnsi="宋体"/>
          <w:b/>
          <w:bCs/>
          <w:szCs w:val="21"/>
        </w:rPr>
        <w:t>图6-1  生产加工工艺流程图</w:t>
      </w:r>
    </w:p>
    <w:p>
      <w:pPr>
        <w:jc w:val="center"/>
        <w:rPr>
          <w:rFonts w:ascii="宋体" w:hAnsi="宋体"/>
          <w:b/>
          <w:bCs/>
          <w:sz w:val="24"/>
        </w:rPr>
      </w:pPr>
    </w:p>
    <w:p>
      <w:pPr>
        <w:numPr>
          <w:ilvl w:val="1"/>
          <w:numId w:val="2"/>
        </w:numPr>
        <w:spacing w:line="360" w:lineRule="auto"/>
        <w:outlineLvl w:val="1"/>
        <w:rPr>
          <w:rFonts w:ascii="宋体" w:hAnsi="宋体" w:cs="宋体"/>
          <w:b/>
          <w:bCs/>
          <w:color w:val="000000"/>
          <w:sz w:val="30"/>
          <w:szCs w:val="30"/>
        </w:rPr>
      </w:pPr>
      <w:bookmarkStart w:id="189" w:name="_Toc3377"/>
      <w:r>
        <w:rPr>
          <w:rFonts w:hint="eastAsia" w:ascii="宋体" w:hAnsi="宋体" w:cs="宋体"/>
          <w:b/>
          <w:bCs/>
          <w:color w:val="000000"/>
          <w:sz w:val="30"/>
          <w:szCs w:val="30"/>
        </w:rPr>
        <w:t>主要加工设备</w:t>
      </w:r>
      <w:bookmarkEnd w:id="188"/>
      <w:bookmarkEnd w:id="189"/>
    </w:p>
    <w:p>
      <w:pPr>
        <w:pStyle w:val="18"/>
        <w:spacing w:line="240" w:lineRule="auto"/>
        <w:ind w:firstLine="0" w:firstLineChars="0"/>
        <w:jc w:val="center"/>
        <w:rPr>
          <w:rFonts w:eastAsia="仿宋"/>
          <w:b/>
          <w:kern w:val="10"/>
          <w:sz w:val="24"/>
          <w:szCs w:val="24"/>
        </w:rPr>
      </w:pPr>
      <w:r>
        <w:rPr>
          <w:rFonts w:hint="eastAsia" w:eastAsia="仿宋"/>
          <w:b/>
          <w:kern w:val="10"/>
          <w:sz w:val="24"/>
          <w:szCs w:val="24"/>
        </w:rPr>
        <w:t xml:space="preserve">表6-1  </w:t>
      </w:r>
      <w:r>
        <w:rPr>
          <w:rFonts w:eastAsia="仿宋"/>
          <w:b/>
          <w:kern w:val="10"/>
          <w:sz w:val="24"/>
          <w:szCs w:val="24"/>
        </w:rPr>
        <w:t>主要加工设备表</w:t>
      </w:r>
    </w:p>
    <w:tbl>
      <w:tblPr>
        <w:tblStyle w:val="59"/>
        <w:tblW w:w="84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785"/>
        <w:gridCol w:w="2116"/>
        <w:gridCol w:w="176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1110" w:type="dxa"/>
            <w:tcBorders>
              <w:top w:val="single" w:color="auto" w:sz="12" w:space="0"/>
              <w:left w:val="single" w:color="auto" w:sz="12" w:space="0"/>
            </w:tcBorders>
            <w:vAlign w:val="center"/>
          </w:tcPr>
          <w:p>
            <w:pPr>
              <w:adjustRightInd w:val="0"/>
              <w:snapToGrid w:val="0"/>
              <w:jc w:val="center"/>
              <w:rPr>
                <w:rFonts w:ascii="Calibri" w:hAnsi="宋体"/>
                <w:szCs w:val="21"/>
              </w:rPr>
            </w:pPr>
            <w:r>
              <w:rPr>
                <w:rFonts w:hint="eastAsia" w:ascii="Calibri" w:hAnsi="宋体"/>
                <w:szCs w:val="21"/>
              </w:rPr>
              <w:t>序号</w:t>
            </w:r>
          </w:p>
        </w:tc>
        <w:tc>
          <w:tcPr>
            <w:tcW w:w="1785" w:type="dxa"/>
            <w:tcBorders>
              <w:top w:val="single" w:color="auto" w:sz="12" w:space="0"/>
            </w:tcBorders>
            <w:vAlign w:val="center"/>
          </w:tcPr>
          <w:p>
            <w:pPr>
              <w:adjustRightInd w:val="0"/>
              <w:snapToGrid w:val="0"/>
              <w:jc w:val="center"/>
              <w:rPr>
                <w:rFonts w:ascii="Calibri" w:hAnsi="宋体"/>
                <w:szCs w:val="21"/>
              </w:rPr>
            </w:pPr>
            <w:r>
              <w:rPr>
                <w:rFonts w:hint="eastAsia" w:ascii="Calibri" w:hAnsi="宋体"/>
                <w:szCs w:val="21"/>
              </w:rPr>
              <w:t>设备名称</w:t>
            </w:r>
          </w:p>
        </w:tc>
        <w:tc>
          <w:tcPr>
            <w:tcW w:w="2116" w:type="dxa"/>
            <w:tcBorders>
              <w:top w:val="single" w:color="auto" w:sz="12" w:space="0"/>
            </w:tcBorders>
            <w:vAlign w:val="center"/>
          </w:tcPr>
          <w:p>
            <w:pPr>
              <w:adjustRightInd w:val="0"/>
              <w:snapToGrid w:val="0"/>
              <w:jc w:val="center"/>
              <w:rPr>
                <w:rFonts w:ascii="Calibri" w:hAnsi="宋体"/>
                <w:szCs w:val="21"/>
              </w:rPr>
            </w:pPr>
            <w:r>
              <w:rPr>
                <w:rFonts w:hint="eastAsia" w:ascii="Calibri" w:hAnsi="宋体"/>
                <w:szCs w:val="21"/>
              </w:rPr>
              <w:t>规格</w:t>
            </w:r>
          </w:p>
        </w:tc>
        <w:tc>
          <w:tcPr>
            <w:tcW w:w="1760" w:type="dxa"/>
            <w:tcBorders>
              <w:top w:val="single" w:color="auto" w:sz="12" w:space="0"/>
            </w:tcBorders>
            <w:vAlign w:val="center"/>
          </w:tcPr>
          <w:p>
            <w:pPr>
              <w:adjustRightInd w:val="0"/>
              <w:snapToGrid w:val="0"/>
              <w:jc w:val="center"/>
              <w:rPr>
                <w:rFonts w:ascii="Calibri" w:hAnsi="宋体"/>
                <w:szCs w:val="21"/>
              </w:rPr>
            </w:pPr>
            <w:r>
              <w:rPr>
                <w:rFonts w:hint="eastAsia" w:ascii="Calibri" w:hAnsi="宋体"/>
                <w:szCs w:val="21"/>
              </w:rPr>
              <w:t>单位</w:t>
            </w:r>
          </w:p>
        </w:tc>
        <w:tc>
          <w:tcPr>
            <w:tcW w:w="1680" w:type="dxa"/>
            <w:tcBorders>
              <w:top w:val="single" w:color="auto" w:sz="12" w:space="0"/>
              <w:right w:val="single" w:color="auto" w:sz="12" w:space="0"/>
            </w:tcBorders>
            <w:vAlign w:val="center"/>
          </w:tcPr>
          <w:p>
            <w:pPr>
              <w:adjustRightInd w:val="0"/>
              <w:snapToGrid w:val="0"/>
              <w:jc w:val="center"/>
              <w:rPr>
                <w:rFonts w:ascii="Calibri" w:hAnsi="宋体"/>
                <w:szCs w:val="21"/>
              </w:rPr>
            </w:pPr>
            <w:r>
              <w:rPr>
                <w:rFonts w:hint="eastAsia" w:ascii="Calibri"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1110" w:type="dxa"/>
            <w:vMerge w:val="restart"/>
            <w:tcBorders>
              <w:left w:val="single" w:color="auto" w:sz="12" w:space="0"/>
            </w:tcBorders>
            <w:vAlign w:val="center"/>
          </w:tcPr>
          <w:p>
            <w:pPr>
              <w:adjustRightInd w:val="0"/>
              <w:snapToGrid w:val="0"/>
              <w:jc w:val="center"/>
              <w:rPr>
                <w:rFonts w:ascii="Calibri" w:hAnsi="宋体"/>
                <w:szCs w:val="21"/>
              </w:rPr>
            </w:pPr>
            <w:r>
              <w:rPr>
                <w:rFonts w:hint="eastAsia" w:ascii="Calibri" w:hAnsi="宋体"/>
                <w:szCs w:val="21"/>
              </w:rPr>
              <w:t>1</w:t>
            </w:r>
          </w:p>
        </w:tc>
        <w:tc>
          <w:tcPr>
            <w:tcW w:w="1785" w:type="dxa"/>
            <w:vAlign w:val="center"/>
          </w:tcPr>
          <w:p>
            <w:pPr>
              <w:adjustRightInd w:val="0"/>
              <w:snapToGrid w:val="0"/>
              <w:jc w:val="center"/>
              <w:rPr>
                <w:rFonts w:ascii="Calibri" w:hAnsi="宋体"/>
                <w:szCs w:val="21"/>
              </w:rPr>
            </w:pPr>
            <w:r>
              <w:rPr>
                <w:rFonts w:hint="eastAsia" w:ascii="Calibri" w:hAnsi="宋体"/>
                <w:szCs w:val="21"/>
              </w:rPr>
              <w:t>颚式破碎机</w:t>
            </w:r>
          </w:p>
        </w:tc>
        <w:tc>
          <w:tcPr>
            <w:tcW w:w="2116" w:type="dxa"/>
            <w:vAlign w:val="center"/>
          </w:tcPr>
          <w:p>
            <w:pPr>
              <w:adjustRightInd w:val="0"/>
              <w:snapToGrid w:val="0"/>
              <w:jc w:val="center"/>
              <w:rPr>
                <w:rFonts w:ascii="Calibri" w:hAnsi="宋体"/>
                <w:szCs w:val="21"/>
              </w:rPr>
            </w:pPr>
            <w:r>
              <w:rPr>
                <w:rFonts w:hint="eastAsia" w:ascii="Calibri" w:hAnsi="宋体"/>
                <w:szCs w:val="21"/>
              </w:rPr>
              <w:t>PE400×600</w:t>
            </w:r>
          </w:p>
        </w:tc>
        <w:tc>
          <w:tcPr>
            <w:tcW w:w="1760" w:type="dxa"/>
            <w:vAlign w:val="center"/>
          </w:tcPr>
          <w:p>
            <w:pPr>
              <w:adjustRightInd w:val="0"/>
              <w:snapToGrid w:val="0"/>
              <w:jc w:val="center"/>
              <w:rPr>
                <w:rFonts w:ascii="Calibri" w:hAnsi="宋体"/>
                <w:szCs w:val="21"/>
              </w:rPr>
            </w:pPr>
            <w:r>
              <w:rPr>
                <w:rFonts w:hint="eastAsia" w:ascii="Calibri" w:hAnsi="宋体"/>
                <w:szCs w:val="21"/>
              </w:rPr>
              <w:t>1（台）</w:t>
            </w:r>
          </w:p>
        </w:tc>
        <w:tc>
          <w:tcPr>
            <w:tcW w:w="1680" w:type="dxa"/>
            <w:tcBorders>
              <w:right w:val="single" w:color="auto" w:sz="12" w:space="0"/>
            </w:tcBorders>
            <w:vAlign w:val="center"/>
          </w:tcPr>
          <w:p>
            <w:pPr>
              <w:adjustRightInd w:val="0"/>
              <w:snapToGrid w:val="0"/>
              <w:jc w:val="center"/>
              <w:rPr>
                <w:rFonts w:ascii="Calibri" w:hAnsi="宋体"/>
                <w:szCs w:val="21"/>
              </w:rPr>
            </w:pPr>
            <w:r>
              <w:rPr>
                <w:rFonts w:hint="eastAsia" w:ascii="Calibri" w:hAnsi="宋体"/>
                <w:szCs w:val="21"/>
              </w:rPr>
              <w:t>粗破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1110" w:type="dxa"/>
            <w:vMerge w:val="continue"/>
            <w:tcBorders>
              <w:left w:val="single" w:color="auto" w:sz="12" w:space="0"/>
            </w:tcBorders>
            <w:vAlign w:val="center"/>
          </w:tcPr>
          <w:p>
            <w:pPr>
              <w:adjustRightInd w:val="0"/>
              <w:snapToGrid w:val="0"/>
              <w:jc w:val="center"/>
              <w:rPr>
                <w:rFonts w:ascii="Calibri" w:hAnsi="宋体"/>
                <w:szCs w:val="21"/>
              </w:rPr>
            </w:pPr>
          </w:p>
        </w:tc>
        <w:tc>
          <w:tcPr>
            <w:tcW w:w="1785" w:type="dxa"/>
            <w:vAlign w:val="center"/>
          </w:tcPr>
          <w:p>
            <w:pPr>
              <w:adjustRightInd w:val="0"/>
              <w:snapToGrid w:val="0"/>
              <w:jc w:val="center"/>
              <w:rPr>
                <w:rFonts w:ascii="Calibri" w:hAnsi="宋体"/>
                <w:szCs w:val="21"/>
              </w:rPr>
            </w:pPr>
            <w:r>
              <w:rPr>
                <w:rFonts w:hint="eastAsia" w:ascii="Calibri" w:hAnsi="宋体"/>
                <w:szCs w:val="21"/>
              </w:rPr>
              <w:t>反击式破碎机</w:t>
            </w:r>
          </w:p>
        </w:tc>
        <w:tc>
          <w:tcPr>
            <w:tcW w:w="2116" w:type="dxa"/>
            <w:vAlign w:val="center"/>
          </w:tcPr>
          <w:p>
            <w:pPr>
              <w:adjustRightInd w:val="0"/>
              <w:snapToGrid w:val="0"/>
              <w:jc w:val="center"/>
              <w:rPr>
                <w:rFonts w:ascii="Calibri" w:hAnsi="宋体"/>
                <w:szCs w:val="21"/>
              </w:rPr>
            </w:pPr>
            <w:r>
              <w:rPr>
                <w:rFonts w:hint="eastAsia" w:ascii="Calibri" w:hAnsi="宋体"/>
                <w:szCs w:val="21"/>
              </w:rPr>
              <w:t>PF-1010</w:t>
            </w:r>
          </w:p>
        </w:tc>
        <w:tc>
          <w:tcPr>
            <w:tcW w:w="1760" w:type="dxa"/>
            <w:vAlign w:val="center"/>
          </w:tcPr>
          <w:p>
            <w:pPr>
              <w:adjustRightInd w:val="0"/>
              <w:snapToGrid w:val="0"/>
              <w:jc w:val="center"/>
              <w:rPr>
                <w:rFonts w:ascii="Calibri" w:hAnsi="宋体"/>
                <w:szCs w:val="21"/>
              </w:rPr>
            </w:pPr>
            <w:r>
              <w:rPr>
                <w:rFonts w:hint="eastAsia" w:ascii="Calibri" w:hAnsi="宋体"/>
                <w:szCs w:val="21"/>
              </w:rPr>
              <w:t>1（台）</w:t>
            </w:r>
          </w:p>
        </w:tc>
        <w:tc>
          <w:tcPr>
            <w:tcW w:w="1680" w:type="dxa"/>
            <w:tcBorders>
              <w:right w:val="single" w:color="auto" w:sz="12" w:space="0"/>
            </w:tcBorders>
            <w:vAlign w:val="center"/>
          </w:tcPr>
          <w:p>
            <w:pPr>
              <w:jc w:val="center"/>
              <w:rPr>
                <w:rFonts w:ascii="Calibri"/>
                <w:szCs w:val="21"/>
              </w:rPr>
            </w:pPr>
            <w:r>
              <w:rPr>
                <w:rFonts w:hint="eastAsia" w:ascii="Calibri" w:hAnsi="宋体"/>
                <w:szCs w:val="21"/>
              </w:rPr>
              <w:t>细破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1110" w:type="dxa"/>
            <w:vMerge w:val="restart"/>
            <w:tcBorders>
              <w:left w:val="single" w:color="auto" w:sz="12" w:space="0"/>
            </w:tcBorders>
            <w:vAlign w:val="center"/>
          </w:tcPr>
          <w:p>
            <w:pPr>
              <w:adjustRightInd w:val="0"/>
              <w:snapToGrid w:val="0"/>
              <w:jc w:val="center"/>
              <w:rPr>
                <w:rFonts w:ascii="Calibri" w:hAnsi="宋体"/>
                <w:szCs w:val="21"/>
              </w:rPr>
            </w:pPr>
            <w:r>
              <w:rPr>
                <w:rFonts w:hint="eastAsia" w:ascii="Calibri" w:hAnsi="宋体"/>
                <w:szCs w:val="21"/>
              </w:rPr>
              <w:t>2</w:t>
            </w:r>
          </w:p>
        </w:tc>
        <w:tc>
          <w:tcPr>
            <w:tcW w:w="1785" w:type="dxa"/>
            <w:vAlign w:val="center"/>
          </w:tcPr>
          <w:p>
            <w:pPr>
              <w:adjustRightInd w:val="0"/>
              <w:snapToGrid w:val="0"/>
              <w:jc w:val="center"/>
              <w:rPr>
                <w:rFonts w:ascii="Calibri" w:hAnsi="宋体"/>
                <w:szCs w:val="21"/>
              </w:rPr>
            </w:pPr>
            <w:r>
              <w:rPr>
                <w:rFonts w:hint="eastAsia" w:ascii="Calibri" w:hAnsi="宋体"/>
                <w:szCs w:val="21"/>
              </w:rPr>
              <w:t>振动筛</w:t>
            </w:r>
          </w:p>
        </w:tc>
        <w:tc>
          <w:tcPr>
            <w:tcW w:w="2116" w:type="dxa"/>
            <w:vAlign w:val="center"/>
          </w:tcPr>
          <w:p>
            <w:pPr>
              <w:adjustRightInd w:val="0"/>
              <w:snapToGrid w:val="0"/>
              <w:jc w:val="center"/>
              <w:rPr>
                <w:rFonts w:ascii="Calibri" w:hAnsi="宋体"/>
                <w:szCs w:val="21"/>
              </w:rPr>
            </w:pPr>
            <w:r>
              <w:rPr>
                <w:rFonts w:hint="eastAsia" w:ascii="Calibri" w:hAnsi="宋体"/>
                <w:szCs w:val="21"/>
              </w:rPr>
              <w:t>AYH2160</w:t>
            </w:r>
          </w:p>
        </w:tc>
        <w:tc>
          <w:tcPr>
            <w:tcW w:w="1760" w:type="dxa"/>
            <w:vAlign w:val="center"/>
          </w:tcPr>
          <w:p>
            <w:pPr>
              <w:adjustRightInd w:val="0"/>
              <w:snapToGrid w:val="0"/>
              <w:jc w:val="center"/>
              <w:rPr>
                <w:rFonts w:ascii="Calibri" w:hAnsi="宋体"/>
                <w:szCs w:val="21"/>
              </w:rPr>
            </w:pPr>
            <w:r>
              <w:rPr>
                <w:rFonts w:hint="eastAsia" w:ascii="Calibri" w:hAnsi="宋体"/>
                <w:szCs w:val="21"/>
              </w:rPr>
              <w:t>2（台）</w:t>
            </w:r>
          </w:p>
        </w:tc>
        <w:tc>
          <w:tcPr>
            <w:tcW w:w="1680" w:type="dxa"/>
            <w:tcBorders>
              <w:right w:val="single" w:color="auto" w:sz="12" w:space="0"/>
            </w:tcBorders>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1110" w:type="dxa"/>
            <w:vMerge w:val="continue"/>
            <w:tcBorders>
              <w:left w:val="single" w:color="auto" w:sz="12" w:space="0"/>
            </w:tcBorders>
            <w:vAlign w:val="center"/>
          </w:tcPr>
          <w:p>
            <w:pPr>
              <w:adjustRightInd w:val="0"/>
              <w:snapToGrid w:val="0"/>
              <w:jc w:val="center"/>
              <w:rPr>
                <w:rFonts w:ascii="Calibri" w:hAnsi="宋体"/>
                <w:szCs w:val="21"/>
              </w:rPr>
            </w:pPr>
          </w:p>
        </w:tc>
        <w:tc>
          <w:tcPr>
            <w:tcW w:w="1785" w:type="dxa"/>
            <w:vAlign w:val="center"/>
          </w:tcPr>
          <w:p>
            <w:pPr>
              <w:adjustRightInd w:val="0"/>
              <w:snapToGrid w:val="0"/>
              <w:jc w:val="center"/>
              <w:rPr>
                <w:rFonts w:ascii="Calibri" w:hAnsi="宋体"/>
                <w:szCs w:val="21"/>
              </w:rPr>
            </w:pPr>
            <w:r>
              <w:rPr>
                <w:rFonts w:hint="eastAsia" w:ascii="Calibri" w:hAnsi="宋体"/>
                <w:szCs w:val="21"/>
              </w:rPr>
              <w:t>洗砂机</w:t>
            </w:r>
          </w:p>
        </w:tc>
        <w:tc>
          <w:tcPr>
            <w:tcW w:w="2116" w:type="dxa"/>
            <w:vAlign w:val="center"/>
          </w:tcPr>
          <w:p>
            <w:pPr>
              <w:adjustRightInd w:val="0"/>
              <w:snapToGrid w:val="0"/>
              <w:jc w:val="center"/>
              <w:rPr>
                <w:rFonts w:ascii="Calibri" w:hAnsi="宋体"/>
                <w:szCs w:val="21"/>
              </w:rPr>
            </w:pPr>
            <w:r>
              <w:rPr>
                <w:rFonts w:hint="eastAsia" w:ascii="Calibri" w:hAnsi="宋体"/>
                <w:szCs w:val="21"/>
              </w:rPr>
              <w:t>XL2610</w:t>
            </w:r>
          </w:p>
        </w:tc>
        <w:tc>
          <w:tcPr>
            <w:tcW w:w="1760" w:type="dxa"/>
            <w:vAlign w:val="center"/>
          </w:tcPr>
          <w:p>
            <w:pPr>
              <w:adjustRightInd w:val="0"/>
              <w:snapToGrid w:val="0"/>
              <w:jc w:val="center"/>
              <w:rPr>
                <w:rFonts w:ascii="Calibri" w:hAnsi="宋体"/>
                <w:szCs w:val="21"/>
              </w:rPr>
            </w:pPr>
            <w:r>
              <w:rPr>
                <w:rFonts w:hint="eastAsia" w:ascii="Calibri" w:hAnsi="宋体"/>
                <w:szCs w:val="21"/>
              </w:rPr>
              <w:t>1（台）</w:t>
            </w:r>
          </w:p>
        </w:tc>
        <w:tc>
          <w:tcPr>
            <w:tcW w:w="1680" w:type="dxa"/>
            <w:tcBorders>
              <w:right w:val="single" w:color="auto" w:sz="12" w:space="0"/>
            </w:tcBorders>
            <w:vAlign w:val="center"/>
          </w:tcPr>
          <w:p>
            <w:pPr>
              <w:jc w:val="center"/>
              <w:rPr>
                <w:rFonts w:ascii="Calibri"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jc w:val="center"/>
        </w:trPr>
        <w:tc>
          <w:tcPr>
            <w:tcW w:w="1110" w:type="dxa"/>
            <w:tcBorders>
              <w:left w:val="single" w:color="auto" w:sz="12" w:space="0"/>
            </w:tcBorders>
            <w:vAlign w:val="center"/>
          </w:tcPr>
          <w:p>
            <w:pPr>
              <w:adjustRightInd w:val="0"/>
              <w:snapToGrid w:val="0"/>
              <w:jc w:val="center"/>
              <w:rPr>
                <w:rFonts w:ascii="Calibri" w:hAnsi="宋体"/>
                <w:szCs w:val="21"/>
              </w:rPr>
            </w:pPr>
            <w:r>
              <w:rPr>
                <w:rFonts w:hint="eastAsia" w:ascii="Calibri" w:hAnsi="宋体"/>
                <w:szCs w:val="21"/>
              </w:rPr>
              <w:t>3</w:t>
            </w:r>
          </w:p>
        </w:tc>
        <w:tc>
          <w:tcPr>
            <w:tcW w:w="1785" w:type="dxa"/>
            <w:vAlign w:val="center"/>
          </w:tcPr>
          <w:p>
            <w:pPr>
              <w:adjustRightInd w:val="0"/>
              <w:snapToGrid w:val="0"/>
              <w:jc w:val="center"/>
              <w:rPr>
                <w:rFonts w:ascii="Calibri" w:hAnsi="宋体"/>
                <w:szCs w:val="21"/>
              </w:rPr>
            </w:pPr>
            <w:r>
              <w:rPr>
                <w:rFonts w:hint="eastAsia" w:ascii="Calibri" w:hAnsi="宋体"/>
                <w:szCs w:val="21"/>
              </w:rPr>
              <w:t>皮带输送机</w:t>
            </w:r>
          </w:p>
        </w:tc>
        <w:tc>
          <w:tcPr>
            <w:tcW w:w="2116" w:type="dxa"/>
            <w:vAlign w:val="center"/>
          </w:tcPr>
          <w:p>
            <w:pPr>
              <w:adjustRightInd w:val="0"/>
              <w:snapToGrid w:val="0"/>
              <w:jc w:val="center"/>
              <w:rPr>
                <w:rFonts w:ascii="Calibri" w:hAnsi="宋体"/>
                <w:szCs w:val="21"/>
              </w:rPr>
            </w:pPr>
            <w:r>
              <w:rPr>
                <w:rFonts w:hint="eastAsia" w:ascii="Calibri" w:hAnsi="宋体"/>
                <w:szCs w:val="21"/>
              </w:rPr>
              <w:t>B500</w:t>
            </w:r>
            <w:r>
              <w:rPr>
                <w:rFonts w:hint="eastAsia" w:ascii="Calibri" w:hAnsi="宋体" w:cs="仿宋"/>
                <w:kern w:val="10"/>
                <w:szCs w:val="21"/>
              </w:rPr>
              <w:t>～</w:t>
            </w:r>
            <w:r>
              <w:rPr>
                <w:rFonts w:hint="eastAsia" w:ascii="Calibri" w:hAnsi="宋体"/>
                <w:szCs w:val="21"/>
              </w:rPr>
              <w:t>650</w:t>
            </w:r>
          </w:p>
        </w:tc>
        <w:tc>
          <w:tcPr>
            <w:tcW w:w="1760" w:type="dxa"/>
            <w:vAlign w:val="center"/>
          </w:tcPr>
          <w:p>
            <w:pPr>
              <w:adjustRightInd w:val="0"/>
              <w:snapToGrid w:val="0"/>
              <w:jc w:val="center"/>
              <w:rPr>
                <w:rFonts w:ascii="Calibri" w:hAnsi="宋体"/>
                <w:szCs w:val="21"/>
              </w:rPr>
            </w:pPr>
            <w:r>
              <w:rPr>
                <w:rFonts w:hint="eastAsia" w:ascii="Calibri" w:hAnsi="宋体"/>
                <w:szCs w:val="21"/>
              </w:rPr>
              <w:t>8（条）</w:t>
            </w:r>
          </w:p>
        </w:tc>
        <w:tc>
          <w:tcPr>
            <w:tcW w:w="1680" w:type="dxa"/>
            <w:tcBorders>
              <w:right w:val="single" w:color="auto" w:sz="12" w:space="0"/>
            </w:tcBorders>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jc w:val="center"/>
        </w:trPr>
        <w:tc>
          <w:tcPr>
            <w:tcW w:w="1110" w:type="dxa"/>
            <w:tcBorders>
              <w:left w:val="single" w:color="auto" w:sz="12" w:space="0"/>
            </w:tcBorders>
            <w:vAlign w:val="center"/>
          </w:tcPr>
          <w:p>
            <w:pPr>
              <w:adjustRightInd w:val="0"/>
              <w:snapToGrid w:val="0"/>
              <w:jc w:val="center"/>
              <w:rPr>
                <w:rFonts w:ascii="Calibri" w:hAnsi="宋体"/>
                <w:szCs w:val="21"/>
              </w:rPr>
            </w:pPr>
            <w:r>
              <w:rPr>
                <w:rFonts w:hint="eastAsia" w:ascii="Calibri" w:hAnsi="宋体"/>
                <w:szCs w:val="21"/>
              </w:rPr>
              <w:t>4</w:t>
            </w:r>
          </w:p>
        </w:tc>
        <w:tc>
          <w:tcPr>
            <w:tcW w:w="1785" w:type="dxa"/>
            <w:vAlign w:val="center"/>
          </w:tcPr>
          <w:p>
            <w:pPr>
              <w:adjustRightInd w:val="0"/>
              <w:snapToGrid w:val="0"/>
              <w:jc w:val="center"/>
              <w:rPr>
                <w:rFonts w:ascii="Calibri" w:hAnsi="宋体"/>
                <w:szCs w:val="21"/>
              </w:rPr>
            </w:pPr>
            <w:r>
              <w:rPr>
                <w:rFonts w:hint="eastAsia" w:ascii="Calibri" w:hAnsi="宋体"/>
                <w:szCs w:val="21"/>
              </w:rPr>
              <w:t>喷淋设施</w:t>
            </w:r>
          </w:p>
        </w:tc>
        <w:tc>
          <w:tcPr>
            <w:tcW w:w="2116" w:type="dxa"/>
            <w:vAlign w:val="center"/>
          </w:tcPr>
          <w:p>
            <w:pPr>
              <w:adjustRightInd w:val="0"/>
              <w:snapToGrid w:val="0"/>
              <w:jc w:val="center"/>
              <w:rPr>
                <w:rFonts w:ascii="Calibri" w:hAnsi="宋体"/>
                <w:szCs w:val="21"/>
              </w:rPr>
            </w:pPr>
          </w:p>
        </w:tc>
        <w:tc>
          <w:tcPr>
            <w:tcW w:w="1760" w:type="dxa"/>
            <w:vAlign w:val="center"/>
          </w:tcPr>
          <w:p>
            <w:pPr>
              <w:adjustRightInd w:val="0"/>
              <w:snapToGrid w:val="0"/>
              <w:jc w:val="center"/>
              <w:rPr>
                <w:rFonts w:ascii="Calibri" w:hAnsi="宋体"/>
                <w:szCs w:val="21"/>
              </w:rPr>
            </w:pPr>
            <w:r>
              <w:rPr>
                <w:rFonts w:hint="eastAsia" w:ascii="Calibri" w:hAnsi="宋体"/>
                <w:szCs w:val="21"/>
              </w:rPr>
              <w:t>1（台）</w:t>
            </w:r>
          </w:p>
        </w:tc>
        <w:tc>
          <w:tcPr>
            <w:tcW w:w="1680" w:type="dxa"/>
            <w:tcBorders>
              <w:right w:val="single" w:color="auto" w:sz="12" w:space="0"/>
            </w:tcBorders>
            <w:vAlign w:val="center"/>
          </w:tcPr>
          <w:p>
            <w:pPr>
              <w:jc w:val="center"/>
              <w:rPr>
                <w:rFonts w:ascii="Calibri"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jc w:val="center"/>
        </w:trPr>
        <w:tc>
          <w:tcPr>
            <w:tcW w:w="1110" w:type="dxa"/>
            <w:tcBorders>
              <w:left w:val="single" w:color="auto" w:sz="12" w:space="0"/>
            </w:tcBorders>
            <w:vAlign w:val="center"/>
          </w:tcPr>
          <w:p>
            <w:pPr>
              <w:adjustRightInd w:val="0"/>
              <w:snapToGrid w:val="0"/>
              <w:jc w:val="center"/>
              <w:rPr>
                <w:rFonts w:ascii="Calibri" w:hAnsi="宋体"/>
                <w:szCs w:val="21"/>
              </w:rPr>
            </w:pPr>
            <w:r>
              <w:rPr>
                <w:rFonts w:hint="eastAsia" w:ascii="Calibri" w:hAnsi="宋体"/>
                <w:szCs w:val="21"/>
              </w:rPr>
              <w:t>5</w:t>
            </w:r>
          </w:p>
        </w:tc>
        <w:tc>
          <w:tcPr>
            <w:tcW w:w="1785" w:type="dxa"/>
            <w:vAlign w:val="center"/>
          </w:tcPr>
          <w:p>
            <w:pPr>
              <w:adjustRightInd w:val="0"/>
              <w:snapToGrid w:val="0"/>
              <w:jc w:val="center"/>
              <w:rPr>
                <w:rFonts w:ascii="Calibri" w:hAnsi="宋体"/>
                <w:szCs w:val="21"/>
              </w:rPr>
            </w:pPr>
            <w:r>
              <w:rPr>
                <w:rFonts w:hint="eastAsia" w:ascii="Calibri" w:hAnsi="宋体"/>
                <w:szCs w:val="21"/>
              </w:rPr>
              <w:t>变压器</w:t>
            </w:r>
          </w:p>
        </w:tc>
        <w:tc>
          <w:tcPr>
            <w:tcW w:w="2116" w:type="dxa"/>
            <w:vAlign w:val="center"/>
          </w:tcPr>
          <w:p>
            <w:pPr>
              <w:adjustRightInd w:val="0"/>
              <w:snapToGrid w:val="0"/>
              <w:jc w:val="center"/>
              <w:rPr>
                <w:rFonts w:ascii="Calibri" w:hAnsi="宋体"/>
                <w:szCs w:val="21"/>
              </w:rPr>
            </w:pPr>
            <w:r>
              <w:rPr>
                <w:rFonts w:hint="eastAsia" w:ascii="Calibri" w:hAnsi="宋体"/>
                <w:szCs w:val="21"/>
              </w:rPr>
              <w:t>S11-400/10-0.4</w:t>
            </w:r>
          </w:p>
        </w:tc>
        <w:tc>
          <w:tcPr>
            <w:tcW w:w="1760" w:type="dxa"/>
            <w:vAlign w:val="center"/>
          </w:tcPr>
          <w:p>
            <w:pPr>
              <w:adjustRightInd w:val="0"/>
              <w:snapToGrid w:val="0"/>
              <w:jc w:val="center"/>
              <w:rPr>
                <w:rFonts w:ascii="Calibri" w:hAnsi="宋体"/>
                <w:szCs w:val="21"/>
              </w:rPr>
            </w:pPr>
            <w:r>
              <w:rPr>
                <w:rFonts w:hint="eastAsia" w:ascii="Calibri" w:hAnsi="宋体"/>
                <w:szCs w:val="21"/>
              </w:rPr>
              <w:t>1（台）</w:t>
            </w:r>
          </w:p>
        </w:tc>
        <w:tc>
          <w:tcPr>
            <w:tcW w:w="1680" w:type="dxa"/>
            <w:tcBorders>
              <w:right w:val="single" w:color="auto" w:sz="12" w:space="0"/>
            </w:tcBorders>
            <w:vAlign w:val="center"/>
          </w:tcPr>
          <w:p>
            <w:pPr>
              <w:jc w:val="center"/>
              <w:rPr>
                <w:rFonts w:ascii="Calibri" w:hAnsi="宋体"/>
                <w:szCs w:val="21"/>
              </w:rPr>
            </w:pPr>
            <w:r>
              <w:rPr>
                <w:rFonts w:hint="eastAsia" w:ascii="Calibri" w:hAnsi="宋体"/>
                <w:szCs w:val="21"/>
              </w:rPr>
              <w:t>400kVA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jc w:val="center"/>
        </w:trPr>
        <w:tc>
          <w:tcPr>
            <w:tcW w:w="1110" w:type="dxa"/>
            <w:tcBorders>
              <w:left w:val="single" w:color="auto" w:sz="12" w:space="0"/>
            </w:tcBorders>
            <w:vAlign w:val="center"/>
          </w:tcPr>
          <w:p>
            <w:pPr>
              <w:adjustRightInd w:val="0"/>
              <w:snapToGrid w:val="0"/>
              <w:jc w:val="center"/>
              <w:rPr>
                <w:rFonts w:ascii="Calibri" w:hAnsi="宋体"/>
                <w:szCs w:val="21"/>
              </w:rPr>
            </w:pPr>
            <w:r>
              <w:rPr>
                <w:rFonts w:hint="eastAsia" w:ascii="Calibri" w:hAnsi="宋体"/>
                <w:szCs w:val="21"/>
              </w:rPr>
              <w:t>6</w:t>
            </w:r>
          </w:p>
        </w:tc>
        <w:tc>
          <w:tcPr>
            <w:tcW w:w="1785" w:type="dxa"/>
            <w:vAlign w:val="center"/>
          </w:tcPr>
          <w:p>
            <w:pPr>
              <w:adjustRightInd w:val="0"/>
              <w:snapToGrid w:val="0"/>
              <w:jc w:val="center"/>
              <w:rPr>
                <w:rFonts w:ascii="Calibri" w:hAnsi="宋体"/>
                <w:szCs w:val="21"/>
              </w:rPr>
            </w:pPr>
            <w:r>
              <w:rPr>
                <w:rFonts w:hint="eastAsia" w:ascii="Calibri" w:hAnsi="宋体"/>
                <w:szCs w:val="21"/>
              </w:rPr>
              <w:t>配电控制装置</w:t>
            </w:r>
          </w:p>
        </w:tc>
        <w:tc>
          <w:tcPr>
            <w:tcW w:w="2116" w:type="dxa"/>
            <w:vAlign w:val="center"/>
          </w:tcPr>
          <w:p>
            <w:pPr>
              <w:adjustRightInd w:val="0"/>
              <w:snapToGrid w:val="0"/>
              <w:jc w:val="center"/>
              <w:rPr>
                <w:rFonts w:ascii="Calibri" w:hAnsi="宋体"/>
                <w:szCs w:val="21"/>
              </w:rPr>
            </w:pPr>
          </w:p>
        </w:tc>
        <w:tc>
          <w:tcPr>
            <w:tcW w:w="1760" w:type="dxa"/>
            <w:vAlign w:val="center"/>
          </w:tcPr>
          <w:p>
            <w:pPr>
              <w:adjustRightInd w:val="0"/>
              <w:snapToGrid w:val="0"/>
              <w:jc w:val="center"/>
              <w:rPr>
                <w:rFonts w:ascii="Calibri" w:hAnsi="宋体"/>
                <w:szCs w:val="21"/>
              </w:rPr>
            </w:pPr>
            <w:r>
              <w:rPr>
                <w:rFonts w:hint="eastAsia" w:ascii="Calibri" w:hAnsi="宋体"/>
                <w:szCs w:val="21"/>
              </w:rPr>
              <w:t>1（套）</w:t>
            </w:r>
          </w:p>
        </w:tc>
        <w:tc>
          <w:tcPr>
            <w:tcW w:w="1680" w:type="dxa"/>
            <w:tcBorders>
              <w:right w:val="single" w:color="auto" w:sz="12" w:space="0"/>
            </w:tcBorders>
            <w:vAlign w:val="center"/>
          </w:tcPr>
          <w:p>
            <w:pPr>
              <w:jc w:val="center"/>
              <w:rPr>
                <w:rFonts w:ascii="Calibri" w:hAnsi="宋体"/>
                <w:szCs w:val="21"/>
              </w:rPr>
            </w:pPr>
          </w:p>
        </w:tc>
      </w:tr>
    </w:tbl>
    <w:p>
      <w:pPr>
        <w:pStyle w:val="2"/>
        <w:snapToGrid w:val="0"/>
        <w:spacing w:before="0" w:after="240" w:line="360" w:lineRule="auto"/>
        <w:rPr>
          <w:color w:val="000000"/>
          <w:sz w:val="32"/>
          <w:szCs w:val="32"/>
        </w:rPr>
        <w:sectPr>
          <w:pgSz w:w="11906" w:h="16838"/>
          <w:pgMar w:top="1474" w:right="1474" w:bottom="1474" w:left="1588" w:header="964" w:footer="1021" w:gutter="0"/>
          <w:cols w:space="720" w:num="1"/>
          <w:docGrid w:linePitch="326" w:charSpace="0"/>
        </w:sectPr>
      </w:pPr>
      <w:bookmarkStart w:id="190" w:name="_Toc456610958"/>
    </w:p>
    <w:p>
      <w:pPr>
        <w:pStyle w:val="2"/>
        <w:numPr>
          <w:ilvl w:val="0"/>
          <w:numId w:val="2"/>
        </w:numPr>
        <w:snapToGrid w:val="0"/>
        <w:spacing w:before="0" w:after="240" w:line="360" w:lineRule="auto"/>
        <w:jc w:val="center"/>
        <w:rPr>
          <w:color w:val="000000"/>
          <w:sz w:val="32"/>
          <w:szCs w:val="32"/>
        </w:rPr>
      </w:pPr>
      <w:bookmarkStart w:id="191" w:name="_Toc12438"/>
      <w:r>
        <w:rPr>
          <w:rFonts w:hint="eastAsia"/>
          <w:color w:val="000000"/>
          <w:sz w:val="32"/>
          <w:szCs w:val="32"/>
        </w:rPr>
        <w:t>总图运输及公用辅助设施</w:t>
      </w:r>
      <w:bookmarkEnd w:id="190"/>
      <w:bookmarkEnd w:id="191"/>
    </w:p>
    <w:p>
      <w:pPr>
        <w:numPr>
          <w:ilvl w:val="1"/>
          <w:numId w:val="2"/>
        </w:numPr>
        <w:spacing w:line="360" w:lineRule="auto"/>
        <w:outlineLvl w:val="1"/>
        <w:rPr>
          <w:rFonts w:ascii="宋体" w:hAnsi="宋体" w:cs="宋体"/>
          <w:b/>
          <w:bCs/>
          <w:color w:val="000000"/>
          <w:sz w:val="30"/>
          <w:szCs w:val="30"/>
        </w:rPr>
      </w:pPr>
      <w:bookmarkStart w:id="192" w:name="_Toc11495"/>
      <w:bookmarkStart w:id="193" w:name="_Toc364440442"/>
      <w:bookmarkStart w:id="194" w:name="_Toc21500"/>
      <w:bookmarkStart w:id="195" w:name="_Toc456610959"/>
      <w:bookmarkStart w:id="196" w:name="_Toc249115591"/>
      <w:r>
        <w:rPr>
          <w:rFonts w:hint="eastAsia" w:ascii="宋体" w:hAnsi="宋体" w:cs="宋体"/>
          <w:b/>
          <w:bCs/>
          <w:color w:val="000000"/>
          <w:sz w:val="30"/>
          <w:szCs w:val="30"/>
        </w:rPr>
        <w:t>总平面布置</w:t>
      </w:r>
      <w:bookmarkEnd w:id="192"/>
      <w:bookmarkEnd w:id="193"/>
      <w:bookmarkEnd w:id="194"/>
      <w:bookmarkEnd w:id="195"/>
      <w:bookmarkEnd w:id="196"/>
    </w:p>
    <w:p>
      <w:pPr>
        <w:spacing w:line="360" w:lineRule="auto"/>
        <w:ind w:firstLine="480" w:firstLineChars="200"/>
        <w:rPr>
          <w:rFonts w:ascii="宋体" w:hAnsi="宋体" w:cs="宋体"/>
          <w:sz w:val="24"/>
        </w:rPr>
      </w:pPr>
      <w:r>
        <w:rPr>
          <w:rFonts w:hint="eastAsia" w:ascii="宋体" w:hAnsi="宋体" w:cs="宋体"/>
          <w:sz w:val="24"/>
        </w:rPr>
        <w:t>矿区由工业场地、采矿场、矿山道路、破碎站等几部分组成</w:t>
      </w:r>
      <w:r>
        <w:rPr>
          <w:rFonts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rPr>
        <w:t>矿山不设爆破器材库，由当地民爆公司配送。</w:t>
      </w:r>
    </w:p>
    <w:p>
      <w:pPr>
        <w:numPr>
          <w:ilvl w:val="2"/>
          <w:numId w:val="2"/>
        </w:numPr>
        <w:spacing w:line="360" w:lineRule="auto"/>
        <w:outlineLvl w:val="2"/>
        <w:rPr>
          <w:rFonts w:ascii="宋体"/>
          <w:b/>
          <w:bCs/>
          <w:sz w:val="28"/>
          <w:szCs w:val="28"/>
          <w:lang w:val="zh-TW"/>
        </w:rPr>
      </w:pPr>
      <w:r>
        <w:rPr>
          <w:rFonts w:hint="eastAsia" w:ascii="宋体"/>
          <w:b/>
          <w:bCs/>
          <w:sz w:val="28"/>
          <w:szCs w:val="28"/>
          <w:lang w:val="zh-TW"/>
        </w:rPr>
        <w:t>工业场地</w:t>
      </w:r>
    </w:p>
    <w:p>
      <w:pPr>
        <w:spacing w:line="360" w:lineRule="auto"/>
        <w:ind w:firstLine="480" w:firstLineChars="200"/>
        <w:rPr>
          <w:rFonts w:ascii="宋体" w:hAnsi="宋体" w:cs="宋体"/>
          <w:sz w:val="24"/>
        </w:rPr>
      </w:pPr>
      <w:r>
        <w:rPr>
          <w:rFonts w:hint="eastAsia" w:ascii="宋体" w:hAnsi="宋体" w:cs="宋体"/>
          <w:sz w:val="24"/>
        </w:rPr>
        <w:t>已建工业场地位于矿区东侧300m加工场地附近，主要为矿山办公室、职工休息室、变电所及各种材料库等生产辅助设施。</w:t>
      </w:r>
    </w:p>
    <w:p>
      <w:pPr>
        <w:numPr>
          <w:ilvl w:val="2"/>
          <w:numId w:val="2"/>
        </w:numPr>
        <w:spacing w:line="360" w:lineRule="auto"/>
        <w:outlineLvl w:val="2"/>
        <w:rPr>
          <w:rFonts w:ascii="宋体"/>
          <w:b/>
          <w:bCs/>
          <w:sz w:val="28"/>
          <w:szCs w:val="28"/>
          <w:lang w:val="zh-TW"/>
        </w:rPr>
      </w:pPr>
      <w:r>
        <w:rPr>
          <w:rFonts w:hint="eastAsia" w:ascii="宋体"/>
          <w:b/>
          <w:bCs/>
          <w:sz w:val="28"/>
          <w:szCs w:val="28"/>
          <w:lang w:val="zh-TW"/>
        </w:rPr>
        <w:t>采矿场</w:t>
      </w:r>
    </w:p>
    <w:p>
      <w:pPr>
        <w:spacing w:line="360" w:lineRule="auto"/>
        <w:ind w:firstLine="480" w:firstLineChars="200"/>
        <w:rPr>
          <w:rFonts w:ascii="宋体" w:hAnsi="宋体" w:cs="宋体"/>
          <w:sz w:val="24"/>
        </w:rPr>
      </w:pPr>
      <w:r>
        <w:rPr>
          <w:rFonts w:hint="eastAsia" w:ascii="宋体" w:hAnsi="宋体" w:cs="宋体"/>
          <w:sz w:val="24"/>
        </w:rPr>
        <w:t>采矿场占地0.0146km</w:t>
      </w:r>
      <w:r>
        <w:rPr>
          <w:rFonts w:hint="eastAsia" w:ascii="宋体" w:hAnsi="宋体" w:cs="宋体"/>
          <w:sz w:val="24"/>
          <w:vertAlign w:val="superscript"/>
        </w:rPr>
        <w:t>2</w:t>
      </w:r>
      <w:r>
        <w:rPr>
          <w:rFonts w:hint="eastAsia" w:ascii="宋体" w:hAnsi="宋体" w:cs="宋体"/>
          <w:sz w:val="24"/>
        </w:rPr>
        <w:t>，共有7个台阶。最终台阶高度10m，最高开采水平+2542m， 最低开采水平+2475m。</w:t>
      </w:r>
    </w:p>
    <w:p>
      <w:pPr>
        <w:numPr>
          <w:ilvl w:val="2"/>
          <w:numId w:val="2"/>
        </w:numPr>
        <w:spacing w:line="360" w:lineRule="auto"/>
        <w:outlineLvl w:val="2"/>
        <w:rPr>
          <w:rFonts w:ascii="宋体"/>
          <w:b/>
          <w:bCs/>
          <w:sz w:val="28"/>
          <w:szCs w:val="28"/>
          <w:lang w:val="zh-TW"/>
        </w:rPr>
      </w:pPr>
      <w:r>
        <w:rPr>
          <w:rFonts w:hint="eastAsia" w:ascii="宋体"/>
          <w:b/>
          <w:bCs/>
          <w:sz w:val="28"/>
          <w:szCs w:val="28"/>
          <w:lang w:val="zh-TW"/>
        </w:rPr>
        <w:t>矿山道路</w:t>
      </w:r>
    </w:p>
    <w:p>
      <w:pPr>
        <w:spacing w:line="360" w:lineRule="auto"/>
        <w:ind w:firstLine="480" w:firstLineChars="200"/>
        <w:rPr>
          <w:rFonts w:ascii="宋体" w:hAnsi="宋体" w:cs="宋体"/>
          <w:sz w:val="24"/>
        </w:rPr>
      </w:pPr>
      <w:r>
        <w:rPr>
          <w:rFonts w:hint="eastAsia" w:ascii="宋体" w:hAnsi="宋体" w:cs="宋体"/>
          <w:sz w:val="24"/>
        </w:rPr>
        <w:t>矿山新建运输道路为三级道路，由矿区南侧原有道路起坡通往釆场+2532m水平；</w:t>
      </w:r>
    </w:p>
    <w:p>
      <w:pPr>
        <w:spacing w:line="360" w:lineRule="auto"/>
        <w:rPr>
          <w:rFonts w:ascii="宋体" w:hAnsi="宋体" w:cs="宋体"/>
          <w:sz w:val="24"/>
        </w:rPr>
      </w:pPr>
      <w:r>
        <w:rPr>
          <w:rFonts w:hint="eastAsia" w:ascii="宋体" w:hAnsi="宋体" w:cs="宋体"/>
          <w:sz w:val="24"/>
        </w:rPr>
        <w:t>道路长约1000m,路面宽4.0m，路基宽6m，最大纵坡9%，平均纵坡6.5%，最小转弯半径15m。内侧设排水沟，排水沟尺寸为0.2mx0.5mx0.5m (下宽x上宽x高）。</w:t>
      </w:r>
    </w:p>
    <w:p>
      <w:pPr>
        <w:numPr>
          <w:ilvl w:val="2"/>
          <w:numId w:val="2"/>
        </w:numPr>
        <w:spacing w:line="360" w:lineRule="auto"/>
        <w:outlineLvl w:val="2"/>
        <w:rPr>
          <w:rFonts w:ascii="宋体"/>
          <w:b/>
          <w:bCs/>
          <w:sz w:val="28"/>
          <w:szCs w:val="28"/>
          <w:lang w:val="zh-TW"/>
        </w:rPr>
      </w:pPr>
      <w:r>
        <w:rPr>
          <w:rFonts w:hint="eastAsia" w:ascii="宋体"/>
          <w:b/>
          <w:bCs/>
          <w:sz w:val="28"/>
          <w:szCs w:val="28"/>
          <w:lang w:val="zh-TW"/>
        </w:rPr>
        <w:t>储油设施</w:t>
      </w:r>
    </w:p>
    <w:p>
      <w:pPr>
        <w:spacing w:line="360" w:lineRule="auto"/>
        <w:ind w:firstLine="480" w:firstLineChars="200"/>
        <w:rPr>
          <w:rFonts w:ascii="宋体" w:hAnsi="宋体"/>
          <w:b/>
          <w:sz w:val="24"/>
        </w:rPr>
      </w:pPr>
      <w:r>
        <w:rPr>
          <w:rFonts w:hint="eastAsia" w:ascii="宋体" w:hAnsi="宋体"/>
          <w:kern w:val="10"/>
          <w:sz w:val="24"/>
        </w:rPr>
        <w:t>工业场地设10t地埋式储油罐一个，油料由附近加油站购买，位于工业场地东侧300m处阴凉隐蔽处。</w:t>
      </w:r>
    </w:p>
    <w:p>
      <w:pPr>
        <w:numPr>
          <w:ilvl w:val="2"/>
          <w:numId w:val="2"/>
        </w:numPr>
        <w:spacing w:line="360" w:lineRule="auto"/>
        <w:outlineLvl w:val="2"/>
        <w:rPr>
          <w:rFonts w:ascii="宋体"/>
          <w:b/>
          <w:bCs/>
          <w:sz w:val="28"/>
          <w:szCs w:val="28"/>
          <w:lang w:val="zh-TW"/>
        </w:rPr>
      </w:pPr>
      <w:r>
        <w:rPr>
          <w:rFonts w:hint="eastAsia" w:ascii="宋体"/>
          <w:b/>
          <w:bCs/>
          <w:sz w:val="28"/>
          <w:szCs w:val="28"/>
          <w:lang w:val="zh-TW"/>
        </w:rPr>
        <w:t>矿山运输</w:t>
      </w:r>
    </w:p>
    <w:p>
      <w:pPr>
        <w:spacing w:line="360" w:lineRule="auto"/>
        <w:ind w:firstLine="480" w:firstLineChars="200"/>
        <w:rPr>
          <w:rFonts w:ascii="宋体" w:hAnsi="宋体" w:cs="仿宋"/>
          <w:sz w:val="24"/>
        </w:rPr>
      </w:pPr>
      <w:r>
        <w:rPr>
          <w:rFonts w:hint="eastAsia" w:ascii="宋体" w:hAnsi="宋体" w:cs="仿宋"/>
          <w:sz w:val="24"/>
        </w:rPr>
        <w:t>设计釆用东风30t矿用自卸汽车2辆，负责矿石的运输工作。行政生活物资的运输，设计利用原有生活车1辆。</w:t>
      </w:r>
    </w:p>
    <w:p>
      <w:pPr>
        <w:numPr>
          <w:ilvl w:val="2"/>
          <w:numId w:val="2"/>
        </w:numPr>
        <w:spacing w:line="360" w:lineRule="auto"/>
        <w:outlineLvl w:val="2"/>
        <w:rPr>
          <w:rFonts w:ascii="宋体"/>
          <w:b/>
          <w:bCs/>
          <w:sz w:val="28"/>
          <w:szCs w:val="28"/>
          <w:lang w:val="zh-TW"/>
        </w:rPr>
      </w:pPr>
      <w:r>
        <w:rPr>
          <w:rFonts w:hint="eastAsia" w:ascii="宋体"/>
          <w:b/>
          <w:bCs/>
          <w:sz w:val="28"/>
          <w:szCs w:val="28"/>
          <w:lang w:val="zh-TW"/>
        </w:rPr>
        <w:t>排土场</w:t>
      </w:r>
    </w:p>
    <w:p>
      <w:pPr>
        <w:spacing w:line="360" w:lineRule="auto"/>
        <w:ind w:firstLine="480" w:firstLineChars="200"/>
        <w:rPr>
          <w:rFonts w:ascii="宋体" w:hAnsi="宋体" w:cs="仿宋"/>
          <w:sz w:val="24"/>
        </w:rPr>
      </w:pPr>
      <w:r>
        <w:rPr>
          <w:rFonts w:hint="eastAsia" w:ascii="宋体" w:hAnsi="宋体" w:cs="仿宋"/>
          <w:sz w:val="24"/>
        </w:rPr>
        <w:t>1、</w:t>
      </w:r>
      <w:r>
        <w:rPr>
          <w:rFonts w:hint="eastAsia" w:ascii="宋体" w:hAnsi="宋体" w:cs="仿宋"/>
          <w:sz w:val="24"/>
          <w:lang w:val="zh-TW"/>
        </w:rPr>
        <w:t>场址选择</w:t>
      </w:r>
    </w:p>
    <w:p>
      <w:pPr>
        <w:spacing w:line="360" w:lineRule="auto"/>
        <w:ind w:firstLine="480" w:firstLineChars="200"/>
        <w:rPr>
          <w:rFonts w:ascii="宋体" w:hAnsi="宋体" w:cs="仿宋"/>
          <w:sz w:val="24"/>
        </w:rPr>
      </w:pPr>
      <w:r>
        <w:rPr>
          <w:rFonts w:hint="eastAsia" w:ascii="宋体" w:hAnsi="宋体" w:cs="仿宋"/>
          <w:sz w:val="24"/>
        </w:rPr>
        <w:t>根据矿山现场实地踏勘，釆场周围多为干沟，无溪流。采场南西侧发育有一干沟， 干沟宽40m，长200m，距离矿山100m，顶部汇水面积为4500m</w:t>
      </w:r>
      <w:r>
        <w:rPr>
          <w:rFonts w:hint="eastAsia" w:ascii="宋体" w:hAnsi="宋体" w:cs="仿宋"/>
          <w:sz w:val="24"/>
          <w:vertAlign w:val="superscript"/>
        </w:rPr>
        <w:t>2</w:t>
      </w:r>
      <w:r>
        <w:rPr>
          <w:rFonts w:hint="eastAsia" w:ascii="宋体" w:hAnsi="宋体" w:cs="仿宋"/>
          <w:sz w:val="24"/>
        </w:rPr>
        <w:t>，汇水面积较小，可做为矿山排土场。矿山开采采用边开采边治理方案，排土场为临时排土场，待矿山开采闭坑后，剥离表土将全部用于矿山环境恢复治理与土地复垦。</w:t>
      </w:r>
    </w:p>
    <w:p>
      <w:pPr>
        <w:tabs>
          <w:tab w:val="left" w:pos="851"/>
        </w:tabs>
        <w:spacing w:line="360" w:lineRule="auto"/>
        <w:ind w:left="420"/>
        <w:rPr>
          <w:rFonts w:ascii="宋体" w:hAnsi="宋体" w:cs="仿宋"/>
          <w:sz w:val="24"/>
        </w:rPr>
      </w:pPr>
      <w:r>
        <w:rPr>
          <w:rFonts w:hint="eastAsia" w:ascii="宋体" w:hAnsi="宋体" w:cs="仿宋"/>
          <w:sz w:val="24"/>
        </w:rPr>
        <w:t>2、排土场容量</w:t>
      </w:r>
    </w:p>
    <w:p>
      <w:pPr>
        <w:tabs>
          <w:tab w:val="left" w:pos="851"/>
        </w:tabs>
        <w:spacing w:line="360" w:lineRule="auto"/>
        <w:ind w:firstLine="480" w:firstLineChars="200"/>
        <w:rPr>
          <w:rFonts w:ascii="宋体" w:hAnsi="宋体" w:cs="仿宋"/>
          <w:sz w:val="24"/>
        </w:rPr>
      </w:pPr>
      <w:r>
        <w:rPr>
          <w:rFonts w:hint="eastAsia" w:ascii="宋体" w:hAnsi="宋体" w:cs="仿宋"/>
          <w:sz w:val="24"/>
        </w:rPr>
        <w:t>本矿剥离量为7.60万立方米，主要为冲积褐红色砂质粘土，其中20% (约1.5万立方米）可全部用于修整道路、平整工业场地等综合利用，剩余全部堆放至临时排土场。</w:t>
      </w:r>
    </w:p>
    <w:p>
      <w:pPr>
        <w:tabs>
          <w:tab w:val="left" w:pos="851"/>
        </w:tabs>
        <w:spacing w:line="360" w:lineRule="auto"/>
        <w:ind w:firstLine="480" w:firstLineChars="200"/>
        <w:rPr>
          <w:rFonts w:ascii="宋体" w:hAnsi="宋体" w:cs="仿宋"/>
          <w:sz w:val="24"/>
        </w:rPr>
      </w:pPr>
      <w:r>
        <w:rPr>
          <w:rFonts w:hint="eastAsia" w:ascii="宋体" w:hAnsi="宋体" w:cs="仿宋"/>
          <w:sz w:val="24"/>
        </w:rPr>
        <w:t>排土场面积约8000m</w:t>
      </w:r>
      <w:r>
        <w:rPr>
          <w:rFonts w:hint="eastAsia" w:ascii="宋体" w:hAnsi="宋体" w:cs="仿宋"/>
          <w:sz w:val="24"/>
          <w:vertAlign w:val="superscript"/>
        </w:rPr>
        <w:t>2</w:t>
      </w:r>
      <w:r>
        <w:rPr>
          <w:rFonts w:hint="eastAsia" w:ascii="宋体" w:hAnsi="宋体" w:cs="仿宋"/>
          <w:sz w:val="24"/>
        </w:rPr>
        <w:t>，堆放总高度30m，实际容积约8.0万立方米；考虑到废石土的松散系数为1.3、排土沉降系数1.15，则排土场的有效容量约7.0万立方米，矿山开采釆用边开釆边治理方案，排土场容量能满足矿山废土的排放。</w:t>
      </w:r>
    </w:p>
    <w:p>
      <w:pPr>
        <w:tabs>
          <w:tab w:val="left" w:pos="851"/>
        </w:tabs>
        <w:spacing w:line="360" w:lineRule="auto"/>
        <w:ind w:left="420"/>
        <w:rPr>
          <w:rFonts w:ascii="宋体" w:hAnsi="宋体" w:cs="仿宋"/>
          <w:sz w:val="24"/>
        </w:rPr>
      </w:pPr>
      <w:r>
        <w:rPr>
          <w:rFonts w:hint="eastAsia" w:ascii="宋体" w:hAnsi="宋体" w:cs="仿宋"/>
          <w:sz w:val="24"/>
        </w:rPr>
        <w:t>3、排土方式</w:t>
      </w:r>
    </w:p>
    <w:p>
      <w:pPr>
        <w:tabs>
          <w:tab w:val="left" w:pos="851"/>
        </w:tabs>
        <w:spacing w:line="360" w:lineRule="auto"/>
        <w:ind w:firstLine="480" w:firstLineChars="200"/>
        <w:rPr>
          <w:rFonts w:ascii="宋体" w:hAnsi="宋体" w:cs="仿宋"/>
          <w:sz w:val="24"/>
        </w:rPr>
      </w:pPr>
      <w:r>
        <w:rPr>
          <w:rFonts w:hint="eastAsia" w:ascii="宋体" w:hAnsi="宋体" w:cs="仿宋"/>
          <w:sz w:val="24"/>
        </w:rPr>
        <w:t>采用机械推排的方式，即生产中的废土通过30t自卸汽车直接运至排土场，在排土引导员的指挥下，直接将废土石排放在排土平台外边缘，由装载机进行平整。</w:t>
      </w:r>
    </w:p>
    <w:p>
      <w:pPr>
        <w:tabs>
          <w:tab w:val="left" w:pos="851"/>
        </w:tabs>
        <w:spacing w:line="360" w:lineRule="auto"/>
        <w:ind w:left="420"/>
        <w:rPr>
          <w:rFonts w:ascii="宋体" w:hAnsi="宋体" w:cs="仿宋"/>
          <w:sz w:val="24"/>
        </w:rPr>
      </w:pPr>
      <w:bookmarkStart w:id="197" w:name="bookmark4"/>
      <w:r>
        <w:rPr>
          <w:rFonts w:hint="eastAsia" w:ascii="宋体" w:hAnsi="宋体" w:cs="宋体"/>
          <w:color w:val="000000"/>
          <w:sz w:val="24"/>
        </w:rPr>
        <w:t>4、</w:t>
      </w:r>
      <w:r>
        <w:rPr>
          <w:rFonts w:hint="eastAsia" w:ascii="宋体" w:hAnsi="宋体" w:cs="宋体"/>
          <w:color w:val="000000"/>
          <w:sz w:val="24"/>
          <w:lang w:val="zh-TW"/>
        </w:rPr>
        <w:t>排土场技术参数</w:t>
      </w:r>
      <w:bookmarkEnd w:id="197"/>
    </w:p>
    <w:p>
      <w:pPr>
        <w:tabs>
          <w:tab w:val="left" w:pos="851"/>
        </w:tabs>
        <w:spacing w:line="360" w:lineRule="auto"/>
        <w:ind w:firstLine="480" w:firstLineChars="200"/>
        <w:rPr>
          <w:rFonts w:ascii="宋体" w:hAnsi="宋体" w:cs="仿宋"/>
          <w:sz w:val="24"/>
        </w:rPr>
      </w:pPr>
      <w:r>
        <w:rPr>
          <w:rFonts w:hint="eastAsia" w:ascii="宋体" w:hAnsi="宋体" w:cs="仿宋"/>
          <w:sz w:val="24"/>
        </w:rPr>
        <w:t>排土场实行控制排土高度、实行分段、分层混合排放、修建台阶的原则。</w:t>
      </w:r>
    </w:p>
    <w:p>
      <w:pPr>
        <w:tabs>
          <w:tab w:val="left" w:pos="851"/>
        </w:tabs>
        <w:spacing w:line="360" w:lineRule="auto"/>
        <w:ind w:firstLine="480" w:firstLineChars="200"/>
        <w:rPr>
          <w:rFonts w:ascii="宋体" w:hAnsi="宋体" w:cs="仿宋"/>
          <w:sz w:val="24"/>
        </w:rPr>
      </w:pPr>
      <w:r>
        <w:rPr>
          <w:rFonts w:hint="eastAsia" w:ascii="宋体" w:hAnsi="宋体" w:cs="仿宋"/>
          <w:sz w:val="24"/>
        </w:rPr>
        <w:t>设计排土场初步分6个台阶，台阶高5m，分台阶坡面角45°，平台宽4m，其最终边坡角为30°。</w:t>
      </w:r>
    </w:p>
    <w:p>
      <w:pPr>
        <w:tabs>
          <w:tab w:val="left" w:pos="851"/>
        </w:tabs>
        <w:spacing w:line="360" w:lineRule="auto"/>
        <w:ind w:firstLine="480" w:firstLineChars="200"/>
        <w:rPr>
          <w:rFonts w:ascii="宋体" w:hAnsi="宋体" w:cs="仿宋"/>
          <w:sz w:val="24"/>
        </w:rPr>
      </w:pPr>
      <w:r>
        <w:rPr>
          <w:rFonts w:hint="eastAsia" w:ascii="宋体" w:hAnsi="宋体" w:cs="仿宋"/>
          <w:sz w:val="24"/>
        </w:rPr>
        <w:t>为防止水土流失，排土场上部周边设截水沟，拦截外围汇水，防止汇水进入排土场；截水沟总长约500m，上口宽lm，下口宽0.6m，高0.6m,与下游道路排水沟相连。</w:t>
      </w:r>
    </w:p>
    <w:p>
      <w:pPr>
        <w:tabs>
          <w:tab w:val="left" w:pos="851"/>
        </w:tabs>
        <w:spacing w:line="360" w:lineRule="auto"/>
        <w:ind w:firstLine="480" w:firstLineChars="200"/>
        <w:rPr>
          <w:rFonts w:ascii="宋体" w:hAnsi="宋体" w:cs="仿宋"/>
          <w:sz w:val="24"/>
        </w:rPr>
      </w:pPr>
      <w:r>
        <w:rPr>
          <w:rFonts w:hint="eastAsia" w:ascii="宋体" w:hAnsi="宋体" w:cs="仿宋"/>
          <w:sz w:val="24"/>
        </w:rPr>
        <w:t>排土场下游设挡土坝，坝长约100m，顶宽lm，底宽约3m，高2m。坝体采用土石夯实坝，内坡坡度60°，外坡坡度45°。</w:t>
      </w:r>
    </w:p>
    <w:p>
      <w:pPr>
        <w:tabs>
          <w:tab w:val="left" w:pos="851"/>
        </w:tabs>
        <w:spacing w:line="360" w:lineRule="auto"/>
        <w:ind w:left="420"/>
        <w:rPr>
          <w:rFonts w:ascii="宋体" w:hAnsi="宋体" w:cs="仿宋"/>
          <w:sz w:val="24"/>
        </w:rPr>
      </w:pPr>
      <w:bookmarkStart w:id="198" w:name="bookmark5"/>
      <w:r>
        <w:rPr>
          <w:rFonts w:hint="eastAsia" w:ascii="宋体" w:hAnsi="宋体" w:cs="宋体"/>
          <w:color w:val="000000"/>
          <w:sz w:val="24"/>
        </w:rPr>
        <w:t>5、</w:t>
      </w:r>
      <w:r>
        <w:rPr>
          <w:rFonts w:hint="eastAsia" w:ascii="宋体" w:hAnsi="宋体" w:cs="宋体"/>
          <w:color w:val="000000"/>
          <w:sz w:val="24"/>
          <w:lang w:val="zh-TW"/>
        </w:rPr>
        <w:t>防水措施</w:t>
      </w:r>
      <w:bookmarkEnd w:id="198"/>
    </w:p>
    <w:p>
      <w:pPr>
        <w:tabs>
          <w:tab w:val="left" w:pos="851"/>
        </w:tabs>
        <w:spacing w:line="360" w:lineRule="auto"/>
        <w:ind w:firstLine="480" w:firstLineChars="200"/>
        <w:rPr>
          <w:rFonts w:ascii="宋体" w:hAnsi="宋体" w:cs="仿宋"/>
          <w:sz w:val="24"/>
        </w:rPr>
      </w:pPr>
      <w:r>
        <w:rPr>
          <w:rFonts w:hint="eastAsia" w:ascii="宋体" w:hAnsi="宋体" w:cs="仿宋"/>
          <w:sz w:val="24"/>
        </w:rPr>
        <w:t>排土场周边修建泄洪沟，将上部汇水引入下游，下方修建拦砂坝，防止暴雨时期对排土场的冲刷。</w:t>
      </w:r>
    </w:p>
    <w:p>
      <w:pPr>
        <w:tabs>
          <w:tab w:val="left" w:pos="851"/>
        </w:tabs>
        <w:spacing w:line="360" w:lineRule="auto"/>
        <w:ind w:left="420"/>
        <w:rPr>
          <w:rFonts w:ascii="宋体" w:hAnsi="宋体" w:cs="仿宋"/>
          <w:sz w:val="24"/>
        </w:rPr>
      </w:pPr>
      <w:bookmarkStart w:id="199" w:name="bookmark6"/>
      <w:r>
        <w:rPr>
          <w:rFonts w:hint="eastAsia" w:ascii="宋体" w:hAnsi="宋体" w:cs="宋体"/>
          <w:color w:val="000000"/>
          <w:sz w:val="24"/>
        </w:rPr>
        <w:t>6、</w:t>
      </w:r>
      <w:r>
        <w:rPr>
          <w:rFonts w:hint="eastAsia" w:ascii="宋体" w:hAnsi="宋体" w:cs="宋体"/>
          <w:color w:val="000000"/>
          <w:sz w:val="24"/>
          <w:lang w:val="zh-TW"/>
        </w:rPr>
        <w:t>存在问题及说明</w:t>
      </w:r>
      <w:bookmarkEnd w:id="199"/>
    </w:p>
    <w:p>
      <w:pPr>
        <w:tabs>
          <w:tab w:val="left" w:pos="851"/>
        </w:tabs>
        <w:spacing w:line="360" w:lineRule="auto"/>
        <w:ind w:firstLine="480" w:firstLineChars="200"/>
        <w:rPr>
          <w:rFonts w:ascii="宋体" w:hAnsi="宋体" w:cs="仿宋"/>
          <w:sz w:val="24"/>
        </w:rPr>
      </w:pPr>
      <w:r>
        <w:rPr>
          <w:rFonts w:hint="eastAsia" w:ascii="宋体" w:hAnsi="宋体" w:cs="仿宋"/>
          <w:sz w:val="24"/>
        </w:rPr>
        <w:t>堆土方式为自卸汽车单段堆排作业，利用装载机平整，因沟内面积较大，可将总边坡角控制在10%之内，便于通车，合理安排堆排顺序，健全排土场管理制度和操作规程。</w:t>
      </w:r>
    </w:p>
    <w:p>
      <w:pPr>
        <w:tabs>
          <w:tab w:val="left" w:pos="851"/>
        </w:tabs>
        <w:spacing w:line="360" w:lineRule="auto"/>
        <w:ind w:firstLine="480" w:firstLineChars="200"/>
        <w:rPr>
          <w:rFonts w:ascii="宋体" w:hAnsi="宋体" w:cs="仿宋"/>
          <w:sz w:val="24"/>
          <w:lang w:val="zh-TW"/>
        </w:rPr>
      </w:pPr>
      <w:r>
        <w:rPr>
          <w:rFonts w:hint="eastAsia" w:ascii="宋体" w:hAnsi="宋体" w:cs="仿宋"/>
          <w:sz w:val="24"/>
        </w:rPr>
        <w:t>7、</w:t>
      </w:r>
      <w:r>
        <w:rPr>
          <w:rFonts w:hint="eastAsia" w:ascii="宋体" w:hAnsi="宋体" w:cs="仿宋"/>
          <w:sz w:val="24"/>
          <w:lang w:val="zh-TW"/>
        </w:rPr>
        <w:t>主要技术指标</w:t>
      </w:r>
    </w:p>
    <w:p>
      <w:pPr>
        <w:tabs>
          <w:tab w:val="left" w:pos="851"/>
        </w:tabs>
        <w:spacing w:line="360" w:lineRule="auto"/>
        <w:ind w:firstLine="480" w:firstLineChars="200"/>
        <w:rPr>
          <w:rFonts w:ascii="宋体" w:hAnsi="宋体" w:cs="仿宋"/>
          <w:sz w:val="24"/>
        </w:rPr>
      </w:pPr>
      <w:r>
        <w:rPr>
          <w:rFonts w:hint="eastAsia" w:ascii="宋体" w:hAnsi="宋体" w:cs="仿宋"/>
          <w:sz w:val="24"/>
        </w:rPr>
        <w:t>总平面布置主要技术指标见表7-1。</w:t>
      </w:r>
    </w:p>
    <w:p>
      <w:pPr>
        <w:tabs>
          <w:tab w:val="left" w:pos="851"/>
        </w:tabs>
        <w:spacing w:line="360" w:lineRule="auto"/>
        <w:jc w:val="center"/>
        <w:rPr>
          <w:rFonts w:ascii="宋体" w:hAnsi="宋体" w:cs="仿宋"/>
          <w:sz w:val="24"/>
        </w:rPr>
      </w:pPr>
      <w:r>
        <w:rPr>
          <w:rFonts w:hint="eastAsia" w:ascii="宋体" w:hAnsi="宋体" w:cs="仿宋"/>
          <w:b/>
          <w:bCs/>
          <w:szCs w:val="21"/>
        </w:rPr>
        <w:t>表7-1  总平面布置主要技术指标表</w:t>
      </w:r>
    </w:p>
    <w:tbl>
      <w:tblPr>
        <w:tblStyle w:val="59"/>
        <w:tblW w:w="8819" w:type="dxa"/>
        <w:jc w:val="center"/>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864"/>
        <w:gridCol w:w="1008"/>
        <w:gridCol w:w="2290"/>
        <w:gridCol w:w="1436"/>
        <w:gridCol w:w="1451"/>
        <w:gridCol w:w="1770"/>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42" w:hRule="exact"/>
          <w:jc w:val="center"/>
        </w:trPr>
        <w:tc>
          <w:tcPr>
            <w:tcW w:w="864" w:type="dxa"/>
            <w:shd w:val="clear" w:color="auto" w:fill="FFFFFF"/>
            <w:vAlign w:val="center"/>
          </w:tcPr>
          <w:p>
            <w:pPr>
              <w:jc w:val="center"/>
              <w:rPr>
                <w:rFonts w:ascii="Calibri"/>
                <w:szCs w:val="21"/>
              </w:rPr>
            </w:pPr>
            <w:r>
              <w:rPr>
                <w:rFonts w:hint="eastAsia" w:ascii="Calibri"/>
                <w:szCs w:val="21"/>
              </w:rPr>
              <w:t>序号</w:t>
            </w:r>
          </w:p>
        </w:tc>
        <w:tc>
          <w:tcPr>
            <w:tcW w:w="3298" w:type="dxa"/>
            <w:gridSpan w:val="2"/>
            <w:tcBorders>
              <w:left w:val="single" w:color="auto" w:sz="4" w:space="0"/>
            </w:tcBorders>
            <w:shd w:val="clear" w:color="auto" w:fill="FFFFFF"/>
            <w:vAlign w:val="center"/>
          </w:tcPr>
          <w:p>
            <w:pPr>
              <w:jc w:val="center"/>
              <w:rPr>
                <w:rFonts w:ascii="Calibri"/>
                <w:szCs w:val="21"/>
              </w:rPr>
            </w:pPr>
            <w:r>
              <w:rPr>
                <w:rFonts w:hint="eastAsia" w:ascii="Calibri"/>
                <w:szCs w:val="21"/>
              </w:rPr>
              <w:t>名称</w:t>
            </w:r>
          </w:p>
        </w:tc>
        <w:tc>
          <w:tcPr>
            <w:tcW w:w="1436" w:type="dxa"/>
            <w:tcBorders>
              <w:left w:val="single" w:color="auto" w:sz="4" w:space="0"/>
            </w:tcBorders>
            <w:shd w:val="clear" w:color="auto" w:fill="FFFFFF"/>
            <w:vAlign w:val="center"/>
          </w:tcPr>
          <w:p>
            <w:pPr>
              <w:jc w:val="center"/>
              <w:rPr>
                <w:rFonts w:ascii="Calibri"/>
                <w:szCs w:val="21"/>
              </w:rPr>
            </w:pPr>
            <w:r>
              <w:rPr>
                <w:rFonts w:hint="eastAsia" w:ascii="Calibri"/>
                <w:szCs w:val="21"/>
              </w:rPr>
              <w:t>单位</w:t>
            </w:r>
          </w:p>
        </w:tc>
        <w:tc>
          <w:tcPr>
            <w:tcW w:w="1451" w:type="dxa"/>
            <w:tcBorders>
              <w:left w:val="single" w:color="auto" w:sz="4" w:space="0"/>
            </w:tcBorders>
            <w:shd w:val="clear" w:color="auto" w:fill="FFFFFF"/>
            <w:vAlign w:val="center"/>
          </w:tcPr>
          <w:p>
            <w:pPr>
              <w:jc w:val="center"/>
              <w:rPr>
                <w:rFonts w:ascii="Calibri"/>
                <w:szCs w:val="21"/>
              </w:rPr>
            </w:pPr>
            <w:r>
              <w:rPr>
                <w:rFonts w:hint="eastAsia" w:ascii="Calibri"/>
                <w:szCs w:val="21"/>
              </w:rPr>
              <w:t>数量</w:t>
            </w:r>
          </w:p>
        </w:tc>
        <w:tc>
          <w:tcPr>
            <w:tcW w:w="1770" w:type="dxa"/>
            <w:tcBorders>
              <w:left w:val="single" w:color="auto" w:sz="4" w:space="0"/>
            </w:tcBorders>
            <w:shd w:val="clear" w:color="auto" w:fill="FFFFFF"/>
            <w:vAlign w:val="center"/>
          </w:tcPr>
          <w:p>
            <w:pPr>
              <w:jc w:val="center"/>
              <w:rPr>
                <w:rFonts w:ascii="Calibri"/>
                <w:szCs w:val="21"/>
              </w:rPr>
            </w:pPr>
            <w:r>
              <w:rPr>
                <w:rFonts w:hint="eastAsia" w:ascii="Calibri"/>
                <w:szCs w:val="21"/>
              </w:rPr>
              <w:t>备注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20" w:hRule="exact"/>
          <w:jc w:val="center"/>
        </w:trPr>
        <w:tc>
          <w:tcPr>
            <w:tcW w:w="864" w:type="dxa"/>
            <w:vMerge w:val="restart"/>
            <w:tcBorders>
              <w:top w:val="single" w:color="auto" w:sz="4" w:space="0"/>
            </w:tcBorders>
            <w:shd w:val="clear" w:color="auto" w:fill="FFFFFF"/>
            <w:vAlign w:val="center"/>
          </w:tcPr>
          <w:p>
            <w:pPr>
              <w:jc w:val="center"/>
              <w:rPr>
                <w:rFonts w:ascii="Calibri"/>
                <w:szCs w:val="21"/>
              </w:rPr>
            </w:pPr>
            <w:r>
              <w:rPr>
                <w:rFonts w:hint="eastAsia" w:ascii="Calibri"/>
                <w:szCs w:val="21"/>
                <w:lang w:val="zh-TW"/>
              </w:rPr>
              <w:t>1</w:t>
            </w:r>
          </w:p>
        </w:tc>
        <w:tc>
          <w:tcPr>
            <w:tcW w:w="3298" w:type="dxa"/>
            <w:gridSpan w:val="2"/>
            <w:tcBorders>
              <w:top w:val="single" w:color="auto" w:sz="4" w:space="0"/>
              <w:left w:val="single" w:color="auto" w:sz="4" w:space="0"/>
            </w:tcBorders>
            <w:shd w:val="clear" w:color="auto" w:fill="FFFFFF"/>
            <w:vAlign w:val="center"/>
          </w:tcPr>
          <w:p>
            <w:pPr>
              <w:rPr>
                <w:rFonts w:ascii="Calibri"/>
                <w:szCs w:val="21"/>
              </w:rPr>
            </w:pPr>
            <w:r>
              <w:rPr>
                <w:rFonts w:hint="eastAsia" w:ascii="Calibri"/>
                <w:szCs w:val="21"/>
              </w:rPr>
              <w:t>矿区占地</w:t>
            </w:r>
          </w:p>
        </w:tc>
        <w:tc>
          <w:tcPr>
            <w:tcW w:w="1436"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km</w:t>
            </w:r>
            <w:r>
              <w:rPr>
                <w:rFonts w:hint="eastAsia" w:ascii="Calibri"/>
                <w:szCs w:val="21"/>
                <w:vertAlign w:val="superscript"/>
              </w:rPr>
              <w:t>2</w:t>
            </w:r>
          </w:p>
        </w:tc>
        <w:tc>
          <w:tcPr>
            <w:tcW w:w="1451"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0.0167</w:t>
            </w:r>
          </w:p>
        </w:tc>
        <w:tc>
          <w:tcPr>
            <w:tcW w:w="1770" w:type="dxa"/>
            <w:tcBorders>
              <w:top w:val="single" w:color="auto" w:sz="4" w:space="0"/>
              <w:left w:val="single" w:color="auto" w:sz="4" w:space="0"/>
            </w:tcBorders>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24" w:hRule="exact"/>
          <w:jc w:val="center"/>
        </w:trPr>
        <w:tc>
          <w:tcPr>
            <w:tcW w:w="864" w:type="dxa"/>
            <w:vMerge w:val="continue"/>
            <w:shd w:val="clear" w:color="auto" w:fill="FFFFFF"/>
            <w:vAlign w:val="center"/>
          </w:tcPr>
          <w:p>
            <w:pPr>
              <w:jc w:val="center"/>
              <w:rPr>
                <w:rFonts w:ascii="Calibri"/>
                <w:szCs w:val="21"/>
              </w:rPr>
            </w:pPr>
          </w:p>
        </w:tc>
        <w:tc>
          <w:tcPr>
            <w:tcW w:w="1008" w:type="dxa"/>
            <w:vMerge w:val="restart"/>
            <w:tcBorders>
              <w:top w:val="single" w:color="auto" w:sz="4" w:space="0"/>
              <w:left w:val="single" w:color="auto" w:sz="4" w:space="0"/>
            </w:tcBorders>
            <w:shd w:val="clear" w:color="auto" w:fill="FFFFFF"/>
            <w:vAlign w:val="center"/>
          </w:tcPr>
          <w:p>
            <w:pPr>
              <w:rPr>
                <w:rFonts w:ascii="Calibri"/>
                <w:szCs w:val="21"/>
              </w:rPr>
            </w:pPr>
            <w:r>
              <w:rPr>
                <w:rFonts w:hint="eastAsia" w:ascii="Calibri"/>
                <w:szCs w:val="21"/>
              </w:rPr>
              <w:t>其中</w:t>
            </w:r>
          </w:p>
        </w:tc>
        <w:tc>
          <w:tcPr>
            <w:tcW w:w="2290" w:type="dxa"/>
            <w:tcBorders>
              <w:top w:val="single" w:color="auto" w:sz="4" w:space="0"/>
              <w:left w:val="single" w:color="auto" w:sz="4" w:space="0"/>
            </w:tcBorders>
            <w:shd w:val="clear" w:color="auto" w:fill="FFFFFF"/>
            <w:vAlign w:val="center"/>
          </w:tcPr>
          <w:p>
            <w:pPr>
              <w:rPr>
                <w:rFonts w:ascii="Calibri"/>
                <w:szCs w:val="21"/>
              </w:rPr>
            </w:pPr>
            <w:r>
              <w:rPr>
                <w:rFonts w:hint="eastAsia" w:ascii="Calibri"/>
                <w:szCs w:val="21"/>
              </w:rPr>
              <w:t>采矿场</w:t>
            </w:r>
          </w:p>
        </w:tc>
        <w:tc>
          <w:tcPr>
            <w:tcW w:w="1436"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km</w:t>
            </w:r>
            <w:r>
              <w:rPr>
                <w:rFonts w:hint="eastAsia" w:ascii="Calibri"/>
                <w:szCs w:val="21"/>
                <w:vertAlign w:val="superscript"/>
              </w:rPr>
              <w:t>2</w:t>
            </w:r>
          </w:p>
        </w:tc>
        <w:tc>
          <w:tcPr>
            <w:tcW w:w="1451"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0.0146</w:t>
            </w:r>
          </w:p>
        </w:tc>
        <w:tc>
          <w:tcPr>
            <w:tcW w:w="1770" w:type="dxa"/>
            <w:tcBorders>
              <w:top w:val="single" w:color="auto" w:sz="4" w:space="0"/>
              <w:left w:val="single" w:color="auto" w:sz="4" w:space="0"/>
            </w:tcBorders>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28" w:hRule="exact"/>
          <w:jc w:val="center"/>
        </w:trPr>
        <w:tc>
          <w:tcPr>
            <w:tcW w:w="864" w:type="dxa"/>
            <w:vMerge w:val="continue"/>
            <w:shd w:val="clear" w:color="auto" w:fill="FFFFFF"/>
            <w:vAlign w:val="center"/>
          </w:tcPr>
          <w:p>
            <w:pPr>
              <w:jc w:val="center"/>
              <w:rPr>
                <w:rFonts w:ascii="Calibri"/>
                <w:szCs w:val="21"/>
              </w:rPr>
            </w:pPr>
          </w:p>
        </w:tc>
        <w:tc>
          <w:tcPr>
            <w:tcW w:w="1008" w:type="dxa"/>
            <w:vMerge w:val="continue"/>
            <w:tcBorders>
              <w:left w:val="single" w:color="auto" w:sz="4" w:space="0"/>
            </w:tcBorders>
            <w:shd w:val="clear" w:color="auto" w:fill="FFFFFF"/>
            <w:vAlign w:val="center"/>
          </w:tcPr>
          <w:p>
            <w:pPr>
              <w:rPr>
                <w:rFonts w:ascii="Calibri"/>
                <w:szCs w:val="21"/>
              </w:rPr>
            </w:pPr>
          </w:p>
        </w:tc>
        <w:tc>
          <w:tcPr>
            <w:tcW w:w="2290" w:type="dxa"/>
            <w:tcBorders>
              <w:top w:val="single" w:color="auto" w:sz="4" w:space="0"/>
              <w:left w:val="single" w:color="auto" w:sz="4" w:space="0"/>
            </w:tcBorders>
            <w:shd w:val="clear" w:color="auto" w:fill="FFFFFF"/>
            <w:vAlign w:val="center"/>
          </w:tcPr>
          <w:p>
            <w:pPr>
              <w:rPr>
                <w:rFonts w:ascii="Calibri"/>
                <w:szCs w:val="21"/>
              </w:rPr>
            </w:pPr>
            <w:r>
              <w:rPr>
                <w:rFonts w:hint="eastAsia" w:ascii="Calibri"/>
                <w:szCs w:val="21"/>
              </w:rPr>
              <w:t>工业场地</w:t>
            </w:r>
          </w:p>
        </w:tc>
        <w:tc>
          <w:tcPr>
            <w:tcW w:w="1436"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km</w:t>
            </w:r>
            <w:r>
              <w:rPr>
                <w:rFonts w:hint="eastAsia" w:ascii="Calibri"/>
                <w:szCs w:val="21"/>
                <w:vertAlign w:val="superscript"/>
              </w:rPr>
              <w:t>2</w:t>
            </w:r>
          </w:p>
        </w:tc>
        <w:tc>
          <w:tcPr>
            <w:tcW w:w="1451"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0.001</w:t>
            </w:r>
          </w:p>
        </w:tc>
        <w:tc>
          <w:tcPr>
            <w:tcW w:w="1770" w:type="dxa"/>
            <w:tcBorders>
              <w:top w:val="single" w:color="auto" w:sz="4" w:space="0"/>
              <w:left w:val="single" w:color="auto" w:sz="4" w:space="0"/>
            </w:tcBorders>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24" w:hRule="exact"/>
          <w:jc w:val="center"/>
        </w:trPr>
        <w:tc>
          <w:tcPr>
            <w:tcW w:w="864" w:type="dxa"/>
            <w:tcBorders>
              <w:top w:val="single" w:color="auto" w:sz="4" w:space="0"/>
            </w:tcBorders>
            <w:shd w:val="clear" w:color="auto" w:fill="FFFFFF"/>
            <w:vAlign w:val="center"/>
          </w:tcPr>
          <w:p>
            <w:pPr>
              <w:jc w:val="center"/>
              <w:rPr>
                <w:rFonts w:ascii="Calibri"/>
                <w:szCs w:val="21"/>
              </w:rPr>
            </w:pPr>
            <w:r>
              <w:rPr>
                <w:rFonts w:hint="eastAsia" w:ascii="Calibri"/>
                <w:szCs w:val="21"/>
                <w:lang w:val="zh-TW"/>
              </w:rPr>
              <w:t>2</w:t>
            </w:r>
          </w:p>
        </w:tc>
        <w:tc>
          <w:tcPr>
            <w:tcW w:w="3298" w:type="dxa"/>
            <w:gridSpan w:val="2"/>
            <w:tcBorders>
              <w:top w:val="single" w:color="auto" w:sz="4" w:space="0"/>
              <w:left w:val="single" w:color="auto" w:sz="4" w:space="0"/>
            </w:tcBorders>
            <w:shd w:val="clear" w:color="auto" w:fill="FFFFFF"/>
            <w:vAlign w:val="center"/>
          </w:tcPr>
          <w:p>
            <w:pPr>
              <w:rPr>
                <w:rFonts w:ascii="Calibri"/>
                <w:szCs w:val="21"/>
              </w:rPr>
            </w:pPr>
            <w:r>
              <w:rPr>
                <w:rFonts w:hint="eastAsia" w:ascii="Calibri"/>
                <w:szCs w:val="21"/>
              </w:rPr>
              <w:t>矿山道路长度</w:t>
            </w:r>
          </w:p>
        </w:tc>
        <w:tc>
          <w:tcPr>
            <w:tcW w:w="1436"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m</w:t>
            </w:r>
          </w:p>
        </w:tc>
        <w:tc>
          <w:tcPr>
            <w:tcW w:w="1451"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1000</w:t>
            </w:r>
          </w:p>
        </w:tc>
        <w:tc>
          <w:tcPr>
            <w:tcW w:w="1770"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设计运输道路</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20" w:hRule="exact"/>
          <w:jc w:val="center"/>
        </w:trPr>
        <w:tc>
          <w:tcPr>
            <w:tcW w:w="864" w:type="dxa"/>
            <w:tcBorders>
              <w:top w:val="single" w:color="auto" w:sz="4" w:space="0"/>
            </w:tcBorders>
            <w:shd w:val="clear" w:color="auto" w:fill="FFFFFF"/>
            <w:vAlign w:val="center"/>
          </w:tcPr>
          <w:p>
            <w:pPr>
              <w:jc w:val="center"/>
              <w:rPr>
                <w:rFonts w:ascii="Calibri"/>
                <w:szCs w:val="21"/>
              </w:rPr>
            </w:pPr>
            <w:r>
              <w:rPr>
                <w:rFonts w:hint="eastAsia" w:ascii="Calibri"/>
                <w:szCs w:val="21"/>
                <w:lang w:val="zh-TW"/>
              </w:rPr>
              <w:t>3</w:t>
            </w:r>
          </w:p>
        </w:tc>
        <w:tc>
          <w:tcPr>
            <w:tcW w:w="3298" w:type="dxa"/>
            <w:gridSpan w:val="2"/>
            <w:tcBorders>
              <w:top w:val="single" w:color="auto" w:sz="4" w:space="0"/>
              <w:left w:val="single" w:color="auto" w:sz="4" w:space="0"/>
            </w:tcBorders>
            <w:shd w:val="clear" w:color="auto" w:fill="FFFFFF"/>
            <w:vAlign w:val="center"/>
          </w:tcPr>
          <w:p>
            <w:pPr>
              <w:rPr>
                <w:rFonts w:ascii="Calibri"/>
                <w:szCs w:val="21"/>
              </w:rPr>
            </w:pPr>
            <w:r>
              <w:rPr>
                <w:rFonts w:hint="eastAsia" w:ascii="Calibri"/>
                <w:szCs w:val="21"/>
              </w:rPr>
              <w:t>釆场截水沟</w:t>
            </w:r>
          </w:p>
        </w:tc>
        <w:tc>
          <w:tcPr>
            <w:tcW w:w="1436"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m</w:t>
            </w:r>
          </w:p>
        </w:tc>
        <w:tc>
          <w:tcPr>
            <w:tcW w:w="1451"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120</w:t>
            </w:r>
          </w:p>
        </w:tc>
        <w:tc>
          <w:tcPr>
            <w:tcW w:w="1770" w:type="dxa"/>
            <w:tcBorders>
              <w:top w:val="single" w:color="auto" w:sz="4" w:space="0"/>
              <w:left w:val="single" w:color="auto" w:sz="4" w:space="0"/>
            </w:tcBorders>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38" w:hRule="exact"/>
          <w:jc w:val="center"/>
        </w:trPr>
        <w:tc>
          <w:tcPr>
            <w:tcW w:w="864" w:type="dxa"/>
            <w:tcBorders>
              <w:top w:val="single" w:color="auto" w:sz="4" w:space="0"/>
            </w:tcBorders>
            <w:shd w:val="clear" w:color="auto" w:fill="FFFFFF"/>
            <w:vAlign w:val="center"/>
          </w:tcPr>
          <w:p>
            <w:pPr>
              <w:jc w:val="center"/>
              <w:rPr>
                <w:rFonts w:ascii="Calibri"/>
                <w:szCs w:val="21"/>
              </w:rPr>
            </w:pPr>
            <w:r>
              <w:rPr>
                <w:rFonts w:hint="eastAsia" w:ascii="Calibri"/>
                <w:szCs w:val="21"/>
                <w:lang w:val="zh-TW"/>
              </w:rPr>
              <w:t>4</w:t>
            </w:r>
          </w:p>
        </w:tc>
        <w:tc>
          <w:tcPr>
            <w:tcW w:w="3298" w:type="dxa"/>
            <w:gridSpan w:val="2"/>
            <w:tcBorders>
              <w:top w:val="single" w:color="auto" w:sz="4" w:space="0"/>
              <w:left w:val="single" w:color="auto" w:sz="4" w:space="0"/>
            </w:tcBorders>
            <w:shd w:val="clear" w:color="auto" w:fill="FFFFFF"/>
            <w:vAlign w:val="center"/>
          </w:tcPr>
          <w:p>
            <w:pPr>
              <w:rPr>
                <w:rFonts w:ascii="Calibri"/>
                <w:szCs w:val="21"/>
              </w:rPr>
            </w:pPr>
            <w:r>
              <w:rPr>
                <w:rFonts w:hint="eastAsia" w:ascii="Calibri"/>
                <w:szCs w:val="21"/>
              </w:rPr>
              <w:t>绿化面积</w:t>
            </w:r>
          </w:p>
        </w:tc>
        <w:tc>
          <w:tcPr>
            <w:tcW w:w="1436"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ha</w:t>
            </w:r>
          </w:p>
        </w:tc>
        <w:tc>
          <w:tcPr>
            <w:tcW w:w="1451"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1.0</w:t>
            </w:r>
          </w:p>
        </w:tc>
        <w:tc>
          <w:tcPr>
            <w:tcW w:w="1770" w:type="dxa"/>
            <w:tcBorders>
              <w:top w:val="single" w:color="auto" w:sz="4" w:space="0"/>
              <w:left w:val="single" w:color="auto" w:sz="4" w:space="0"/>
            </w:tcBorders>
            <w:shd w:val="clear" w:color="auto" w:fill="FFFFFF"/>
            <w:vAlign w:val="center"/>
          </w:tcPr>
          <w:p>
            <w:pPr>
              <w:jc w:val="center"/>
              <w:rPr>
                <w:rFonts w:ascii="Calibri"/>
                <w:szCs w:val="21"/>
              </w:rPr>
            </w:pPr>
          </w:p>
        </w:tc>
      </w:tr>
    </w:tbl>
    <w:p/>
    <w:p>
      <w:pPr>
        <w:numPr>
          <w:ilvl w:val="1"/>
          <w:numId w:val="2"/>
        </w:numPr>
        <w:spacing w:line="360" w:lineRule="auto"/>
        <w:outlineLvl w:val="1"/>
        <w:rPr>
          <w:rFonts w:ascii="宋体" w:hAnsi="宋体" w:cs="宋体"/>
          <w:b/>
          <w:bCs/>
          <w:color w:val="000000"/>
          <w:sz w:val="30"/>
          <w:szCs w:val="30"/>
        </w:rPr>
      </w:pPr>
      <w:bookmarkStart w:id="200" w:name="_Toc456610960"/>
      <w:bookmarkStart w:id="201" w:name="_Toc21076"/>
      <w:r>
        <w:rPr>
          <w:rFonts w:hint="eastAsia" w:ascii="宋体" w:hAnsi="宋体" w:cs="宋体"/>
          <w:b/>
          <w:bCs/>
          <w:color w:val="000000"/>
          <w:sz w:val="30"/>
          <w:szCs w:val="30"/>
        </w:rPr>
        <w:t>公用工程及辅助设施</w:t>
      </w:r>
      <w:bookmarkEnd w:id="200"/>
      <w:bookmarkEnd w:id="201"/>
    </w:p>
    <w:p>
      <w:pPr>
        <w:numPr>
          <w:ilvl w:val="2"/>
          <w:numId w:val="2"/>
        </w:numPr>
        <w:spacing w:line="360" w:lineRule="auto"/>
        <w:outlineLvl w:val="2"/>
        <w:rPr>
          <w:rFonts w:ascii="宋体"/>
          <w:b/>
          <w:bCs/>
          <w:sz w:val="28"/>
          <w:szCs w:val="28"/>
          <w:lang w:val="zh-TW"/>
        </w:rPr>
      </w:pPr>
      <w:r>
        <w:rPr>
          <w:rFonts w:hint="eastAsia" w:ascii="宋体"/>
          <w:b/>
          <w:bCs/>
          <w:sz w:val="28"/>
          <w:szCs w:val="28"/>
          <w:lang w:val="zh-TW"/>
        </w:rPr>
        <w:t>电源</w:t>
      </w:r>
    </w:p>
    <w:p>
      <w:pPr>
        <w:tabs>
          <w:tab w:val="left" w:pos="0"/>
        </w:tabs>
        <w:spacing w:line="360" w:lineRule="auto"/>
        <w:ind w:firstLine="472" w:firstLineChars="200"/>
        <w:rPr>
          <w:rFonts w:ascii="宋体" w:hAnsi="宋体"/>
          <w:spacing w:val="-2"/>
          <w:sz w:val="24"/>
        </w:rPr>
      </w:pPr>
      <w:r>
        <w:rPr>
          <w:rFonts w:hint="eastAsia" w:ascii="宋体" w:hAnsi="宋体"/>
          <w:spacing w:val="-2"/>
          <w:sz w:val="24"/>
        </w:rPr>
        <w:t>矿山开采设备全部为柴油驱动，无需用电。矿山用电主要为破碎生产用电。企业已从破碎站北侧2km处</w:t>
      </w:r>
      <w:r>
        <w:rPr>
          <w:rFonts w:hint="eastAsia" w:ascii="宋体" w:hAnsi="宋体"/>
          <w:spacing w:val="-2"/>
          <w:sz w:val="24"/>
          <w:lang w:eastAsia="zh-CN"/>
        </w:rPr>
        <w:t>********</w:t>
      </w:r>
      <w:r>
        <w:rPr>
          <w:rFonts w:hint="eastAsia" w:ascii="宋体" w:hAnsi="宋体"/>
          <w:spacing w:val="-2"/>
          <w:sz w:val="24"/>
        </w:rPr>
        <w:t>学校金路线10kV农用输电线路引线至工业场地内，现已架设400kVA变压器一个</w:t>
      </w:r>
      <w:r>
        <w:rPr>
          <w:rFonts w:ascii="宋体" w:hAnsi="宋体"/>
          <w:spacing w:val="-2"/>
          <w:sz w:val="24"/>
        </w:rPr>
        <w:t>。</w:t>
      </w:r>
    </w:p>
    <w:p>
      <w:pPr>
        <w:tabs>
          <w:tab w:val="left" w:pos="0"/>
        </w:tabs>
        <w:spacing w:line="360" w:lineRule="auto"/>
        <w:ind w:firstLine="472" w:firstLineChars="200"/>
        <w:rPr>
          <w:rFonts w:ascii="宋体" w:hAnsi="宋体"/>
          <w:spacing w:val="-2"/>
          <w:sz w:val="24"/>
          <w:lang w:val="zh-TW"/>
        </w:rPr>
      </w:pPr>
      <w:r>
        <w:rPr>
          <w:rFonts w:hint="eastAsia" w:ascii="宋体" w:hAnsi="宋体"/>
          <w:spacing w:val="-2"/>
          <w:sz w:val="24"/>
        </w:rPr>
        <w:t>1、</w:t>
      </w:r>
      <w:r>
        <w:rPr>
          <w:rFonts w:hint="eastAsia" w:ascii="宋体" w:hAnsi="宋体"/>
          <w:spacing w:val="-2"/>
          <w:sz w:val="24"/>
          <w:lang w:val="zh-TW"/>
        </w:rPr>
        <w:t>用电负荷</w:t>
      </w:r>
    </w:p>
    <w:p>
      <w:pPr>
        <w:tabs>
          <w:tab w:val="left" w:pos="0"/>
        </w:tabs>
        <w:spacing w:line="360" w:lineRule="auto"/>
        <w:ind w:firstLine="472" w:firstLineChars="200"/>
        <w:rPr>
          <w:rFonts w:ascii="宋体" w:hAnsi="宋体"/>
          <w:spacing w:val="-2"/>
          <w:sz w:val="24"/>
        </w:rPr>
      </w:pPr>
      <w:r>
        <w:rPr>
          <w:rFonts w:hint="eastAsia" w:ascii="宋体" w:hAnsi="宋体"/>
          <w:spacing w:val="-2"/>
          <w:sz w:val="24"/>
        </w:rPr>
        <w:t>矿山开采主要设备(挖掘机、装载机、自卸汽车等)为柴油机驱动；主要用电为辅助生产和照明，属于三类用电负荷</w:t>
      </w:r>
      <w:r>
        <w:rPr>
          <w:rFonts w:ascii="宋体" w:hAnsi="宋体"/>
          <w:spacing w:val="-2"/>
          <w:sz w:val="24"/>
        </w:rPr>
        <w:t>。</w:t>
      </w:r>
    </w:p>
    <w:p>
      <w:pPr>
        <w:pStyle w:val="124"/>
        <w:shd w:val="clear" w:color="auto" w:fill="auto"/>
        <w:tabs>
          <w:tab w:val="left" w:pos="8231"/>
        </w:tabs>
        <w:spacing w:before="0" w:after="0" w:line="380" w:lineRule="exact"/>
        <w:jc w:val="center"/>
        <w:rPr>
          <w:rFonts w:ascii="宋体" w:hAnsi="宋体" w:eastAsia="宋体" w:cs="宋体"/>
          <w:sz w:val="21"/>
          <w:szCs w:val="21"/>
        </w:rPr>
      </w:pPr>
      <w:r>
        <w:rPr>
          <w:rStyle w:val="176"/>
          <w:rFonts w:hint="eastAsia" w:ascii="宋体" w:hAnsi="宋体" w:eastAsia="宋体" w:cs="宋体"/>
          <w:b/>
          <w:bCs/>
          <w:sz w:val="21"/>
          <w:szCs w:val="21"/>
          <w:lang w:val="zh-TW"/>
        </w:rPr>
        <w:t>表</w:t>
      </w:r>
      <w:r>
        <w:rPr>
          <w:rStyle w:val="174"/>
          <w:rFonts w:hint="eastAsia" w:ascii="宋体" w:hAnsi="宋体" w:eastAsia="宋体" w:cs="宋体"/>
          <w:b/>
          <w:bCs/>
          <w:sz w:val="21"/>
          <w:szCs w:val="21"/>
          <w:lang w:val="en-US"/>
        </w:rPr>
        <w:t>7</w:t>
      </w:r>
      <w:r>
        <w:rPr>
          <w:rStyle w:val="174"/>
          <w:rFonts w:hint="eastAsia" w:ascii="宋体" w:hAnsi="宋体" w:eastAsia="宋体" w:cs="宋体"/>
          <w:b/>
          <w:bCs/>
          <w:sz w:val="21"/>
          <w:szCs w:val="21"/>
        </w:rPr>
        <w:t>-2</w:t>
      </w:r>
      <w:r>
        <w:rPr>
          <w:rStyle w:val="174"/>
          <w:rFonts w:hint="eastAsia" w:ascii="宋体" w:hAnsi="宋体" w:eastAsia="宋体" w:cs="宋体"/>
          <w:b/>
          <w:bCs/>
          <w:sz w:val="21"/>
          <w:szCs w:val="21"/>
          <w:lang w:val="en-US"/>
        </w:rPr>
        <w:t xml:space="preserve">  </w:t>
      </w:r>
      <w:r>
        <w:rPr>
          <w:rFonts w:hint="eastAsia" w:ascii="宋体" w:hAnsi="宋体" w:eastAsia="宋体" w:cs="宋体"/>
          <w:color w:val="000000"/>
          <w:sz w:val="21"/>
          <w:szCs w:val="21"/>
          <w:lang w:val="zh-TW"/>
        </w:rPr>
        <w:t>用电负荷统计表</w:t>
      </w:r>
    </w:p>
    <w:tbl>
      <w:tblPr>
        <w:tblStyle w:val="59"/>
        <w:tblW w:w="8971" w:type="dxa"/>
        <w:jc w:val="center"/>
        <w:tblInd w:w="296" w:type="dxa"/>
        <w:tblLayout w:type="fixed"/>
        <w:tblCellMar>
          <w:top w:w="0" w:type="dxa"/>
          <w:left w:w="108" w:type="dxa"/>
          <w:bottom w:w="0" w:type="dxa"/>
          <w:right w:w="108" w:type="dxa"/>
        </w:tblCellMar>
      </w:tblPr>
      <w:tblGrid>
        <w:gridCol w:w="1513"/>
        <w:gridCol w:w="1699"/>
        <w:gridCol w:w="759"/>
        <w:gridCol w:w="1063"/>
        <w:gridCol w:w="1219"/>
        <w:gridCol w:w="1337"/>
        <w:gridCol w:w="1381"/>
      </w:tblGrid>
      <w:tr>
        <w:tblPrEx>
          <w:tblLayout w:type="fixed"/>
          <w:tblCellMar>
            <w:top w:w="0" w:type="dxa"/>
            <w:left w:w="108" w:type="dxa"/>
            <w:bottom w:w="0" w:type="dxa"/>
            <w:right w:w="108" w:type="dxa"/>
          </w:tblCellMar>
        </w:tblPrEx>
        <w:trPr>
          <w:trHeight w:val="472" w:hRule="exact"/>
          <w:jc w:val="center"/>
        </w:trPr>
        <w:tc>
          <w:tcPr>
            <w:tcW w:w="1513" w:type="dxa"/>
            <w:vMerge w:val="restart"/>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用电设备</w:t>
            </w:r>
          </w:p>
        </w:tc>
        <w:tc>
          <w:tcPr>
            <w:tcW w:w="1699" w:type="dxa"/>
            <w:vMerge w:val="restart"/>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型号</w:t>
            </w:r>
          </w:p>
        </w:tc>
        <w:tc>
          <w:tcPr>
            <w:tcW w:w="759" w:type="dxa"/>
            <w:vMerge w:val="restart"/>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数量</w:t>
            </w:r>
          </w:p>
        </w:tc>
        <w:tc>
          <w:tcPr>
            <w:tcW w:w="1063" w:type="dxa"/>
            <w:vMerge w:val="restart"/>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功率</w:t>
            </w:r>
          </w:p>
          <w:p>
            <w:pPr>
              <w:jc w:val="center"/>
              <w:rPr>
                <w:rFonts w:ascii="Calibri" w:hAnsi="宋体" w:cs="宋体"/>
                <w:szCs w:val="21"/>
              </w:rPr>
            </w:pPr>
            <w:r>
              <w:rPr>
                <w:rFonts w:hint="eastAsia" w:ascii="Calibri" w:hAnsi="宋体" w:cs="宋体"/>
                <w:szCs w:val="21"/>
              </w:rPr>
              <w:t>(kW)</w:t>
            </w:r>
          </w:p>
        </w:tc>
        <w:tc>
          <w:tcPr>
            <w:tcW w:w="3937" w:type="dxa"/>
            <w:gridSpan w:val="3"/>
            <w:tcBorders>
              <w:top w:val="single" w:color="auto" w:sz="4" w:space="0"/>
              <w:left w:val="single" w:color="auto" w:sz="4" w:space="0"/>
              <w:righ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计算负荷</w:t>
            </w:r>
          </w:p>
        </w:tc>
      </w:tr>
      <w:tr>
        <w:tblPrEx>
          <w:tblLayout w:type="fixed"/>
          <w:tblCellMar>
            <w:top w:w="0" w:type="dxa"/>
            <w:left w:w="108" w:type="dxa"/>
            <w:bottom w:w="0" w:type="dxa"/>
            <w:right w:w="108" w:type="dxa"/>
          </w:tblCellMar>
        </w:tblPrEx>
        <w:trPr>
          <w:trHeight w:val="464" w:hRule="exact"/>
          <w:jc w:val="center"/>
        </w:trPr>
        <w:tc>
          <w:tcPr>
            <w:tcW w:w="1513" w:type="dxa"/>
            <w:vMerge w:val="continue"/>
            <w:tcBorders>
              <w:left w:val="single" w:color="auto" w:sz="4" w:space="0"/>
            </w:tcBorders>
            <w:shd w:val="clear" w:color="auto" w:fill="FFFFFF"/>
            <w:vAlign w:val="center"/>
          </w:tcPr>
          <w:p>
            <w:pPr>
              <w:jc w:val="center"/>
              <w:rPr>
                <w:rFonts w:ascii="Calibri" w:hAnsi="宋体" w:cs="宋体"/>
                <w:szCs w:val="21"/>
              </w:rPr>
            </w:pPr>
          </w:p>
        </w:tc>
        <w:tc>
          <w:tcPr>
            <w:tcW w:w="1699" w:type="dxa"/>
            <w:vMerge w:val="continue"/>
            <w:tcBorders>
              <w:left w:val="single" w:color="auto" w:sz="4" w:space="0"/>
            </w:tcBorders>
            <w:shd w:val="clear" w:color="auto" w:fill="FFFFFF"/>
            <w:vAlign w:val="center"/>
          </w:tcPr>
          <w:p>
            <w:pPr>
              <w:jc w:val="center"/>
              <w:rPr>
                <w:rFonts w:ascii="Calibri" w:hAnsi="宋体" w:cs="宋体"/>
                <w:szCs w:val="21"/>
              </w:rPr>
            </w:pPr>
          </w:p>
        </w:tc>
        <w:tc>
          <w:tcPr>
            <w:tcW w:w="759" w:type="dxa"/>
            <w:vMerge w:val="continue"/>
            <w:tcBorders>
              <w:left w:val="single" w:color="auto" w:sz="4" w:space="0"/>
            </w:tcBorders>
            <w:shd w:val="clear" w:color="auto" w:fill="FFFFFF"/>
            <w:vAlign w:val="center"/>
          </w:tcPr>
          <w:p>
            <w:pPr>
              <w:jc w:val="center"/>
              <w:rPr>
                <w:rFonts w:ascii="Calibri" w:hAnsi="宋体" w:cs="宋体"/>
                <w:szCs w:val="21"/>
              </w:rPr>
            </w:pPr>
          </w:p>
        </w:tc>
        <w:tc>
          <w:tcPr>
            <w:tcW w:w="1063" w:type="dxa"/>
            <w:vMerge w:val="continue"/>
            <w:tcBorders>
              <w:left w:val="single" w:color="auto" w:sz="4" w:space="0"/>
            </w:tcBorders>
            <w:shd w:val="clear" w:color="auto" w:fill="FFFFFF"/>
            <w:vAlign w:val="center"/>
          </w:tcPr>
          <w:p>
            <w:pPr>
              <w:jc w:val="center"/>
              <w:rPr>
                <w:rFonts w:ascii="Calibri" w:hAnsi="宋体" w:cs="宋体"/>
                <w:szCs w:val="21"/>
              </w:rPr>
            </w:pPr>
          </w:p>
        </w:tc>
        <w:tc>
          <w:tcPr>
            <w:tcW w:w="121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有效(kW)</w:t>
            </w:r>
          </w:p>
        </w:tc>
        <w:tc>
          <w:tcPr>
            <w:tcW w:w="1337"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无效(kVAR)</w:t>
            </w:r>
          </w:p>
        </w:tc>
        <w:tc>
          <w:tcPr>
            <w:tcW w:w="1381" w:type="dxa"/>
            <w:tcBorders>
              <w:top w:val="single" w:color="auto" w:sz="4" w:space="0"/>
              <w:left w:val="single" w:color="auto" w:sz="4" w:space="0"/>
              <w:righ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视在（kVA)</w:t>
            </w:r>
          </w:p>
        </w:tc>
      </w:tr>
      <w:tr>
        <w:tblPrEx>
          <w:tblLayout w:type="fixed"/>
          <w:tblCellMar>
            <w:top w:w="0" w:type="dxa"/>
            <w:left w:w="108" w:type="dxa"/>
            <w:bottom w:w="0" w:type="dxa"/>
            <w:right w:w="108" w:type="dxa"/>
          </w:tblCellMar>
        </w:tblPrEx>
        <w:trPr>
          <w:trHeight w:val="335" w:hRule="exact"/>
          <w:jc w:val="center"/>
        </w:trPr>
        <w:tc>
          <w:tcPr>
            <w:tcW w:w="151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颚式破碎机</w:t>
            </w:r>
          </w:p>
        </w:tc>
        <w:tc>
          <w:tcPr>
            <w:tcW w:w="169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PE400x600</w:t>
            </w:r>
          </w:p>
        </w:tc>
        <w:tc>
          <w:tcPr>
            <w:tcW w:w="75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lang w:val="zh-TW"/>
              </w:rPr>
              <w:t>1</w:t>
            </w:r>
          </w:p>
        </w:tc>
        <w:tc>
          <w:tcPr>
            <w:tcW w:w="106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lang w:val="zh-TW"/>
              </w:rPr>
              <w:t>30</w:t>
            </w:r>
          </w:p>
        </w:tc>
        <w:tc>
          <w:tcPr>
            <w:tcW w:w="121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22.50</w:t>
            </w:r>
          </w:p>
        </w:tc>
        <w:tc>
          <w:tcPr>
            <w:tcW w:w="1337"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6.75</w:t>
            </w:r>
          </w:p>
        </w:tc>
        <w:tc>
          <w:tcPr>
            <w:tcW w:w="1381" w:type="dxa"/>
            <w:tcBorders>
              <w:top w:val="single" w:color="auto" w:sz="4" w:space="0"/>
              <w:left w:val="single" w:color="auto" w:sz="4" w:space="0"/>
              <w:righ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23.49</w:t>
            </w:r>
          </w:p>
        </w:tc>
      </w:tr>
      <w:tr>
        <w:tblPrEx>
          <w:tblLayout w:type="fixed"/>
          <w:tblCellMar>
            <w:top w:w="0" w:type="dxa"/>
            <w:left w:w="108" w:type="dxa"/>
            <w:bottom w:w="0" w:type="dxa"/>
            <w:right w:w="108" w:type="dxa"/>
          </w:tblCellMar>
        </w:tblPrEx>
        <w:trPr>
          <w:trHeight w:val="335" w:hRule="exact"/>
          <w:jc w:val="center"/>
        </w:trPr>
        <w:tc>
          <w:tcPr>
            <w:tcW w:w="151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反击式破碎机</w:t>
            </w:r>
          </w:p>
        </w:tc>
        <w:tc>
          <w:tcPr>
            <w:tcW w:w="169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PF-1010</w:t>
            </w:r>
          </w:p>
        </w:tc>
        <w:tc>
          <w:tcPr>
            <w:tcW w:w="75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lang w:val="zh-TW"/>
              </w:rPr>
              <w:t>1</w:t>
            </w:r>
          </w:p>
        </w:tc>
        <w:tc>
          <w:tcPr>
            <w:tcW w:w="106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lang w:val="zh-TW"/>
              </w:rPr>
              <w:t>110</w:t>
            </w:r>
          </w:p>
        </w:tc>
        <w:tc>
          <w:tcPr>
            <w:tcW w:w="121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82.50</w:t>
            </w:r>
          </w:p>
        </w:tc>
        <w:tc>
          <w:tcPr>
            <w:tcW w:w="1337"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24.75</w:t>
            </w:r>
          </w:p>
        </w:tc>
        <w:tc>
          <w:tcPr>
            <w:tcW w:w="1381" w:type="dxa"/>
            <w:tcBorders>
              <w:top w:val="single" w:color="auto" w:sz="4" w:space="0"/>
              <w:left w:val="single" w:color="auto" w:sz="4" w:space="0"/>
              <w:righ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86.13</w:t>
            </w:r>
          </w:p>
        </w:tc>
      </w:tr>
      <w:tr>
        <w:tblPrEx>
          <w:tblLayout w:type="fixed"/>
          <w:tblCellMar>
            <w:top w:w="0" w:type="dxa"/>
            <w:left w:w="108" w:type="dxa"/>
            <w:bottom w:w="0" w:type="dxa"/>
            <w:right w:w="108" w:type="dxa"/>
          </w:tblCellMar>
        </w:tblPrEx>
        <w:trPr>
          <w:trHeight w:val="338" w:hRule="exact"/>
          <w:jc w:val="center"/>
        </w:trPr>
        <w:tc>
          <w:tcPr>
            <w:tcW w:w="151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振动筛</w:t>
            </w:r>
          </w:p>
        </w:tc>
        <w:tc>
          <w:tcPr>
            <w:tcW w:w="169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3YA1230</w:t>
            </w:r>
          </w:p>
        </w:tc>
        <w:tc>
          <w:tcPr>
            <w:tcW w:w="75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lang w:val="zh-TW"/>
              </w:rPr>
              <w:t>1</w:t>
            </w:r>
          </w:p>
        </w:tc>
        <w:tc>
          <w:tcPr>
            <w:tcW w:w="106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lang w:val="zh-TW"/>
              </w:rPr>
              <w:t>11</w:t>
            </w:r>
          </w:p>
        </w:tc>
        <w:tc>
          <w:tcPr>
            <w:tcW w:w="121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8.25</w:t>
            </w:r>
          </w:p>
        </w:tc>
        <w:tc>
          <w:tcPr>
            <w:tcW w:w="1337"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2.48</w:t>
            </w:r>
          </w:p>
        </w:tc>
        <w:tc>
          <w:tcPr>
            <w:tcW w:w="1381" w:type="dxa"/>
            <w:tcBorders>
              <w:top w:val="single" w:color="auto" w:sz="4" w:space="0"/>
              <w:left w:val="single" w:color="auto" w:sz="4" w:space="0"/>
              <w:righ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8.61</w:t>
            </w:r>
          </w:p>
        </w:tc>
      </w:tr>
      <w:tr>
        <w:tblPrEx>
          <w:tblLayout w:type="fixed"/>
          <w:tblCellMar>
            <w:top w:w="0" w:type="dxa"/>
            <w:left w:w="108" w:type="dxa"/>
            <w:bottom w:w="0" w:type="dxa"/>
            <w:right w:w="108" w:type="dxa"/>
          </w:tblCellMar>
        </w:tblPrEx>
        <w:trPr>
          <w:trHeight w:val="331" w:hRule="exact"/>
          <w:jc w:val="center"/>
        </w:trPr>
        <w:tc>
          <w:tcPr>
            <w:tcW w:w="151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洗砂机</w:t>
            </w:r>
          </w:p>
        </w:tc>
        <w:tc>
          <w:tcPr>
            <w:tcW w:w="169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XL2610</w:t>
            </w:r>
          </w:p>
        </w:tc>
        <w:tc>
          <w:tcPr>
            <w:tcW w:w="75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lang w:val="zh-TW"/>
              </w:rPr>
              <w:t>1</w:t>
            </w:r>
          </w:p>
        </w:tc>
        <w:tc>
          <w:tcPr>
            <w:tcW w:w="106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lang w:val="zh-TW"/>
              </w:rPr>
              <w:t>11</w:t>
            </w:r>
          </w:p>
        </w:tc>
        <w:tc>
          <w:tcPr>
            <w:tcW w:w="121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8.25</w:t>
            </w:r>
          </w:p>
        </w:tc>
        <w:tc>
          <w:tcPr>
            <w:tcW w:w="1337"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2.48</w:t>
            </w:r>
          </w:p>
        </w:tc>
        <w:tc>
          <w:tcPr>
            <w:tcW w:w="1381" w:type="dxa"/>
            <w:tcBorders>
              <w:top w:val="single" w:color="auto" w:sz="4" w:space="0"/>
              <w:left w:val="single" w:color="auto" w:sz="4" w:space="0"/>
              <w:righ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8.61</w:t>
            </w:r>
          </w:p>
        </w:tc>
      </w:tr>
      <w:tr>
        <w:tblPrEx>
          <w:tblLayout w:type="fixed"/>
          <w:tblCellMar>
            <w:top w:w="0" w:type="dxa"/>
            <w:left w:w="108" w:type="dxa"/>
            <w:bottom w:w="0" w:type="dxa"/>
            <w:right w:w="108" w:type="dxa"/>
          </w:tblCellMar>
        </w:tblPrEx>
        <w:trPr>
          <w:trHeight w:val="331" w:hRule="exact"/>
          <w:jc w:val="center"/>
        </w:trPr>
        <w:tc>
          <w:tcPr>
            <w:tcW w:w="151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皮带输送机</w:t>
            </w:r>
          </w:p>
        </w:tc>
        <w:tc>
          <w:tcPr>
            <w:tcW w:w="169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B500</w:t>
            </w:r>
            <w:r>
              <w:rPr>
                <w:rFonts w:hint="eastAsia" w:ascii="Calibri" w:hAnsi="宋体" w:cs="宋体"/>
                <w:szCs w:val="21"/>
                <w:lang w:val="zh-TW"/>
              </w:rPr>
              <w:t>〜650</w:t>
            </w:r>
          </w:p>
        </w:tc>
        <w:tc>
          <w:tcPr>
            <w:tcW w:w="75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lang w:val="zh-TW"/>
              </w:rPr>
              <w:t>6</w:t>
            </w:r>
          </w:p>
        </w:tc>
        <w:tc>
          <w:tcPr>
            <w:tcW w:w="106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lang w:val="zh-TW"/>
              </w:rPr>
              <w:t>33</w:t>
            </w:r>
          </w:p>
        </w:tc>
        <w:tc>
          <w:tcPr>
            <w:tcW w:w="121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24.75</w:t>
            </w:r>
          </w:p>
        </w:tc>
        <w:tc>
          <w:tcPr>
            <w:tcW w:w="1337"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7.43</w:t>
            </w:r>
          </w:p>
        </w:tc>
        <w:tc>
          <w:tcPr>
            <w:tcW w:w="1381" w:type="dxa"/>
            <w:tcBorders>
              <w:top w:val="single" w:color="auto" w:sz="4" w:space="0"/>
              <w:left w:val="single" w:color="auto" w:sz="4" w:space="0"/>
              <w:righ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25.84</w:t>
            </w:r>
          </w:p>
        </w:tc>
      </w:tr>
      <w:tr>
        <w:tblPrEx>
          <w:tblLayout w:type="fixed"/>
          <w:tblCellMar>
            <w:top w:w="0" w:type="dxa"/>
            <w:left w:w="108" w:type="dxa"/>
            <w:bottom w:w="0" w:type="dxa"/>
            <w:right w:w="108" w:type="dxa"/>
          </w:tblCellMar>
        </w:tblPrEx>
        <w:trPr>
          <w:trHeight w:val="338" w:hRule="exact"/>
          <w:jc w:val="center"/>
        </w:trPr>
        <w:tc>
          <w:tcPr>
            <w:tcW w:w="151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潜水泵</w:t>
            </w:r>
          </w:p>
        </w:tc>
        <w:tc>
          <w:tcPr>
            <w:tcW w:w="169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100QJ2-50/10</w:t>
            </w:r>
          </w:p>
        </w:tc>
        <w:tc>
          <w:tcPr>
            <w:tcW w:w="75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lang w:val="zh-TW"/>
              </w:rPr>
              <w:t>1</w:t>
            </w:r>
          </w:p>
        </w:tc>
        <w:tc>
          <w:tcPr>
            <w:tcW w:w="106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0.75</w:t>
            </w:r>
          </w:p>
        </w:tc>
        <w:tc>
          <w:tcPr>
            <w:tcW w:w="121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0.56</w:t>
            </w:r>
          </w:p>
        </w:tc>
        <w:tc>
          <w:tcPr>
            <w:tcW w:w="1337"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0.17</w:t>
            </w:r>
          </w:p>
        </w:tc>
        <w:tc>
          <w:tcPr>
            <w:tcW w:w="1381" w:type="dxa"/>
            <w:tcBorders>
              <w:top w:val="single" w:color="auto" w:sz="4" w:space="0"/>
              <w:left w:val="single" w:color="auto" w:sz="4" w:space="0"/>
              <w:righ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0.59</w:t>
            </w:r>
          </w:p>
        </w:tc>
      </w:tr>
      <w:tr>
        <w:tblPrEx>
          <w:tblLayout w:type="fixed"/>
          <w:tblCellMar>
            <w:top w:w="0" w:type="dxa"/>
            <w:left w:w="108" w:type="dxa"/>
            <w:bottom w:w="0" w:type="dxa"/>
            <w:right w:w="108" w:type="dxa"/>
          </w:tblCellMar>
        </w:tblPrEx>
        <w:trPr>
          <w:trHeight w:val="331" w:hRule="exact"/>
          <w:jc w:val="center"/>
        </w:trPr>
        <w:tc>
          <w:tcPr>
            <w:tcW w:w="151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照明及其它</w:t>
            </w:r>
          </w:p>
        </w:tc>
        <w:tc>
          <w:tcPr>
            <w:tcW w:w="1699" w:type="dxa"/>
            <w:tcBorders>
              <w:top w:val="single" w:color="auto" w:sz="4" w:space="0"/>
              <w:left w:val="single" w:color="auto" w:sz="4" w:space="0"/>
            </w:tcBorders>
            <w:shd w:val="clear" w:color="auto" w:fill="FFFFFF"/>
            <w:vAlign w:val="center"/>
          </w:tcPr>
          <w:p>
            <w:pPr>
              <w:jc w:val="center"/>
              <w:rPr>
                <w:rFonts w:ascii="Calibri" w:hAnsi="宋体" w:cs="宋体"/>
                <w:szCs w:val="21"/>
              </w:rPr>
            </w:pPr>
          </w:p>
        </w:tc>
        <w:tc>
          <w:tcPr>
            <w:tcW w:w="759" w:type="dxa"/>
            <w:tcBorders>
              <w:top w:val="single" w:color="auto" w:sz="4" w:space="0"/>
              <w:left w:val="single" w:color="auto" w:sz="4" w:space="0"/>
            </w:tcBorders>
            <w:shd w:val="clear" w:color="auto" w:fill="FFFFFF"/>
            <w:vAlign w:val="center"/>
          </w:tcPr>
          <w:p>
            <w:pPr>
              <w:jc w:val="center"/>
              <w:rPr>
                <w:rFonts w:ascii="Calibri" w:hAnsi="宋体" w:cs="宋体"/>
                <w:szCs w:val="21"/>
              </w:rPr>
            </w:pPr>
          </w:p>
        </w:tc>
        <w:tc>
          <w:tcPr>
            <w:tcW w:w="1063"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lang w:val="zh-TW"/>
              </w:rPr>
              <w:t>5</w:t>
            </w:r>
          </w:p>
        </w:tc>
        <w:tc>
          <w:tcPr>
            <w:tcW w:w="1219"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3.75</w:t>
            </w:r>
          </w:p>
        </w:tc>
        <w:tc>
          <w:tcPr>
            <w:tcW w:w="1337" w:type="dxa"/>
            <w:tcBorders>
              <w:top w:val="single" w:color="auto" w:sz="4" w:space="0"/>
              <w:lef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1.13</w:t>
            </w:r>
          </w:p>
        </w:tc>
        <w:tc>
          <w:tcPr>
            <w:tcW w:w="1381" w:type="dxa"/>
            <w:tcBorders>
              <w:top w:val="single" w:color="auto" w:sz="4" w:space="0"/>
              <w:left w:val="single" w:color="auto" w:sz="4" w:space="0"/>
              <w:righ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3.92</w:t>
            </w:r>
          </w:p>
        </w:tc>
      </w:tr>
      <w:tr>
        <w:tblPrEx>
          <w:tblLayout w:type="fixed"/>
          <w:tblCellMar>
            <w:top w:w="0" w:type="dxa"/>
            <w:left w:w="108" w:type="dxa"/>
            <w:bottom w:w="0" w:type="dxa"/>
            <w:right w:w="108" w:type="dxa"/>
          </w:tblCellMar>
        </w:tblPrEx>
        <w:trPr>
          <w:trHeight w:val="353" w:hRule="exact"/>
          <w:jc w:val="center"/>
        </w:trPr>
        <w:tc>
          <w:tcPr>
            <w:tcW w:w="1513" w:type="dxa"/>
            <w:tcBorders>
              <w:top w:val="single" w:color="auto" w:sz="4" w:space="0"/>
              <w:left w:val="single" w:color="auto" w:sz="4" w:space="0"/>
              <w:bottom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总计</w:t>
            </w:r>
          </w:p>
        </w:tc>
        <w:tc>
          <w:tcPr>
            <w:tcW w:w="1699" w:type="dxa"/>
            <w:tcBorders>
              <w:top w:val="single" w:color="auto" w:sz="4" w:space="0"/>
              <w:left w:val="single" w:color="auto" w:sz="4" w:space="0"/>
              <w:bottom w:val="single" w:color="auto" w:sz="4" w:space="0"/>
            </w:tcBorders>
            <w:shd w:val="clear" w:color="auto" w:fill="FFFFFF"/>
            <w:vAlign w:val="center"/>
          </w:tcPr>
          <w:p>
            <w:pPr>
              <w:jc w:val="center"/>
              <w:rPr>
                <w:rFonts w:ascii="Calibri" w:hAnsi="宋体" w:cs="宋体"/>
                <w:szCs w:val="21"/>
              </w:rPr>
            </w:pPr>
          </w:p>
        </w:tc>
        <w:tc>
          <w:tcPr>
            <w:tcW w:w="759" w:type="dxa"/>
            <w:tcBorders>
              <w:top w:val="single" w:color="auto" w:sz="4" w:space="0"/>
              <w:left w:val="single" w:color="auto" w:sz="4" w:space="0"/>
              <w:bottom w:val="single" w:color="auto" w:sz="4" w:space="0"/>
            </w:tcBorders>
            <w:shd w:val="clear" w:color="auto" w:fill="FFFFFF"/>
            <w:vAlign w:val="center"/>
          </w:tcPr>
          <w:p>
            <w:pPr>
              <w:jc w:val="center"/>
              <w:rPr>
                <w:rFonts w:ascii="Calibri" w:hAnsi="宋体" w:cs="宋体"/>
                <w:szCs w:val="21"/>
              </w:rPr>
            </w:pPr>
          </w:p>
        </w:tc>
        <w:tc>
          <w:tcPr>
            <w:tcW w:w="1063" w:type="dxa"/>
            <w:tcBorders>
              <w:top w:val="single" w:color="auto" w:sz="4" w:space="0"/>
              <w:left w:val="single" w:color="auto" w:sz="4" w:space="0"/>
              <w:bottom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200.75</w:t>
            </w:r>
          </w:p>
        </w:tc>
        <w:tc>
          <w:tcPr>
            <w:tcW w:w="1219" w:type="dxa"/>
            <w:tcBorders>
              <w:top w:val="single" w:color="auto" w:sz="4" w:space="0"/>
              <w:left w:val="single" w:color="auto" w:sz="4" w:space="0"/>
              <w:bottom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150.56</w:t>
            </w:r>
          </w:p>
        </w:tc>
        <w:tc>
          <w:tcPr>
            <w:tcW w:w="1337" w:type="dxa"/>
            <w:tcBorders>
              <w:top w:val="single" w:color="auto" w:sz="4" w:space="0"/>
              <w:left w:val="single" w:color="auto" w:sz="4" w:space="0"/>
              <w:bottom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45.17</w:t>
            </w:r>
          </w:p>
        </w:tc>
        <w:tc>
          <w:tcPr>
            <w:tcW w:w="1381"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Calibri" w:hAnsi="宋体" w:cs="宋体"/>
                <w:szCs w:val="21"/>
              </w:rPr>
            </w:pPr>
            <w:r>
              <w:rPr>
                <w:rFonts w:hint="eastAsia" w:ascii="Calibri" w:hAnsi="宋体" w:cs="宋体"/>
                <w:szCs w:val="21"/>
              </w:rPr>
              <w:t xml:space="preserve">157.19 </w:t>
            </w:r>
          </w:p>
        </w:tc>
      </w:tr>
    </w:tbl>
    <w:p>
      <w:pPr>
        <w:tabs>
          <w:tab w:val="left" w:pos="0"/>
        </w:tabs>
        <w:spacing w:line="360" w:lineRule="auto"/>
        <w:ind w:firstLine="472" w:firstLineChars="200"/>
        <w:rPr>
          <w:rFonts w:ascii="宋体" w:hAnsi="宋体"/>
          <w:spacing w:val="-2"/>
          <w:sz w:val="24"/>
        </w:rPr>
      </w:pPr>
      <w:r>
        <w:rPr>
          <w:rFonts w:hint="eastAsia" w:ascii="宋体" w:hAnsi="宋体"/>
          <w:spacing w:val="-2"/>
          <w:sz w:val="24"/>
        </w:rPr>
        <w:t>矿山破碎站主要用电设备总装机容量约200.75kW。经计算，有效功率约150.56kW， 无功负荷45.17kVAR,视在负荷157.19kVA，功率因数95.78%。</w:t>
      </w:r>
    </w:p>
    <w:p>
      <w:pPr>
        <w:tabs>
          <w:tab w:val="left" w:pos="0"/>
        </w:tabs>
        <w:spacing w:line="360" w:lineRule="auto"/>
        <w:ind w:firstLine="472" w:firstLineChars="200"/>
        <w:rPr>
          <w:rFonts w:ascii="宋体" w:hAnsi="宋体"/>
          <w:spacing w:val="-2"/>
          <w:sz w:val="24"/>
          <w:lang w:val="zh-TW"/>
        </w:rPr>
      </w:pPr>
      <w:r>
        <w:rPr>
          <w:rFonts w:hint="eastAsia" w:ascii="宋体" w:hAnsi="宋体"/>
          <w:spacing w:val="-2"/>
          <w:sz w:val="24"/>
        </w:rPr>
        <w:t>2、</w:t>
      </w:r>
      <w:r>
        <w:rPr>
          <w:rFonts w:hint="eastAsia" w:ascii="宋体" w:hAnsi="宋体"/>
          <w:spacing w:val="-2"/>
          <w:sz w:val="24"/>
          <w:lang w:val="zh-TW"/>
        </w:rPr>
        <w:t>供配电方式及线路敷设</w:t>
      </w:r>
    </w:p>
    <w:p>
      <w:pPr>
        <w:tabs>
          <w:tab w:val="left" w:pos="0"/>
        </w:tabs>
        <w:spacing w:line="360" w:lineRule="auto"/>
        <w:ind w:firstLine="472" w:firstLineChars="200"/>
        <w:rPr>
          <w:rFonts w:ascii="宋体" w:hAnsi="宋体"/>
          <w:spacing w:val="-2"/>
          <w:sz w:val="24"/>
        </w:rPr>
      </w:pPr>
      <w:r>
        <w:rPr>
          <w:rFonts w:hint="eastAsia" w:ascii="宋体" w:hAnsi="宋体"/>
          <w:spacing w:val="-2"/>
          <w:sz w:val="24"/>
        </w:rPr>
        <w:t>矿山设1台S11-400/10-0.4变压器，采用柱上式变压器台，变压器离地3m,并建低压配电室，出线0.4kV电源以放射式分别供给各用电设备，采用单回路电源线供电。</w:t>
      </w:r>
    </w:p>
    <w:p>
      <w:pPr>
        <w:tabs>
          <w:tab w:val="left" w:pos="0"/>
        </w:tabs>
        <w:spacing w:line="360" w:lineRule="auto"/>
        <w:ind w:firstLine="472" w:firstLineChars="200"/>
        <w:rPr>
          <w:rFonts w:ascii="宋体" w:hAnsi="宋体"/>
          <w:spacing w:val="-2"/>
          <w:sz w:val="24"/>
        </w:rPr>
      </w:pPr>
      <w:r>
        <w:rPr>
          <w:rFonts w:hint="eastAsia" w:ascii="宋体" w:hAnsi="宋体"/>
          <w:spacing w:val="-2"/>
          <w:sz w:val="24"/>
        </w:rPr>
        <w:t>低压开关柜选择GLL-04型；自动开关选择性能可靠的CM1型产品；信号灯选择 AD11型，按钮选择LA18型产品。电缆型号选择VV</w:t>
      </w:r>
      <w:r>
        <w:rPr>
          <w:rFonts w:hint="eastAsia" w:ascii="宋体" w:hAnsi="宋体"/>
          <w:spacing w:val="-2"/>
          <w:sz w:val="24"/>
          <w:vertAlign w:val="subscript"/>
        </w:rPr>
        <w:t>22</w:t>
      </w:r>
      <w:r>
        <w:rPr>
          <w:rFonts w:hint="eastAsia" w:ascii="宋体" w:hAnsi="宋体"/>
          <w:spacing w:val="-2"/>
          <w:sz w:val="24"/>
        </w:rPr>
        <w:t>，采取电杆架设的方法。</w:t>
      </w:r>
    </w:p>
    <w:p>
      <w:pPr>
        <w:tabs>
          <w:tab w:val="left" w:pos="0"/>
        </w:tabs>
        <w:spacing w:line="360" w:lineRule="auto"/>
        <w:ind w:firstLine="472" w:firstLineChars="200"/>
        <w:rPr>
          <w:rFonts w:ascii="宋体" w:hAnsi="宋体"/>
          <w:spacing w:val="-2"/>
          <w:sz w:val="24"/>
          <w:lang w:val="zh-TW"/>
        </w:rPr>
      </w:pPr>
      <w:r>
        <w:rPr>
          <w:rFonts w:hint="eastAsia" w:ascii="宋体" w:hAnsi="宋体"/>
          <w:spacing w:val="-2"/>
          <w:sz w:val="24"/>
        </w:rPr>
        <w:t>3、</w:t>
      </w:r>
      <w:r>
        <w:rPr>
          <w:rFonts w:hint="eastAsia" w:ascii="宋体" w:hAnsi="宋体"/>
          <w:spacing w:val="-2"/>
          <w:sz w:val="24"/>
          <w:lang w:val="zh-TW"/>
        </w:rPr>
        <w:t>照明</w:t>
      </w:r>
    </w:p>
    <w:p>
      <w:pPr>
        <w:tabs>
          <w:tab w:val="left" w:pos="0"/>
        </w:tabs>
        <w:spacing w:line="360" w:lineRule="auto"/>
        <w:ind w:firstLine="472" w:firstLineChars="200"/>
        <w:rPr>
          <w:rFonts w:ascii="宋体" w:hAnsi="宋体"/>
          <w:spacing w:val="-2"/>
          <w:sz w:val="24"/>
        </w:rPr>
      </w:pPr>
      <w:r>
        <w:rPr>
          <w:rFonts w:hint="eastAsia" w:ascii="宋体" w:hAnsi="宋体"/>
          <w:spacing w:val="-2"/>
          <w:sz w:val="24"/>
        </w:rPr>
        <w:t>因矿山工作制度为每天1班，设计采矿场、矿山道路等不配备照明设备，一般矿山建筑、办公室、员工宿舍等辅助设施采用节能灯照明。</w:t>
      </w:r>
    </w:p>
    <w:p>
      <w:pPr>
        <w:tabs>
          <w:tab w:val="left" w:pos="0"/>
        </w:tabs>
        <w:spacing w:line="360" w:lineRule="auto"/>
        <w:ind w:firstLine="472" w:firstLineChars="200"/>
        <w:rPr>
          <w:rFonts w:ascii="宋体" w:hAnsi="宋体"/>
          <w:spacing w:val="-2"/>
          <w:sz w:val="24"/>
          <w:lang w:val="zh-TW"/>
        </w:rPr>
      </w:pPr>
      <w:r>
        <w:rPr>
          <w:rFonts w:hint="eastAsia" w:ascii="宋体" w:hAnsi="宋体"/>
          <w:spacing w:val="-2"/>
          <w:sz w:val="24"/>
        </w:rPr>
        <w:t>4、</w:t>
      </w:r>
      <w:r>
        <w:rPr>
          <w:rFonts w:hint="eastAsia" w:ascii="宋体" w:hAnsi="宋体"/>
          <w:spacing w:val="-2"/>
          <w:sz w:val="24"/>
          <w:lang w:val="zh-TW"/>
        </w:rPr>
        <w:t>防雷接地与安全</w:t>
      </w:r>
    </w:p>
    <w:p>
      <w:pPr>
        <w:tabs>
          <w:tab w:val="left" w:pos="0"/>
        </w:tabs>
        <w:spacing w:line="360" w:lineRule="auto"/>
        <w:ind w:firstLine="472" w:firstLineChars="200"/>
        <w:rPr>
          <w:rFonts w:ascii="宋体" w:hAnsi="宋体"/>
          <w:sz w:val="24"/>
        </w:rPr>
      </w:pPr>
      <w:r>
        <w:rPr>
          <w:rFonts w:hint="eastAsia" w:ascii="宋体" w:hAnsi="宋体"/>
          <w:spacing w:val="-2"/>
          <w:sz w:val="24"/>
        </w:rPr>
        <w:t>矿山无高于15m的建筑物、构筑物，不设避雷设施；在变压器杆、配电箱旁设接地网，接地电阻不</w:t>
      </w:r>
      <w:r>
        <w:rPr>
          <w:rFonts w:hint="eastAsia" w:ascii="宋体" w:hAnsi="宋体"/>
          <w:sz w:val="24"/>
        </w:rPr>
        <w:t>大于10Ω。</w:t>
      </w:r>
    </w:p>
    <w:p>
      <w:pPr>
        <w:numPr>
          <w:ilvl w:val="2"/>
          <w:numId w:val="2"/>
        </w:numPr>
        <w:spacing w:line="360" w:lineRule="auto"/>
        <w:outlineLvl w:val="2"/>
        <w:rPr>
          <w:rFonts w:ascii="宋体"/>
          <w:b/>
          <w:bCs/>
          <w:sz w:val="28"/>
          <w:szCs w:val="28"/>
          <w:lang w:val="zh-TW"/>
        </w:rPr>
      </w:pPr>
      <w:r>
        <w:rPr>
          <w:rFonts w:hint="eastAsia" w:ascii="宋体"/>
          <w:b/>
          <w:bCs/>
          <w:sz w:val="28"/>
          <w:szCs w:val="28"/>
          <w:lang w:val="zh-TW"/>
        </w:rPr>
        <w:t>通信</w:t>
      </w:r>
    </w:p>
    <w:p>
      <w:pPr>
        <w:spacing w:line="360" w:lineRule="auto"/>
        <w:ind w:firstLine="480" w:firstLineChars="200"/>
        <w:rPr>
          <w:sz w:val="24"/>
        </w:rPr>
      </w:pPr>
      <w:r>
        <w:rPr>
          <w:rFonts w:hint="eastAsia" w:cs="宋体"/>
          <w:sz w:val="24"/>
        </w:rPr>
        <w:t>移动信号己经覆盖矿区，矿山通信釆用无线通话方式，采区配备手机和对讲机，以备生产、生活及安全的需要。</w:t>
      </w:r>
    </w:p>
    <w:p>
      <w:pPr>
        <w:numPr>
          <w:ilvl w:val="2"/>
          <w:numId w:val="2"/>
        </w:numPr>
        <w:spacing w:line="360" w:lineRule="auto"/>
        <w:outlineLvl w:val="2"/>
        <w:rPr>
          <w:rFonts w:ascii="宋体"/>
          <w:b/>
          <w:bCs/>
          <w:sz w:val="28"/>
          <w:szCs w:val="28"/>
          <w:lang w:val="zh-TW"/>
        </w:rPr>
      </w:pPr>
      <w:bookmarkStart w:id="202" w:name="_Toc265739647"/>
      <w:bookmarkStart w:id="203" w:name="_Toc318540427"/>
      <w:bookmarkStart w:id="204" w:name="_Toc312307486"/>
      <w:r>
        <w:rPr>
          <w:rFonts w:hint="eastAsia" w:ascii="宋体"/>
          <w:b/>
          <w:bCs/>
          <w:sz w:val="28"/>
          <w:szCs w:val="28"/>
          <w:lang w:val="zh-TW"/>
        </w:rPr>
        <w:t>给排水工程</w:t>
      </w:r>
      <w:bookmarkEnd w:id="202"/>
      <w:bookmarkEnd w:id="203"/>
      <w:bookmarkEnd w:id="204"/>
    </w:p>
    <w:p>
      <w:pPr>
        <w:spacing w:line="360" w:lineRule="auto"/>
        <w:ind w:firstLine="480" w:firstLineChars="200"/>
        <w:rPr>
          <w:rFonts w:ascii="宋体" w:hAnsi="宋体"/>
          <w:sz w:val="24"/>
        </w:rPr>
      </w:pPr>
      <w:bookmarkStart w:id="205" w:name="_Toc318540428"/>
      <w:bookmarkStart w:id="206" w:name="_Toc265739648"/>
      <w:bookmarkStart w:id="207" w:name="_Toc312307487"/>
      <w:r>
        <w:rPr>
          <w:rFonts w:hint="eastAsia" w:ascii="宋体" w:hAnsi="宋体"/>
          <w:sz w:val="24"/>
        </w:rPr>
        <w:t>矿区内无地表水出露，矿山生产用水从北西侧300m处</w:t>
      </w:r>
      <w:r>
        <w:rPr>
          <w:rFonts w:hint="eastAsia" w:ascii="宋体" w:hAnsi="宋体"/>
          <w:sz w:val="24"/>
          <w:lang w:eastAsia="zh-CN"/>
        </w:rPr>
        <w:t>********</w:t>
      </w:r>
      <w:r>
        <w:rPr>
          <w:rFonts w:hint="eastAsia" w:ascii="宋体" w:hAnsi="宋体"/>
          <w:sz w:val="24"/>
        </w:rPr>
        <w:t>峡沟内拉运解决，生活用水从北侧1.5km处</w:t>
      </w:r>
      <w:r>
        <w:rPr>
          <w:rFonts w:hint="eastAsia" w:ascii="宋体" w:hAnsi="宋体"/>
          <w:sz w:val="24"/>
          <w:lang w:eastAsia="zh-CN"/>
        </w:rPr>
        <w:t>********</w:t>
      </w:r>
      <w:r>
        <w:rPr>
          <w:rFonts w:hint="eastAsia" w:ascii="宋体" w:hAnsi="宋体"/>
          <w:sz w:val="24"/>
        </w:rPr>
        <w:t>村拉运解决。</w:t>
      </w:r>
    </w:p>
    <w:p>
      <w:pPr>
        <w:spacing w:line="360" w:lineRule="auto"/>
        <w:ind w:firstLine="480" w:firstLineChars="200"/>
        <w:rPr>
          <w:rFonts w:ascii="宋体" w:hAnsi="宋体"/>
          <w:sz w:val="24"/>
        </w:rPr>
      </w:pPr>
      <w:r>
        <w:rPr>
          <w:rFonts w:hint="eastAsia" w:ascii="宋体" w:hAnsi="宋体"/>
          <w:sz w:val="24"/>
        </w:rPr>
        <w:t>矿山生产用水主要为降尘喷洒用水，日用水量约6m</w:t>
      </w:r>
      <w:r>
        <w:rPr>
          <w:rFonts w:hint="eastAsia" w:ascii="宋体" w:hAnsi="宋体"/>
          <w:sz w:val="24"/>
          <w:vertAlign w:val="superscript"/>
        </w:rPr>
        <w:t>3</w:t>
      </w:r>
      <w:r>
        <w:rPr>
          <w:rFonts w:hint="eastAsia" w:ascii="宋体" w:hAnsi="宋体"/>
          <w:sz w:val="24"/>
        </w:rPr>
        <w:t>，年用水量约1500m</w:t>
      </w:r>
      <w:r>
        <w:rPr>
          <w:rFonts w:hint="eastAsia" w:ascii="宋体" w:hAnsi="宋体"/>
          <w:sz w:val="24"/>
          <w:vertAlign w:val="superscript"/>
        </w:rPr>
        <w:t>3</w:t>
      </w:r>
      <w:r>
        <w:rPr>
          <w:rFonts w:hint="eastAsia" w:ascii="宋体" w:hAnsi="宋体"/>
          <w:sz w:val="24"/>
        </w:rPr>
        <w:t>。水源为北西侧300m处</w:t>
      </w:r>
      <w:r>
        <w:rPr>
          <w:rFonts w:hint="eastAsia" w:ascii="宋体" w:hAnsi="宋体"/>
          <w:sz w:val="24"/>
          <w:lang w:eastAsia="zh-CN"/>
        </w:rPr>
        <w:t>********</w:t>
      </w:r>
      <w:r>
        <w:rPr>
          <w:rFonts w:hint="eastAsia" w:ascii="宋体" w:hAnsi="宋体"/>
          <w:sz w:val="24"/>
        </w:rPr>
        <w:t>峡沟，由洒水车拉运至各洒水点。</w:t>
      </w:r>
    </w:p>
    <w:p>
      <w:pPr>
        <w:spacing w:line="360" w:lineRule="auto"/>
        <w:ind w:firstLine="480" w:firstLineChars="200"/>
        <w:rPr>
          <w:rFonts w:ascii="宋体" w:hAnsi="宋体"/>
          <w:sz w:val="24"/>
        </w:rPr>
      </w:pPr>
      <w:r>
        <w:rPr>
          <w:rFonts w:hint="eastAsia" w:ascii="宋体" w:hAnsi="宋体"/>
          <w:sz w:val="24"/>
        </w:rPr>
        <w:t>破碎站生产用水主要为洗沙用水，日用水量约20m</w:t>
      </w:r>
      <w:r>
        <w:rPr>
          <w:rFonts w:hint="eastAsia" w:ascii="宋体" w:hAnsi="宋体"/>
          <w:sz w:val="24"/>
          <w:vertAlign w:val="superscript"/>
        </w:rPr>
        <w:t>3</w:t>
      </w:r>
      <w:r>
        <w:rPr>
          <w:rFonts w:hint="eastAsia" w:ascii="宋体" w:hAnsi="宋体"/>
          <w:sz w:val="24"/>
        </w:rPr>
        <w:t>，年用水量约5000m</w:t>
      </w:r>
      <w:r>
        <w:rPr>
          <w:rFonts w:hint="eastAsia" w:ascii="宋体" w:hAnsi="宋体"/>
          <w:sz w:val="24"/>
          <w:vertAlign w:val="superscript"/>
        </w:rPr>
        <w:t>3</w:t>
      </w:r>
      <w:r>
        <w:rPr>
          <w:rFonts w:hint="eastAsia" w:ascii="宋体" w:hAnsi="宋体"/>
          <w:sz w:val="24"/>
        </w:rPr>
        <w:t xml:space="preserve">。水源为 </w:t>
      </w:r>
      <w:r>
        <w:rPr>
          <w:rFonts w:hint="eastAsia" w:ascii="宋体" w:hAnsi="宋体"/>
          <w:sz w:val="24"/>
          <w:lang w:eastAsia="zh-CN"/>
        </w:rPr>
        <w:t>********</w:t>
      </w:r>
      <w:r>
        <w:rPr>
          <w:rFonts w:hint="eastAsia" w:ascii="宋体" w:hAnsi="宋体"/>
          <w:sz w:val="24"/>
        </w:rPr>
        <w:t>峡沟内流水，由洒水车拉运至破碎站循环水池，轮式洗砂机旁建有二级循环水池， 循环水池长5m，宽5m，深lm，由100SQJ2-50/10水泵经水管直接输送洗砂处。</w:t>
      </w:r>
    </w:p>
    <w:p>
      <w:pPr>
        <w:spacing w:line="360" w:lineRule="auto"/>
        <w:ind w:firstLine="480" w:firstLineChars="200"/>
        <w:rPr>
          <w:rFonts w:ascii="宋体" w:hAnsi="宋体"/>
          <w:sz w:val="24"/>
        </w:rPr>
      </w:pPr>
      <w:r>
        <w:rPr>
          <w:rFonts w:hint="eastAsia" w:ascii="宋体" w:hAnsi="宋体"/>
          <w:sz w:val="24"/>
        </w:rPr>
        <w:t>生活用水日用水量为2m</w:t>
      </w:r>
      <w:r>
        <w:rPr>
          <w:rFonts w:hint="eastAsia" w:ascii="宋体" w:hAnsi="宋体"/>
          <w:sz w:val="24"/>
          <w:vertAlign w:val="superscript"/>
        </w:rPr>
        <w:t>3</w:t>
      </w:r>
      <w:r>
        <w:rPr>
          <w:rFonts w:hint="eastAsia" w:ascii="宋体" w:hAnsi="宋体"/>
          <w:sz w:val="24"/>
        </w:rPr>
        <w:t>，年用水量约500m</w:t>
      </w:r>
      <w:r>
        <w:rPr>
          <w:rFonts w:hint="eastAsia" w:ascii="宋体" w:hAnsi="宋体"/>
          <w:sz w:val="24"/>
          <w:vertAlign w:val="superscript"/>
        </w:rPr>
        <w:t>3</w:t>
      </w:r>
      <w:r>
        <w:rPr>
          <w:rFonts w:hint="eastAsia" w:ascii="宋体" w:hAnsi="宋体"/>
          <w:sz w:val="24"/>
        </w:rPr>
        <w:t>，在生活区设2m</w:t>
      </w:r>
      <w:r>
        <w:rPr>
          <w:rFonts w:hint="eastAsia" w:ascii="宋体" w:hAnsi="宋体"/>
          <w:sz w:val="24"/>
          <w:vertAlign w:val="superscript"/>
        </w:rPr>
        <w:t>3</w:t>
      </w:r>
      <w:r>
        <w:rPr>
          <w:rFonts w:hint="eastAsia" w:ascii="宋体" w:hAnsi="宋体"/>
          <w:sz w:val="24"/>
        </w:rPr>
        <w:t>储水桶1个。</w:t>
      </w:r>
    </w:p>
    <w:p>
      <w:pPr>
        <w:spacing w:line="360" w:lineRule="auto"/>
        <w:ind w:firstLine="480" w:firstLineChars="200"/>
        <w:rPr>
          <w:rFonts w:ascii="宋体" w:hAnsi="宋体"/>
          <w:sz w:val="24"/>
        </w:rPr>
      </w:pPr>
      <w:r>
        <w:rPr>
          <w:rFonts w:hint="eastAsia" w:ascii="宋体" w:hAnsi="宋体"/>
          <w:sz w:val="24"/>
        </w:rPr>
        <w:t>矿山排水采用自然排水。采场外围设置截水沟，与运输道路排水沟相连。截水沟长约300m，断面为倒梯形，顶宽1.0m、底宽0.6m、深0.5m</w:t>
      </w:r>
      <w:r>
        <w:rPr>
          <w:rFonts w:ascii="宋体" w:hAnsi="宋体"/>
          <w:sz w:val="24"/>
        </w:rPr>
        <w:t>。</w:t>
      </w:r>
    </w:p>
    <w:p>
      <w:pPr>
        <w:numPr>
          <w:ilvl w:val="2"/>
          <w:numId w:val="2"/>
        </w:numPr>
        <w:spacing w:line="360" w:lineRule="auto"/>
        <w:outlineLvl w:val="2"/>
        <w:rPr>
          <w:rFonts w:ascii="宋体"/>
          <w:b/>
          <w:bCs/>
          <w:sz w:val="28"/>
          <w:szCs w:val="28"/>
          <w:lang w:val="zh-TW"/>
        </w:rPr>
      </w:pPr>
      <w:r>
        <w:rPr>
          <w:rFonts w:hint="eastAsia" w:ascii="宋体"/>
          <w:b/>
          <w:bCs/>
          <w:sz w:val="28"/>
          <w:szCs w:val="28"/>
          <w:lang w:val="zh-TW"/>
        </w:rPr>
        <w:t>矿山消防</w:t>
      </w:r>
      <w:bookmarkEnd w:id="205"/>
      <w:bookmarkEnd w:id="206"/>
      <w:bookmarkEnd w:id="207"/>
    </w:p>
    <w:p>
      <w:pPr>
        <w:spacing w:line="360" w:lineRule="auto"/>
        <w:ind w:firstLine="480" w:firstLineChars="200"/>
        <w:rPr>
          <w:rFonts w:cs="宋体"/>
          <w:sz w:val="24"/>
        </w:rPr>
      </w:pPr>
      <w:r>
        <w:rPr>
          <w:rFonts w:hint="eastAsia" w:cs="宋体"/>
          <w:sz w:val="24"/>
        </w:rPr>
        <w:t>矿山地表设备设施较简单，釆场不设消防设施，消防对象主要为各种大型设备临时消防。根据灭火器配置设计规范，釆用配备手提式干粉灭火器的预防措施，挖掘机、装载机、控制系统旁、行政生活区等每个消防点配备2个干粉灭火器，灭火器为3.0km干粉灭火器，灭火器放置在灭火器箱内，灭火器箱型号为XMDF4-2，高540mm、宽680mm、长200mm，可装3.0km灭火器两个。</w:t>
      </w:r>
    </w:p>
    <w:p>
      <w:pPr>
        <w:spacing w:line="360" w:lineRule="auto"/>
        <w:ind w:firstLine="480" w:firstLineChars="200"/>
        <w:rPr>
          <w:sz w:val="24"/>
        </w:rPr>
      </w:pPr>
      <w:r>
        <w:rPr>
          <w:rFonts w:hint="eastAsia" w:cs="宋体"/>
          <w:sz w:val="24"/>
        </w:rPr>
        <w:t>矿山必须制定和完善消防安全规章制度，定期检查。</w:t>
      </w:r>
    </w:p>
    <w:p>
      <w:pPr>
        <w:numPr>
          <w:ilvl w:val="2"/>
          <w:numId w:val="2"/>
        </w:numPr>
        <w:spacing w:line="360" w:lineRule="auto"/>
        <w:outlineLvl w:val="2"/>
        <w:rPr>
          <w:rFonts w:ascii="宋体"/>
          <w:b/>
          <w:bCs/>
          <w:sz w:val="28"/>
          <w:szCs w:val="28"/>
          <w:lang w:val="zh-TW"/>
        </w:rPr>
      </w:pPr>
      <w:bookmarkStart w:id="208" w:name="_Toc318540429"/>
      <w:bookmarkStart w:id="209" w:name="_Toc312307488"/>
      <w:bookmarkStart w:id="210" w:name="_Toc265739649"/>
      <w:r>
        <w:rPr>
          <w:rFonts w:hint="eastAsia" w:ascii="宋体"/>
          <w:b/>
          <w:bCs/>
          <w:sz w:val="28"/>
          <w:szCs w:val="28"/>
          <w:lang w:val="zh-TW"/>
        </w:rPr>
        <w:t>供暖</w:t>
      </w:r>
      <w:bookmarkEnd w:id="208"/>
      <w:bookmarkEnd w:id="209"/>
      <w:bookmarkEnd w:id="210"/>
    </w:p>
    <w:p>
      <w:pPr>
        <w:spacing w:line="360" w:lineRule="auto"/>
        <w:ind w:firstLine="480" w:firstLineChars="200"/>
        <w:rPr>
          <w:rFonts w:ascii="宋体" w:hAnsi="宋体"/>
          <w:sz w:val="24"/>
        </w:rPr>
      </w:pPr>
      <w:bookmarkStart w:id="211" w:name="_Toc265739650"/>
      <w:bookmarkStart w:id="212" w:name="_Toc318540432"/>
      <w:bookmarkStart w:id="213" w:name="OLE_LINK221"/>
      <w:bookmarkStart w:id="214" w:name="_Toc312307491"/>
      <w:bookmarkStart w:id="215" w:name="_Toc265739652"/>
      <w:bookmarkStart w:id="216" w:name="_Toc318540430"/>
      <w:bookmarkStart w:id="217" w:name="_Toc312307489"/>
      <w:r>
        <w:rPr>
          <w:rFonts w:hint="eastAsia" w:ascii="宋体" w:hAnsi="宋体"/>
          <w:sz w:val="24"/>
        </w:rPr>
        <w:t>矿山冬季不生产，仅有少量留守人员，在室内采用电暖气片，可保证冬季供暖。</w:t>
      </w:r>
    </w:p>
    <w:bookmarkEnd w:id="211"/>
    <w:bookmarkEnd w:id="212"/>
    <w:bookmarkEnd w:id="213"/>
    <w:bookmarkEnd w:id="214"/>
    <w:bookmarkEnd w:id="215"/>
    <w:bookmarkEnd w:id="216"/>
    <w:bookmarkEnd w:id="217"/>
    <w:p>
      <w:pPr>
        <w:numPr>
          <w:ilvl w:val="2"/>
          <w:numId w:val="2"/>
        </w:numPr>
        <w:spacing w:line="360" w:lineRule="auto"/>
        <w:outlineLvl w:val="2"/>
        <w:rPr>
          <w:rFonts w:ascii="宋体"/>
          <w:b/>
          <w:bCs/>
          <w:sz w:val="28"/>
          <w:szCs w:val="28"/>
          <w:lang w:val="zh-TW"/>
        </w:rPr>
      </w:pPr>
      <w:r>
        <w:rPr>
          <w:rFonts w:hint="eastAsia" w:ascii="宋体"/>
          <w:b/>
          <w:bCs/>
          <w:sz w:val="28"/>
          <w:szCs w:val="28"/>
          <w:lang w:val="zh-TW"/>
        </w:rPr>
        <w:t>土建工程</w:t>
      </w:r>
    </w:p>
    <w:p>
      <w:pPr>
        <w:spacing w:line="360" w:lineRule="auto"/>
        <w:ind w:firstLine="480" w:firstLineChars="200"/>
        <w:rPr>
          <w:rFonts w:ascii="宋体" w:hAnsi="宋体"/>
          <w:b/>
          <w:sz w:val="24"/>
        </w:rPr>
      </w:pPr>
      <w:r>
        <w:rPr>
          <w:rFonts w:hint="eastAsia" w:cs="宋体"/>
          <w:sz w:val="24"/>
        </w:rPr>
        <w:t>矿区工业场地位于矿山东侧，距离釆场约100m，建筑面积约1000m</w:t>
      </w:r>
      <w:r>
        <w:rPr>
          <w:rFonts w:hint="eastAsia" w:cs="宋体"/>
          <w:sz w:val="24"/>
          <w:vertAlign w:val="superscript"/>
        </w:rPr>
        <w:t>2</w:t>
      </w:r>
      <w:r>
        <w:rPr>
          <w:rFonts w:hint="eastAsia" w:cs="宋体"/>
          <w:sz w:val="24"/>
        </w:rPr>
        <w:t>，为彩钢结构。包括生活辅助设施、简易办公区、值班室、简易机修场地等。矿区无高于15m建构筑物。</w:t>
      </w:r>
    </w:p>
    <w:p>
      <w:pPr>
        <w:numPr>
          <w:ilvl w:val="2"/>
          <w:numId w:val="2"/>
        </w:numPr>
        <w:spacing w:line="360" w:lineRule="auto"/>
        <w:outlineLvl w:val="2"/>
        <w:rPr>
          <w:rFonts w:ascii="宋体"/>
          <w:b/>
          <w:bCs/>
          <w:sz w:val="28"/>
          <w:szCs w:val="28"/>
          <w:lang w:val="zh-TW"/>
        </w:rPr>
      </w:pPr>
      <w:r>
        <w:rPr>
          <w:rFonts w:hint="eastAsia" w:ascii="宋体"/>
          <w:b/>
          <w:bCs/>
          <w:sz w:val="28"/>
          <w:szCs w:val="28"/>
          <w:lang w:val="zh-TW"/>
        </w:rPr>
        <w:t>机修</w:t>
      </w:r>
    </w:p>
    <w:p>
      <w:pPr>
        <w:spacing w:line="360" w:lineRule="auto"/>
        <w:ind w:firstLine="480" w:firstLineChars="200"/>
        <w:rPr>
          <w:sz w:val="24"/>
        </w:rPr>
      </w:pPr>
      <w:r>
        <w:rPr>
          <w:rFonts w:hint="eastAsia" w:cs="宋体"/>
          <w:sz w:val="24"/>
        </w:rPr>
        <w:t>矿山设简易机修间，能够满足矿山小型机械维修，大、中型机械维修委托社会机修力量承担。</w:t>
      </w:r>
    </w:p>
    <w:p>
      <w:pPr>
        <w:snapToGrid w:val="0"/>
        <w:spacing w:before="120" w:after="120" w:line="360" w:lineRule="auto"/>
        <w:ind w:firstLine="482" w:firstLineChars="200"/>
        <w:rPr>
          <w:rFonts w:ascii="宋体" w:hAnsi="宋体"/>
          <w:b/>
          <w:bCs/>
          <w:sz w:val="24"/>
        </w:rPr>
        <w:sectPr>
          <w:pgSz w:w="11906" w:h="16838"/>
          <w:pgMar w:top="1474" w:right="1474" w:bottom="1474" w:left="1588" w:header="964" w:footer="1021" w:gutter="0"/>
          <w:cols w:space="720" w:num="1"/>
          <w:docGrid w:linePitch="326" w:charSpace="0"/>
        </w:sectPr>
      </w:pPr>
    </w:p>
    <w:bookmarkEnd w:id="177"/>
    <w:p>
      <w:pPr>
        <w:pStyle w:val="2"/>
        <w:numPr>
          <w:ilvl w:val="0"/>
          <w:numId w:val="2"/>
        </w:numPr>
        <w:snapToGrid w:val="0"/>
        <w:spacing w:before="0" w:after="240" w:line="360" w:lineRule="auto"/>
        <w:jc w:val="center"/>
        <w:rPr>
          <w:color w:val="000000"/>
          <w:sz w:val="32"/>
          <w:szCs w:val="32"/>
        </w:rPr>
      </w:pPr>
      <w:bookmarkStart w:id="218" w:name="_Toc9504"/>
      <w:bookmarkStart w:id="219" w:name="_Toc456610961"/>
      <w:bookmarkStart w:id="220" w:name="_Toc29325"/>
      <w:bookmarkStart w:id="221" w:name="_Toc334562672"/>
      <w:bookmarkStart w:id="222" w:name="_Toc403027862"/>
      <w:bookmarkStart w:id="223" w:name="_Toc338707631"/>
      <w:bookmarkStart w:id="224" w:name="_Toc403027783"/>
      <w:bookmarkStart w:id="225" w:name="_Toc435453461"/>
      <w:bookmarkStart w:id="226" w:name="_Toc343030119"/>
      <w:bookmarkStart w:id="227" w:name="_Toc265613519"/>
      <w:r>
        <w:rPr>
          <w:rFonts w:hint="eastAsia"/>
          <w:color w:val="000000"/>
          <w:sz w:val="32"/>
          <w:szCs w:val="32"/>
        </w:rPr>
        <w:t>环境保护</w:t>
      </w:r>
      <w:bookmarkEnd w:id="218"/>
      <w:bookmarkEnd w:id="219"/>
    </w:p>
    <w:p>
      <w:pPr>
        <w:numPr>
          <w:ilvl w:val="1"/>
          <w:numId w:val="2"/>
        </w:numPr>
        <w:spacing w:line="360" w:lineRule="auto"/>
        <w:outlineLvl w:val="1"/>
        <w:rPr>
          <w:rFonts w:ascii="宋体" w:hAnsi="宋体" w:cs="宋体"/>
          <w:b/>
          <w:bCs/>
          <w:color w:val="000000"/>
          <w:sz w:val="30"/>
          <w:szCs w:val="30"/>
        </w:rPr>
      </w:pPr>
      <w:bookmarkStart w:id="228" w:name="_Toc456610962"/>
      <w:bookmarkStart w:id="229" w:name="_Toc27889"/>
      <w:r>
        <w:rPr>
          <w:rFonts w:hint="eastAsia" w:ascii="宋体" w:hAnsi="宋体" w:cs="宋体"/>
          <w:b/>
          <w:bCs/>
          <w:color w:val="000000"/>
          <w:sz w:val="30"/>
          <w:szCs w:val="30"/>
        </w:rPr>
        <w:t>建设地区的环境现状</w:t>
      </w:r>
      <w:bookmarkEnd w:id="228"/>
      <w:bookmarkEnd w:id="229"/>
    </w:p>
    <w:bookmarkEnd w:id="220"/>
    <w:bookmarkEnd w:id="221"/>
    <w:p>
      <w:pPr>
        <w:spacing w:line="360" w:lineRule="auto"/>
        <w:ind w:firstLine="480" w:firstLineChars="200"/>
        <w:rPr>
          <w:rFonts w:ascii="宋体" w:hAnsi="宋体" w:cs="宋体"/>
          <w:sz w:val="24"/>
        </w:rPr>
      </w:pPr>
      <w:r>
        <w:rPr>
          <w:rFonts w:hint="eastAsia" w:ascii="宋体" w:hAnsi="宋体" w:cs="宋体"/>
          <w:sz w:val="24"/>
        </w:rPr>
        <w:t>矿区位于</w:t>
      </w:r>
      <w:r>
        <w:rPr>
          <w:rFonts w:hint="eastAsia" w:ascii="宋体" w:hAnsi="宋体" w:cs="宋体"/>
          <w:sz w:val="24"/>
          <w:lang w:eastAsia="zh-CN"/>
        </w:rPr>
        <w:t>********</w:t>
      </w:r>
      <w:r>
        <w:rPr>
          <w:rFonts w:hint="eastAsia" w:ascii="宋体" w:hAnsi="宋体" w:cs="宋体"/>
          <w:sz w:val="24"/>
        </w:rPr>
        <w:t>南东方向</w:t>
      </w:r>
      <w:r>
        <w:rPr>
          <w:rFonts w:hint="eastAsia" w:ascii="宋体" w:hAnsi="宋体" w:cs="宋体"/>
          <w:sz w:val="24"/>
          <w:lang w:eastAsia="zh-CN"/>
        </w:rPr>
        <w:t>********</w:t>
      </w:r>
      <w:r>
        <w:rPr>
          <w:rFonts w:hint="eastAsia" w:ascii="宋体" w:hAnsi="宋体" w:cs="宋体"/>
          <w:sz w:val="24"/>
        </w:rPr>
        <w:t>III级阶地上，属中低山丘陵区，地势北高南低的山脊，海拔2560.00m〜2465.72m，最大相对高差94.66m，矿区内地形呈南北走向的条形山梁，坡度约30〜35°，区域上该区域属强烈侵蚀区，植被不发育。</w:t>
      </w:r>
    </w:p>
    <w:p>
      <w:pPr>
        <w:spacing w:line="360" w:lineRule="auto"/>
        <w:ind w:firstLine="480" w:firstLineChars="200"/>
        <w:rPr>
          <w:rFonts w:ascii="宋体" w:hAnsi="宋体" w:cs="宋体"/>
          <w:sz w:val="24"/>
        </w:rPr>
      </w:pPr>
      <w:r>
        <w:rPr>
          <w:rFonts w:hint="eastAsia" w:ascii="宋体" w:hAnsi="宋体" w:cs="宋体"/>
          <w:sz w:val="24"/>
        </w:rPr>
        <w:t>矿区远离城市、乡镇，噪声及粉尘不会对居民健康造成影响。区内年降水量远小于年蒸发量，较为干旱，矿山开采对当地环境影响不大。采场环境质量现状一般。</w:t>
      </w:r>
    </w:p>
    <w:p>
      <w:pPr>
        <w:spacing w:line="360" w:lineRule="auto"/>
        <w:ind w:firstLine="480" w:firstLineChars="200"/>
        <w:rPr>
          <w:rFonts w:ascii="宋体" w:hAnsi="宋体" w:cs="宋体"/>
          <w:sz w:val="24"/>
        </w:rPr>
      </w:pPr>
      <w:r>
        <w:rPr>
          <w:rFonts w:hint="eastAsia" w:ascii="宋体" w:hAnsi="宋体" w:cs="宋体"/>
          <w:sz w:val="24"/>
        </w:rPr>
        <w:t>矿山开采对环境的主要影响是釆矿场和矿山道路破坏了原始山地、影响水土保持，同时固体排放物、生活垃圾和废水、污水排放是本设计环境保护的控制点。</w:t>
      </w:r>
    </w:p>
    <w:p>
      <w:pPr>
        <w:numPr>
          <w:ilvl w:val="1"/>
          <w:numId w:val="2"/>
        </w:numPr>
        <w:spacing w:line="360" w:lineRule="auto"/>
        <w:outlineLvl w:val="1"/>
        <w:rPr>
          <w:rFonts w:ascii="宋体" w:hAnsi="宋体" w:cs="宋体"/>
          <w:b/>
          <w:bCs/>
          <w:color w:val="000000"/>
          <w:sz w:val="30"/>
          <w:szCs w:val="30"/>
        </w:rPr>
      </w:pPr>
      <w:bookmarkStart w:id="230" w:name="_Toc30864"/>
      <w:bookmarkStart w:id="231" w:name="_Toc456610964"/>
      <w:r>
        <w:rPr>
          <w:rFonts w:hint="eastAsia" w:ascii="宋体" w:hAnsi="宋体" w:cs="宋体"/>
          <w:b/>
          <w:bCs/>
          <w:color w:val="000000"/>
          <w:sz w:val="30"/>
          <w:szCs w:val="30"/>
        </w:rPr>
        <w:t>主要污染源（物）排放状况</w:t>
      </w:r>
      <w:bookmarkEnd w:id="230"/>
      <w:bookmarkEnd w:id="231"/>
    </w:p>
    <w:p>
      <w:pPr>
        <w:spacing w:line="360" w:lineRule="auto"/>
        <w:ind w:firstLine="480" w:firstLineChars="200"/>
        <w:rPr>
          <w:rFonts w:ascii="宋体" w:hAnsi="宋体" w:cs="宋体"/>
          <w:sz w:val="24"/>
        </w:rPr>
      </w:pPr>
      <w:r>
        <w:rPr>
          <w:rFonts w:hint="eastAsia" w:ascii="宋体" w:hAnsi="宋体" w:cs="宋体"/>
          <w:sz w:val="24"/>
        </w:rPr>
        <w:t>矿山不存在有毒、有害物质，矿体均可作为矿产品利用，综合利用率高；废土直接排放于排土场（平地沟谷），有防止水土流失的措施，对环境影响不大。设计开采范围主要为原始山坡地，开采对山体植被、自然景观影响不大。</w:t>
      </w:r>
    </w:p>
    <w:p>
      <w:pPr>
        <w:spacing w:line="360" w:lineRule="auto"/>
        <w:ind w:firstLine="480" w:firstLineChars="200"/>
        <w:rPr>
          <w:rFonts w:ascii="宋体" w:hAnsi="宋体" w:cs="宋体"/>
          <w:sz w:val="24"/>
        </w:rPr>
      </w:pPr>
      <w:r>
        <w:rPr>
          <w:rFonts w:hint="eastAsia" w:ascii="宋体" w:hAnsi="宋体" w:cs="宋体"/>
          <w:sz w:val="24"/>
        </w:rPr>
        <w:t>露天开采对环境的主要影响是采矿场和矿山道路破坏了植被、影响水土保持以及对自然景观的破坏，同时噪声、废土和污水排放是本设计环境保护的控制点。主要污染源（物）排放见表8-1。</w:t>
      </w:r>
    </w:p>
    <w:p>
      <w:pPr>
        <w:jc w:val="center"/>
        <w:rPr>
          <w:rFonts w:ascii="宋体" w:hAnsi="宋体" w:cs="宋体"/>
          <w:b/>
          <w:bCs/>
          <w:sz w:val="24"/>
        </w:rPr>
      </w:pPr>
      <w:r>
        <w:rPr>
          <w:rFonts w:hint="eastAsia" w:ascii="宋体" w:hAnsi="宋体" w:cs="宋体"/>
          <w:b/>
          <w:bCs/>
          <w:szCs w:val="21"/>
        </w:rPr>
        <w:t>表8-1  主要污染物排放表</w:t>
      </w:r>
      <w:r>
        <w:rPr>
          <w:rFonts w:hint="eastAsia" w:ascii="宋体" w:hAnsi="宋体" w:cs="宋体"/>
          <w:b/>
          <w:bCs/>
          <w:sz w:val="24"/>
        </w:rPr>
        <w:tab/>
      </w:r>
    </w:p>
    <w:tbl>
      <w:tblPr>
        <w:tblStyle w:val="59"/>
        <w:tblW w:w="8527" w:type="dxa"/>
        <w:jc w:val="center"/>
        <w:tblInd w:w="0" w:type="dxa"/>
        <w:tblLayout w:type="fixed"/>
        <w:tblCellMar>
          <w:top w:w="0" w:type="dxa"/>
          <w:left w:w="108" w:type="dxa"/>
          <w:bottom w:w="0" w:type="dxa"/>
          <w:right w:w="108" w:type="dxa"/>
        </w:tblCellMar>
      </w:tblPr>
      <w:tblGrid>
        <w:gridCol w:w="1874"/>
        <w:gridCol w:w="4490"/>
        <w:gridCol w:w="2163"/>
      </w:tblGrid>
      <w:tr>
        <w:tblPrEx>
          <w:tblLayout w:type="fixed"/>
          <w:tblCellMar>
            <w:top w:w="0" w:type="dxa"/>
            <w:left w:w="108" w:type="dxa"/>
            <w:bottom w:w="0" w:type="dxa"/>
            <w:right w:w="108" w:type="dxa"/>
          </w:tblCellMar>
        </w:tblPrEx>
        <w:trPr>
          <w:trHeight w:val="410" w:hRule="exact"/>
          <w:jc w:val="center"/>
        </w:trPr>
        <w:tc>
          <w:tcPr>
            <w:tcW w:w="1874"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种类</w:t>
            </w:r>
          </w:p>
        </w:tc>
        <w:tc>
          <w:tcPr>
            <w:tcW w:w="4490"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排放地点</w:t>
            </w:r>
          </w:p>
        </w:tc>
        <w:tc>
          <w:tcPr>
            <w:tcW w:w="2163" w:type="dxa"/>
            <w:tcBorders>
              <w:top w:val="single" w:color="auto" w:sz="4" w:space="0"/>
              <w:left w:val="single" w:color="auto" w:sz="4" w:space="0"/>
              <w:right w:val="single" w:color="auto" w:sz="4" w:space="0"/>
            </w:tcBorders>
            <w:shd w:val="clear" w:color="auto" w:fill="FFFFFF"/>
            <w:vAlign w:val="center"/>
          </w:tcPr>
          <w:p>
            <w:pPr>
              <w:jc w:val="center"/>
              <w:rPr>
                <w:rFonts w:ascii="Calibri"/>
                <w:szCs w:val="21"/>
              </w:rPr>
            </w:pPr>
            <w:r>
              <w:rPr>
                <w:rFonts w:hint="eastAsia" w:ascii="Calibri"/>
                <w:szCs w:val="21"/>
              </w:rPr>
              <w:t>排放量</w:t>
            </w:r>
          </w:p>
        </w:tc>
      </w:tr>
      <w:tr>
        <w:tblPrEx>
          <w:tblLayout w:type="fixed"/>
          <w:tblCellMar>
            <w:top w:w="0" w:type="dxa"/>
            <w:left w:w="108" w:type="dxa"/>
            <w:bottom w:w="0" w:type="dxa"/>
            <w:right w:w="108" w:type="dxa"/>
          </w:tblCellMar>
        </w:tblPrEx>
        <w:trPr>
          <w:trHeight w:val="400" w:hRule="exact"/>
          <w:jc w:val="center"/>
        </w:trPr>
        <w:tc>
          <w:tcPr>
            <w:tcW w:w="1874"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剥离土</w:t>
            </w:r>
          </w:p>
        </w:tc>
        <w:tc>
          <w:tcPr>
            <w:tcW w:w="4490"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排土场</w:t>
            </w:r>
          </w:p>
        </w:tc>
        <w:tc>
          <w:tcPr>
            <w:tcW w:w="2163" w:type="dxa"/>
            <w:tcBorders>
              <w:top w:val="single" w:color="auto" w:sz="4" w:space="0"/>
              <w:left w:val="single" w:color="auto" w:sz="4" w:space="0"/>
              <w:right w:val="single" w:color="auto" w:sz="4" w:space="0"/>
            </w:tcBorders>
            <w:shd w:val="clear" w:color="auto" w:fill="FFFFFF"/>
            <w:vAlign w:val="center"/>
          </w:tcPr>
          <w:p>
            <w:pPr>
              <w:jc w:val="center"/>
              <w:rPr>
                <w:rFonts w:ascii="Calibri"/>
                <w:szCs w:val="21"/>
              </w:rPr>
            </w:pPr>
            <w:r>
              <w:rPr>
                <w:rFonts w:hint="eastAsia" w:ascii="Calibri"/>
                <w:szCs w:val="21"/>
              </w:rPr>
              <w:t>7.6万立方米</w:t>
            </w:r>
          </w:p>
        </w:tc>
      </w:tr>
      <w:tr>
        <w:tblPrEx>
          <w:tblLayout w:type="fixed"/>
          <w:tblCellMar>
            <w:top w:w="0" w:type="dxa"/>
            <w:left w:w="108" w:type="dxa"/>
            <w:bottom w:w="0" w:type="dxa"/>
            <w:right w:w="108" w:type="dxa"/>
          </w:tblCellMar>
        </w:tblPrEx>
        <w:trPr>
          <w:trHeight w:val="400" w:hRule="exact"/>
          <w:jc w:val="center"/>
        </w:trPr>
        <w:tc>
          <w:tcPr>
            <w:tcW w:w="1874"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生活垃圾</w:t>
            </w:r>
          </w:p>
        </w:tc>
        <w:tc>
          <w:tcPr>
            <w:tcW w:w="4490"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行政生活区</w:t>
            </w:r>
          </w:p>
        </w:tc>
        <w:tc>
          <w:tcPr>
            <w:tcW w:w="2163" w:type="dxa"/>
            <w:tcBorders>
              <w:top w:val="single" w:color="auto" w:sz="4" w:space="0"/>
              <w:left w:val="single" w:color="auto" w:sz="4" w:space="0"/>
              <w:right w:val="single" w:color="auto" w:sz="4" w:space="0"/>
            </w:tcBorders>
            <w:shd w:val="clear" w:color="auto" w:fill="FFFFFF"/>
            <w:vAlign w:val="center"/>
          </w:tcPr>
          <w:p>
            <w:pPr>
              <w:jc w:val="center"/>
              <w:rPr>
                <w:rFonts w:ascii="Calibri"/>
                <w:szCs w:val="21"/>
              </w:rPr>
            </w:pPr>
          </w:p>
        </w:tc>
      </w:tr>
      <w:tr>
        <w:tblPrEx>
          <w:tblLayout w:type="fixed"/>
          <w:tblCellMar>
            <w:top w:w="0" w:type="dxa"/>
            <w:left w:w="108" w:type="dxa"/>
            <w:bottom w:w="0" w:type="dxa"/>
            <w:right w:w="108" w:type="dxa"/>
          </w:tblCellMar>
        </w:tblPrEx>
        <w:trPr>
          <w:trHeight w:val="414" w:hRule="exact"/>
          <w:jc w:val="center"/>
        </w:trPr>
        <w:tc>
          <w:tcPr>
            <w:tcW w:w="1874" w:type="dxa"/>
            <w:tcBorders>
              <w:top w:val="single" w:color="auto" w:sz="4" w:space="0"/>
              <w:left w:val="single" w:color="auto" w:sz="4" w:space="0"/>
              <w:bottom w:val="single" w:color="auto" w:sz="4" w:space="0"/>
            </w:tcBorders>
            <w:shd w:val="clear" w:color="auto" w:fill="FFFFFF"/>
            <w:vAlign w:val="center"/>
          </w:tcPr>
          <w:p>
            <w:pPr>
              <w:jc w:val="center"/>
              <w:rPr>
                <w:rFonts w:ascii="Calibri"/>
                <w:szCs w:val="21"/>
              </w:rPr>
            </w:pPr>
            <w:r>
              <w:rPr>
                <w:rFonts w:hint="eastAsia" w:ascii="Calibri"/>
                <w:szCs w:val="21"/>
              </w:rPr>
              <w:t>废水</w:t>
            </w:r>
          </w:p>
        </w:tc>
        <w:tc>
          <w:tcPr>
            <w:tcW w:w="4490" w:type="dxa"/>
            <w:tcBorders>
              <w:top w:val="single" w:color="auto" w:sz="4" w:space="0"/>
              <w:left w:val="single" w:color="auto" w:sz="4" w:space="0"/>
              <w:bottom w:val="single" w:color="auto" w:sz="4" w:space="0"/>
            </w:tcBorders>
            <w:shd w:val="clear" w:color="auto" w:fill="FFFFFF"/>
            <w:vAlign w:val="center"/>
          </w:tcPr>
          <w:p>
            <w:pPr>
              <w:jc w:val="center"/>
              <w:rPr>
                <w:rFonts w:ascii="Calibri"/>
                <w:szCs w:val="21"/>
              </w:rPr>
            </w:pPr>
            <w:r>
              <w:rPr>
                <w:rFonts w:hint="eastAsia" w:ascii="Calibri"/>
                <w:szCs w:val="21"/>
              </w:rPr>
              <w:t>行政生活区及采矿场</w:t>
            </w:r>
          </w:p>
        </w:tc>
        <w:tc>
          <w:tcPr>
            <w:tcW w:w="2163"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Calibri"/>
                <w:szCs w:val="21"/>
              </w:rPr>
            </w:pPr>
          </w:p>
        </w:tc>
      </w:tr>
    </w:tbl>
    <w:p>
      <w:pPr>
        <w:pStyle w:val="18"/>
        <w:ind w:firstLine="480"/>
        <w:rPr>
          <w:kern w:val="10"/>
          <w:sz w:val="24"/>
          <w:szCs w:val="24"/>
        </w:rPr>
      </w:pPr>
    </w:p>
    <w:p>
      <w:pPr>
        <w:numPr>
          <w:ilvl w:val="1"/>
          <w:numId w:val="2"/>
        </w:numPr>
        <w:spacing w:line="360" w:lineRule="auto"/>
        <w:outlineLvl w:val="1"/>
        <w:rPr>
          <w:rFonts w:ascii="宋体" w:hAnsi="宋体" w:cs="宋体"/>
          <w:b/>
          <w:bCs/>
          <w:color w:val="000000"/>
          <w:sz w:val="30"/>
          <w:szCs w:val="30"/>
        </w:rPr>
      </w:pPr>
      <w:bookmarkStart w:id="232" w:name="_Toc367"/>
      <w:bookmarkStart w:id="233" w:name="_Toc456610965"/>
      <w:r>
        <w:rPr>
          <w:rFonts w:hint="eastAsia" w:ascii="宋体" w:hAnsi="宋体" w:cs="宋体"/>
          <w:b/>
          <w:bCs/>
          <w:color w:val="000000"/>
          <w:sz w:val="30"/>
          <w:szCs w:val="30"/>
        </w:rPr>
        <w:t>主要污染源（物）治理方案</w:t>
      </w:r>
      <w:bookmarkEnd w:id="232"/>
      <w:bookmarkEnd w:id="233"/>
    </w:p>
    <w:p>
      <w:pPr>
        <w:pStyle w:val="18"/>
        <w:ind w:firstLine="482"/>
        <w:rPr>
          <w:b/>
          <w:bCs/>
          <w:sz w:val="24"/>
          <w:szCs w:val="24"/>
        </w:rPr>
      </w:pPr>
      <w:r>
        <w:rPr>
          <w:rFonts w:hint="eastAsia"/>
          <w:b/>
          <w:bCs/>
          <w:sz w:val="24"/>
          <w:szCs w:val="24"/>
        </w:rPr>
        <w:t>1、剥离物</w:t>
      </w:r>
    </w:p>
    <w:p>
      <w:pPr>
        <w:pStyle w:val="18"/>
        <w:ind w:firstLine="480"/>
        <w:rPr>
          <w:sz w:val="24"/>
          <w:szCs w:val="24"/>
        </w:rPr>
      </w:pPr>
      <w:r>
        <w:rPr>
          <w:rFonts w:hint="eastAsia"/>
          <w:sz w:val="24"/>
          <w:szCs w:val="24"/>
        </w:rPr>
        <w:t>表土剥离物主要用于平整道路、平整工业场地等综合利用，其余全部用于矿山后期土地复垦覆土、平整。</w:t>
      </w:r>
    </w:p>
    <w:p>
      <w:pPr>
        <w:pStyle w:val="18"/>
        <w:ind w:firstLine="482"/>
        <w:rPr>
          <w:b/>
          <w:bCs/>
          <w:sz w:val="24"/>
          <w:szCs w:val="24"/>
        </w:rPr>
      </w:pPr>
      <w:r>
        <w:rPr>
          <w:rFonts w:hint="eastAsia"/>
          <w:b/>
          <w:bCs/>
          <w:sz w:val="24"/>
          <w:szCs w:val="24"/>
        </w:rPr>
        <w:t>2、生活垃圾</w:t>
      </w:r>
    </w:p>
    <w:p>
      <w:pPr>
        <w:pStyle w:val="18"/>
        <w:ind w:firstLine="480"/>
        <w:rPr>
          <w:sz w:val="24"/>
          <w:szCs w:val="24"/>
        </w:rPr>
      </w:pPr>
      <w:r>
        <w:rPr>
          <w:rFonts w:hint="eastAsia"/>
          <w:sz w:val="24"/>
          <w:szCs w:val="24"/>
        </w:rPr>
        <w:t>各点集中统一清理运送至指定埋填场。</w:t>
      </w:r>
    </w:p>
    <w:p>
      <w:pPr>
        <w:pStyle w:val="18"/>
        <w:ind w:firstLine="482"/>
        <w:rPr>
          <w:b/>
          <w:bCs/>
          <w:sz w:val="24"/>
          <w:szCs w:val="24"/>
        </w:rPr>
      </w:pPr>
      <w:r>
        <w:rPr>
          <w:rFonts w:hint="eastAsia"/>
          <w:b/>
          <w:bCs/>
          <w:sz w:val="24"/>
          <w:szCs w:val="24"/>
        </w:rPr>
        <w:t>3、污水</w:t>
      </w:r>
    </w:p>
    <w:p>
      <w:pPr>
        <w:pStyle w:val="18"/>
        <w:ind w:firstLine="480"/>
        <w:rPr>
          <w:sz w:val="24"/>
          <w:szCs w:val="24"/>
        </w:rPr>
      </w:pPr>
      <w:r>
        <w:rPr>
          <w:rFonts w:hint="eastAsia"/>
          <w:sz w:val="24"/>
          <w:szCs w:val="24"/>
        </w:rPr>
        <w:t>施工期的废水来源为两个部分：一是施工期产生的生产废水，主要来自于施工机械的冲洗、冷却废水。主要含泥沙等悬浮物，并带有少量的油污。二是场地施工人员产生的生活污水和洗涤水，主要含COD、NH3-N、SS等污染物。</w:t>
      </w:r>
    </w:p>
    <w:p>
      <w:pPr>
        <w:pStyle w:val="18"/>
        <w:ind w:firstLine="480"/>
        <w:rPr>
          <w:sz w:val="24"/>
          <w:szCs w:val="24"/>
        </w:rPr>
      </w:pPr>
      <w:r>
        <w:rPr>
          <w:rFonts w:hint="eastAsia"/>
          <w:sz w:val="24"/>
          <w:szCs w:val="24"/>
        </w:rPr>
        <w:t>污废水处理措施：</w:t>
      </w:r>
    </w:p>
    <w:p>
      <w:pPr>
        <w:pStyle w:val="18"/>
        <w:ind w:firstLine="480"/>
        <w:rPr>
          <w:sz w:val="24"/>
          <w:szCs w:val="24"/>
        </w:rPr>
      </w:pPr>
      <w:r>
        <w:rPr>
          <w:rFonts w:hint="eastAsia"/>
          <w:sz w:val="24"/>
          <w:szCs w:val="24"/>
        </w:rPr>
        <w:t>对开采过程中产生的设备冷却水、施工机械清洗除尘废水等建简单平流式自然沉淀池进行收集，简单处理后可回用于采场、破碎站及道路防尘洒水，避免无组织自然排放。对少量设备机修含油污废水采取简易隔油下渗处理的方法，油渣定期焚烧，不得外排。对施工人员产生的生活污水就地泼洒，自然蒸发，氧化分解。</w:t>
      </w:r>
    </w:p>
    <w:p>
      <w:pPr>
        <w:pStyle w:val="18"/>
        <w:ind w:firstLine="482"/>
        <w:rPr>
          <w:b/>
          <w:bCs/>
          <w:sz w:val="24"/>
          <w:szCs w:val="24"/>
        </w:rPr>
      </w:pPr>
      <w:r>
        <w:rPr>
          <w:rFonts w:hint="eastAsia"/>
          <w:b/>
          <w:bCs/>
          <w:sz w:val="24"/>
          <w:szCs w:val="24"/>
        </w:rPr>
        <w:t>4、粉尘</w:t>
      </w:r>
    </w:p>
    <w:p>
      <w:pPr>
        <w:pStyle w:val="18"/>
        <w:ind w:firstLine="480"/>
        <w:rPr>
          <w:sz w:val="24"/>
          <w:szCs w:val="24"/>
        </w:rPr>
      </w:pPr>
      <w:r>
        <w:rPr>
          <w:rFonts w:hint="eastAsia"/>
          <w:sz w:val="24"/>
          <w:szCs w:val="24"/>
        </w:rPr>
        <w:t>粉尘是主要产生在于挖掘、装载和运输过程中。开采时在装载作业面、运输道路洒水除尘，能控制粉尘飞扬。</w:t>
      </w:r>
    </w:p>
    <w:p>
      <w:pPr>
        <w:pStyle w:val="18"/>
        <w:ind w:firstLine="482"/>
        <w:rPr>
          <w:b/>
          <w:bCs/>
          <w:sz w:val="24"/>
          <w:szCs w:val="24"/>
        </w:rPr>
      </w:pPr>
      <w:r>
        <w:rPr>
          <w:rFonts w:hint="eastAsia"/>
          <w:b/>
          <w:bCs/>
          <w:sz w:val="24"/>
          <w:szCs w:val="24"/>
        </w:rPr>
        <w:t>5、噪声</w:t>
      </w:r>
    </w:p>
    <w:p>
      <w:pPr>
        <w:pStyle w:val="18"/>
        <w:ind w:firstLine="480"/>
        <w:rPr>
          <w:sz w:val="24"/>
          <w:szCs w:val="24"/>
        </w:rPr>
      </w:pPr>
      <w:r>
        <w:rPr>
          <w:rFonts w:hint="eastAsia"/>
          <w:sz w:val="24"/>
          <w:szCs w:val="24"/>
        </w:rPr>
        <w:t>自卸汽车和装载设备等是主要噪声污染源，但工作噪音低于85dB，属间歇性噪音，采场空旷，噪声对周围环境影响不大。</w:t>
      </w:r>
    </w:p>
    <w:p>
      <w:pPr>
        <w:pStyle w:val="18"/>
        <w:ind w:firstLine="482"/>
        <w:rPr>
          <w:b/>
          <w:bCs/>
          <w:sz w:val="24"/>
          <w:szCs w:val="24"/>
        </w:rPr>
      </w:pPr>
      <w:r>
        <w:rPr>
          <w:rFonts w:hint="eastAsia"/>
          <w:b/>
          <w:bCs/>
          <w:sz w:val="24"/>
          <w:szCs w:val="24"/>
        </w:rPr>
        <w:t>6、油污</w:t>
      </w:r>
    </w:p>
    <w:p>
      <w:pPr>
        <w:pStyle w:val="18"/>
        <w:ind w:firstLine="480"/>
        <w:rPr>
          <w:sz w:val="24"/>
          <w:szCs w:val="24"/>
        </w:rPr>
      </w:pPr>
      <w:r>
        <w:rPr>
          <w:rFonts w:hint="eastAsia"/>
          <w:sz w:val="24"/>
          <w:szCs w:val="24"/>
        </w:rPr>
        <w:t>矿山柴油设备包括挖掘机、装载机、自卸汽车等，可能产生油污的还有废弃润滑油及机修时使用的汽油、柴油等，但因油污量小、污染范围有限，故对周围环境不大。矿山必须设油水分离器，将油污集中处理。</w:t>
      </w:r>
    </w:p>
    <w:p>
      <w:pPr>
        <w:pStyle w:val="18"/>
        <w:ind w:firstLine="482"/>
        <w:rPr>
          <w:b/>
          <w:bCs/>
          <w:sz w:val="24"/>
          <w:szCs w:val="24"/>
        </w:rPr>
      </w:pPr>
      <w:r>
        <w:rPr>
          <w:rFonts w:hint="eastAsia"/>
          <w:b/>
          <w:bCs/>
          <w:sz w:val="24"/>
          <w:szCs w:val="24"/>
        </w:rPr>
        <w:t>7、矿山绿化与综合治理</w:t>
      </w:r>
    </w:p>
    <w:p>
      <w:pPr>
        <w:pStyle w:val="18"/>
        <w:ind w:firstLine="480"/>
        <w:rPr>
          <w:sz w:val="24"/>
          <w:szCs w:val="24"/>
        </w:rPr>
      </w:pPr>
      <w:r>
        <w:rPr>
          <w:rFonts w:hint="eastAsia"/>
          <w:sz w:val="24"/>
          <w:szCs w:val="24"/>
        </w:rPr>
        <w:t>矿山从修建道路开始，就边施工边绿化，道路两侧、工业场地周围都进行种植草皮等措施，保护环境，防止水土流失。矿山设1名兼职环保员，负责全矿环境保护教育和管理工作。</w:t>
      </w:r>
    </w:p>
    <w:p>
      <w:pPr>
        <w:pStyle w:val="18"/>
        <w:ind w:firstLine="480"/>
        <w:rPr>
          <w:sz w:val="24"/>
          <w:szCs w:val="24"/>
        </w:rPr>
      </w:pPr>
      <w:r>
        <w:rPr>
          <w:rFonts w:hint="eastAsia"/>
          <w:sz w:val="24"/>
          <w:szCs w:val="24"/>
        </w:rPr>
        <w:t>矿山开采在一定程度上破坏原始地貌，矿山开采结束后形成了巨大的采坑，影响到自然景观和生态平衡。本着谁破坏、谁治理的原则，本方案提出初步绿化恢复方案。</w:t>
      </w:r>
    </w:p>
    <w:p>
      <w:pPr>
        <w:pStyle w:val="18"/>
        <w:ind w:firstLine="480"/>
        <w:rPr>
          <w:sz w:val="24"/>
          <w:szCs w:val="24"/>
        </w:rPr>
      </w:pPr>
      <w:r>
        <w:rPr>
          <w:rFonts w:hint="eastAsia"/>
          <w:sz w:val="24"/>
          <w:szCs w:val="24"/>
        </w:rPr>
        <w:t>（1）道路、工业场地的绿化</w:t>
      </w:r>
    </w:p>
    <w:p>
      <w:pPr>
        <w:pStyle w:val="18"/>
        <w:ind w:firstLine="480"/>
        <w:rPr>
          <w:sz w:val="24"/>
          <w:szCs w:val="24"/>
        </w:rPr>
      </w:pPr>
      <w:r>
        <w:rPr>
          <w:rFonts w:hint="eastAsia"/>
          <w:sz w:val="24"/>
          <w:szCs w:val="24"/>
        </w:rPr>
        <w:t>矿山道路两侧、工业场地四周种草绿化、美化环境，恢复露天开采造成的植被破坏，形成新的生态平衡。开采结束后，在采场最终边坡上种植草本类植物，起到护坡固土、水土保持作用。</w:t>
      </w:r>
    </w:p>
    <w:p>
      <w:pPr>
        <w:pStyle w:val="18"/>
        <w:ind w:firstLine="480"/>
        <w:rPr>
          <w:sz w:val="24"/>
          <w:szCs w:val="24"/>
        </w:rPr>
      </w:pPr>
      <w:r>
        <w:rPr>
          <w:rFonts w:hint="eastAsia"/>
          <w:sz w:val="24"/>
          <w:szCs w:val="24"/>
        </w:rPr>
        <w:t>（2）采矿场的绿化</w:t>
      </w:r>
    </w:p>
    <w:p>
      <w:pPr>
        <w:pStyle w:val="18"/>
        <w:ind w:firstLine="480"/>
        <w:rPr>
          <w:sz w:val="24"/>
          <w:szCs w:val="24"/>
        </w:rPr>
      </w:pPr>
      <w:r>
        <w:rPr>
          <w:rFonts w:hint="eastAsia"/>
          <w:sz w:val="24"/>
          <w:szCs w:val="24"/>
        </w:rPr>
        <w:t>采矿场平台、边坡较陡、保水条件差，不利于植被生长，雨季受雨水冲刷易崩落，造成水土流失。在覆土治理过程中，应对台阶、边坡进行整体治理，首先进行平台平整，在边坡底部修建截水沟，覆土后在边坡平台上种植宜生长的草类植物进行绿化。</w:t>
      </w:r>
    </w:p>
    <w:p>
      <w:pPr>
        <w:numPr>
          <w:ilvl w:val="1"/>
          <w:numId w:val="2"/>
        </w:numPr>
        <w:spacing w:line="360" w:lineRule="auto"/>
        <w:outlineLvl w:val="1"/>
        <w:rPr>
          <w:rFonts w:ascii="宋体" w:hAnsi="宋体"/>
          <w:b/>
          <w:color w:val="000000"/>
          <w:sz w:val="30"/>
          <w:szCs w:val="30"/>
        </w:rPr>
      </w:pPr>
      <w:bookmarkStart w:id="234" w:name="_Toc9415"/>
      <w:r>
        <w:rPr>
          <w:rFonts w:hint="eastAsia" w:ascii="宋体" w:hAnsi="宋体"/>
          <w:b/>
          <w:color w:val="000000"/>
          <w:sz w:val="30"/>
          <w:szCs w:val="30"/>
        </w:rPr>
        <w:t>水土保持</w:t>
      </w:r>
      <w:bookmarkEnd w:id="222"/>
      <w:bookmarkEnd w:id="223"/>
      <w:bookmarkEnd w:id="224"/>
      <w:bookmarkEnd w:id="225"/>
      <w:bookmarkEnd w:id="226"/>
      <w:bookmarkEnd w:id="227"/>
      <w:bookmarkEnd w:id="234"/>
      <w:bookmarkStart w:id="235" w:name="_Toc249115611"/>
      <w:bookmarkStart w:id="236" w:name="_Toc456610967"/>
      <w:bookmarkStart w:id="237" w:name="_Toc215906423"/>
      <w:bookmarkStart w:id="238" w:name="_Toc364440462"/>
      <w:bookmarkStart w:id="239" w:name="_Toc215906570"/>
      <w:bookmarkStart w:id="240" w:name="_Toc27100"/>
      <w:bookmarkStart w:id="241" w:name="_Toc235325075"/>
      <w:bookmarkStart w:id="242" w:name="_Toc235429135"/>
      <w:bookmarkStart w:id="243" w:name="_Toc219635641"/>
    </w:p>
    <w:p>
      <w:pPr>
        <w:numPr>
          <w:ilvl w:val="2"/>
          <w:numId w:val="2"/>
        </w:numPr>
        <w:spacing w:line="360" w:lineRule="auto"/>
        <w:outlineLvl w:val="2"/>
        <w:rPr>
          <w:rFonts w:ascii="宋体"/>
          <w:b/>
          <w:bCs/>
          <w:sz w:val="28"/>
          <w:szCs w:val="28"/>
          <w:lang w:val="zh-TW"/>
        </w:rPr>
      </w:pPr>
      <w:r>
        <w:rPr>
          <w:rFonts w:hint="eastAsia" w:ascii="宋体"/>
          <w:b/>
          <w:bCs/>
          <w:sz w:val="28"/>
          <w:szCs w:val="28"/>
          <w:lang w:val="zh-TW"/>
        </w:rPr>
        <w:t>编制的原则</w:t>
      </w:r>
    </w:p>
    <w:p>
      <w:pPr>
        <w:spacing w:line="360" w:lineRule="auto"/>
        <w:ind w:firstLine="480" w:firstLineChars="200"/>
        <w:rPr>
          <w:rFonts w:ascii="宋体" w:hAnsi="宋体" w:cs="宋体"/>
          <w:sz w:val="24"/>
        </w:rPr>
      </w:pPr>
      <w:r>
        <w:rPr>
          <w:rFonts w:hint="eastAsia" w:ascii="宋体" w:hAnsi="宋体" w:cs="宋体"/>
          <w:sz w:val="24"/>
          <w:lang w:val="zh-TW"/>
        </w:rPr>
        <w:t>认真贯彻执行“预防为主，全面规划，综合治理，因地制宜，加强管理，注重效益”的方针。按照《中华人民共和国水土保持法》和国务院《关于加强水土保持工作的通知要求》，按照按照《开发项目建设项目水土保持方案技术规范》</w:t>
      </w:r>
      <w:r>
        <w:rPr>
          <w:rFonts w:hint="eastAsia" w:ascii="宋体" w:hAnsi="宋体" w:cs="宋体"/>
          <w:sz w:val="24"/>
        </w:rPr>
        <w:t>（GB50433-2008)</w:t>
      </w:r>
      <w:r>
        <w:rPr>
          <w:rFonts w:hint="eastAsia" w:ascii="宋体" w:hAnsi="宋体" w:cs="宋体"/>
          <w:sz w:val="24"/>
          <w:lang w:val="zh-TW"/>
        </w:rPr>
        <w:t>进</w:t>
      </w:r>
      <w:r>
        <w:rPr>
          <w:rFonts w:hint="eastAsia" w:ascii="宋体" w:hAnsi="宋体" w:cs="宋体"/>
          <w:sz w:val="24"/>
        </w:rPr>
        <w:t>行设计。</w:t>
      </w:r>
    </w:p>
    <w:p>
      <w:pPr>
        <w:spacing w:line="360" w:lineRule="auto"/>
        <w:ind w:firstLine="480" w:firstLineChars="200"/>
        <w:rPr>
          <w:rFonts w:ascii="宋体" w:hAnsi="宋体" w:cs="宋体"/>
          <w:sz w:val="24"/>
        </w:rPr>
      </w:pPr>
      <w:r>
        <w:rPr>
          <w:rFonts w:hint="eastAsia" w:ascii="宋体" w:hAnsi="宋体" w:cs="宋体"/>
          <w:sz w:val="24"/>
          <w:lang w:val="zh-TW"/>
        </w:rPr>
        <w:t>为确保采场周边环境不受影响，同时为改善环境条件，促进当地经济发展，必须有 效地控制生产过程中产生新的水土流失。</w:t>
      </w:r>
    </w:p>
    <w:p>
      <w:pPr>
        <w:numPr>
          <w:ilvl w:val="2"/>
          <w:numId w:val="2"/>
        </w:numPr>
        <w:spacing w:line="360" w:lineRule="auto"/>
        <w:outlineLvl w:val="2"/>
        <w:rPr>
          <w:rFonts w:ascii="宋体"/>
          <w:b/>
          <w:bCs/>
          <w:sz w:val="28"/>
          <w:szCs w:val="28"/>
          <w:lang w:val="zh-TW"/>
        </w:rPr>
      </w:pPr>
      <w:bookmarkStart w:id="244" w:name="bookmark16"/>
      <w:r>
        <w:rPr>
          <w:rFonts w:hint="eastAsia" w:ascii="宋体"/>
          <w:b/>
          <w:bCs/>
          <w:sz w:val="28"/>
          <w:szCs w:val="28"/>
          <w:lang w:val="zh-TW"/>
        </w:rPr>
        <w:t>水土流失防治方案</w:t>
      </w:r>
      <w:bookmarkEnd w:id="244"/>
    </w:p>
    <w:p>
      <w:pPr>
        <w:spacing w:line="360" w:lineRule="auto"/>
        <w:ind w:firstLine="480" w:firstLineChars="200"/>
        <w:rPr>
          <w:sz w:val="24"/>
          <w:lang w:val="zh-TW"/>
        </w:rPr>
      </w:pPr>
      <w:r>
        <w:rPr>
          <w:rFonts w:hint="eastAsia"/>
          <w:sz w:val="24"/>
        </w:rPr>
        <w:t>1、</w:t>
      </w:r>
      <w:r>
        <w:rPr>
          <w:rFonts w:hint="eastAsia"/>
          <w:sz w:val="24"/>
          <w:lang w:val="zh-TW"/>
        </w:rPr>
        <w:t>根据采场水土流失的特点，采取工程治理措施和绿化治理措施相结合的原则，因害设防，以工程措施为主，绿化措施配合，工程措施先行，绿化措施紧跟的方法。</w:t>
      </w:r>
    </w:p>
    <w:p>
      <w:pPr>
        <w:spacing w:line="360" w:lineRule="auto"/>
        <w:ind w:firstLine="480" w:firstLineChars="200"/>
        <w:rPr>
          <w:sz w:val="24"/>
          <w:lang w:val="zh-TW"/>
        </w:rPr>
      </w:pPr>
      <w:r>
        <w:rPr>
          <w:rFonts w:hint="eastAsia"/>
          <w:sz w:val="24"/>
        </w:rPr>
        <w:t>2、</w:t>
      </w:r>
      <w:r>
        <w:rPr>
          <w:rFonts w:hint="eastAsia"/>
          <w:sz w:val="24"/>
          <w:lang w:val="zh-TW"/>
        </w:rPr>
        <w:t>分区防治措施</w:t>
      </w:r>
    </w:p>
    <w:p>
      <w:pPr>
        <w:spacing w:line="360" w:lineRule="auto"/>
        <w:ind w:firstLine="480" w:firstLineChars="200"/>
        <w:rPr>
          <w:sz w:val="24"/>
          <w:lang w:val="zh-TW"/>
        </w:rPr>
      </w:pPr>
      <w:r>
        <w:rPr>
          <w:rFonts w:hint="eastAsia"/>
          <w:sz w:val="24"/>
          <w:lang w:val="zh-TW"/>
        </w:rPr>
        <w:t>（</w:t>
      </w:r>
      <w:r>
        <w:rPr>
          <w:rFonts w:hint="eastAsia"/>
          <w:sz w:val="24"/>
        </w:rPr>
        <w:t>1</w:t>
      </w:r>
      <w:r>
        <w:rPr>
          <w:rFonts w:hint="eastAsia"/>
          <w:sz w:val="24"/>
          <w:lang w:val="zh-TW"/>
        </w:rPr>
        <w:t>）采场、排土场上部设置截水沟，防止其上部流水进入釆场，冲刷最终边坡，从而造成水土流失。</w:t>
      </w:r>
    </w:p>
    <w:p>
      <w:pPr>
        <w:spacing w:line="360" w:lineRule="auto"/>
        <w:ind w:firstLine="480" w:firstLineChars="200"/>
        <w:rPr>
          <w:sz w:val="24"/>
          <w:lang w:val="zh-TW"/>
        </w:rPr>
      </w:pPr>
      <w:r>
        <w:rPr>
          <w:rFonts w:hint="eastAsia"/>
          <w:sz w:val="24"/>
          <w:lang w:val="zh-TW"/>
        </w:rPr>
        <w:t>（</w:t>
      </w:r>
      <w:r>
        <w:rPr>
          <w:rFonts w:hint="eastAsia"/>
          <w:sz w:val="24"/>
        </w:rPr>
        <w:t>2</w:t>
      </w:r>
      <w:r>
        <w:rPr>
          <w:rFonts w:hint="eastAsia"/>
          <w:sz w:val="24"/>
          <w:lang w:val="zh-TW"/>
        </w:rPr>
        <w:t>）道路填方路段的路堤，经夯实修整后，两侧边坡种植格网草皮护坡，经修整并种植灌木或播撒草种，以保护土体不受冲刷，避免水土流失。</w:t>
      </w:r>
    </w:p>
    <w:p>
      <w:pPr>
        <w:spacing w:line="360" w:lineRule="auto"/>
        <w:ind w:firstLine="480" w:firstLineChars="200"/>
        <w:rPr>
          <w:sz w:val="24"/>
          <w:lang w:val="zh-TW"/>
        </w:rPr>
      </w:pPr>
      <w:r>
        <w:rPr>
          <w:rFonts w:hint="eastAsia"/>
          <w:sz w:val="24"/>
          <w:lang w:val="zh-TW"/>
        </w:rPr>
        <w:t>（</w:t>
      </w:r>
      <w:r>
        <w:rPr>
          <w:rFonts w:hint="eastAsia"/>
          <w:sz w:val="24"/>
        </w:rPr>
        <w:t>3</w:t>
      </w:r>
      <w:r>
        <w:rPr>
          <w:rFonts w:hint="eastAsia"/>
          <w:sz w:val="24"/>
          <w:lang w:val="zh-TW"/>
        </w:rPr>
        <w:t>）在采矿场内部，采矿平台留设向内缓倾的坡度，将流水汇集沿道路排水沟排走，有效地防止米场水流造成水土流失。</w:t>
      </w:r>
    </w:p>
    <w:p>
      <w:pPr>
        <w:spacing w:line="360" w:lineRule="auto"/>
        <w:ind w:firstLine="480" w:firstLineChars="200"/>
        <w:rPr>
          <w:sz w:val="24"/>
          <w:lang w:val="zh-TW"/>
        </w:rPr>
      </w:pPr>
      <w:r>
        <w:rPr>
          <w:rFonts w:hint="eastAsia"/>
          <w:sz w:val="24"/>
          <w:lang w:val="zh-TW"/>
        </w:rPr>
        <w:t>（</w:t>
      </w:r>
      <w:r>
        <w:rPr>
          <w:rFonts w:hint="eastAsia"/>
          <w:sz w:val="24"/>
        </w:rPr>
        <w:t>4</w:t>
      </w:r>
      <w:r>
        <w:rPr>
          <w:rFonts w:hint="eastAsia"/>
          <w:sz w:val="24"/>
          <w:lang w:val="zh-TW"/>
        </w:rPr>
        <w:t>）采场的平台经修整种草，防止其污染环境。</w:t>
      </w:r>
    </w:p>
    <w:p>
      <w:pPr>
        <w:numPr>
          <w:ilvl w:val="2"/>
          <w:numId w:val="2"/>
        </w:numPr>
        <w:spacing w:line="360" w:lineRule="auto"/>
        <w:outlineLvl w:val="2"/>
        <w:rPr>
          <w:rFonts w:ascii="宋体"/>
          <w:b/>
          <w:bCs/>
          <w:sz w:val="28"/>
          <w:szCs w:val="28"/>
          <w:lang w:val="zh-TW"/>
        </w:rPr>
      </w:pPr>
      <w:bookmarkStart w:id="245" w:name="bookmark17"/>
      <w:r>
        <w:rPr>
          <w:rFonts w:hint="eastAsia" w:ascii="宋体"/>
          <w:b/>
          <w:bCs/>
          <w:sz w:val="28"/>
          <w:szCs w:val="28"/>
          <w:lang w:val="zh-TW"/>
        </w:rPr>
        <w:t>复垦工作量及计划安排</w:t>
      </w:r>
      <w:bookmarkEnd w:id="245"/>
    </w:p>
    <w:p>
      <w:pPr>
        <w:pStyle w:val="97"/>
        <w:shd w:val="clear" w:color="auto" w:fill="auto"/>
        <w:spacing w:before="0" w:line="360" w:lineRule="auto"/>
        <w:ind w:left="40" w:right="300" w:firstLine="460"/>
        <w:jc w:val="both"/>
        <w:rPr>
          <w:rFonts w:ascii="宋体" w:hAnsi="宋体" w:eastAsia="宋体" w:cs="宋体"/>
          <w:sz w:val="24"/>
          <w:szCs w:val="24"/>
        </w:rPr>
      </w:pPr>
      <w:r>
        <w:rPr>
          <w:rFonts w:hint="eastAsia" w:ascii="宋体" w:hAnsi="宋体" w:eastAsia="宋体" w:cs="宋体"/>
          <w:sz w:val="24"/>
          <w:szCs w:val="24"/>
          <w:lang w:val="zh-TW"/>
        </w:rPr>
        <w:t>开采终了边坡部分及时平整，开展绿化工程，种植根系发达的草皮和灌木。企业设专门组织，包种、包灌、包活，及时绿化行政生活区及采场终了平台，尽量恢复原始生态环境</w:t>
      </w:r>
      <w:r>
        <w:rPr>
          <w:rFonts w:hint="eastAsia" w:ascii="Times New Roman" w:hAnsi="Times New Roman" w:eastAsia="宋体" w:cs="Times New Roman"/>
          <w:sz w:val="24"/>
          <w:szCs w:val="24"/>
          <w:lang w:val="zh-TW"/>
        </w:rPr>
        <w:t>。</w:t>
      </w:r>
    </w:p>
    <w:p>
      <w:pPr>
        <w:numPr>
          <w:ilvl w:val="1"/>
          <w:numId w:val="2"/>
        </w:numPr>
        <w:spacing w:line="360" w:lineRule="auto"/>
        <w:outlineLvl w:val="1"/>
        <w:rPr>
          <w:rFonts w:ascii="宋体" w:hAnsi="宋体"/>
          <w:b/>
          <w:color w:val="000000"/>
          <w:sz w:val="30"/>
          <w:szCs w:val="30"/>
        </w:rPr>
      </w:pPr>
      <w:bookmarkStart w:id="246" w:name="_Toc32083"/>
      <w:r>
        <w:rPr>
          <w:rFonts w:hint="eastAsia" w:ascii="宋体" w:hAnsi="宋体"/>
          <w:b/>
          <w:color w:val="000000"/>
          <w:sz w:val="30"/>
          <w:szCs w:val="30"/>
        </w:rPr>
        <w:t>环境管理</w:t>
      </w:r>
      <w:bookmarkEnd w:id="246"/>
    </w:p>
    <w:p>
      <w:pPr>
        <w:spacing w:line="360" w:lineRule="auto"/>
        <w:ind w:firstLine="480" w:firstLineChars="200"/>
        <w:rPr>
          <w:rFonts w:ascii="宋体" w:hAnsi="宋体" w:cs="宋体"/>
          <w:sz w:val="24"/>
          <w:lang w:val="zh-TW"/>
        </w:rPr>
      </w:pPr>
      <w:r>
        <w:rPr>
          <w:rFonts w:hint="eastAsia" w:ascii="宋体" w:hAnsi="宋体" w:cs="宋体"/>
          <w:sz w:val="24"/>
          <w:lang w:val="zh-TW"/>
        </w:rPr>
        <w:t>为贯彻环境保护和水土保持工作的方针，矿山兼职环保员，负责采场环境保护的管理工作和厂内员工的教育工作。</w:t>
      </w:r>
    </w:p>
    <w:p>
      <w:pPr>
        <w:spacing w:line="360" w:lineRule="auto"/>
        <w:ind w:firstLine="480" w:firstLineChars="200"/>
        <w:rPr>
          <w:rFonts w:ascii="宋体" w:hAnsi="宋体" w:cs="宋体"/>
          <w:sz w:val="24"/>
          <w:lang w:val="zh-TW"/>
        </w:rPr>
      </w:pPr>
      <w:r>
        <w:rPr>
          <w:rFonts w:hint="eastAsia" w:ascii="宋体" w:hAnsi="宋体" w:cs="宋体"/>
          <w:sz w:val="24"/>
          <w:lang w:val="zh-TW"/>
        </w:rPr>
        <w:t>经常对全体员工进行环境保护与水土保持的教育，制定有关环境保护的相关规章制度并定期检查制度的执行情况，确保矿山能够有效地进行环境保护和水土保持工作。</w:t>
      </w:r>
    </w:p>
    <w:p>
      <w:pPr>
        <w:spacing w:line="360" w:lineRule="auto"/>
        <w:ind w:firstLine="480" w:firstLineChars="200"/>
        <w:rPr>
          <w:rFonts w:ascii="宋体" w:hAnsi="宋体" w:cs="宋体"/>
          <w:sz w:val="24"/>
        </w:rPr>
        <w:sectPr>
          <w:pgSz w:w="11906" w:h="16838"/>
          <w:pgMar w:top="1474" w:right="1474" w:bottom="1474" w:left="1588" w:header="964" w:footer="1021" w:gutter="0"/>
          <w:cols w:space="720" w:num="1"/>
          <w:docGrid w:linePitch="326" w:charSpace="0"/>
        </w:sectPr>
      </w:pPr>
      <w:r>
        <w:rPr>
          <w:rFonts w:hint="eastAsia" w:ascii="宋体" w:hAnsi="宋体" w:cs="宋体"/>
          <w:sz w:val="24"/>
          <w:lang w:val="zh-TW"/>
        </w:rPr>
        <w:t>设计矿山环境恢复治理方案为一初步方案，仅供企业参考，具体矿山恢复治理工作按照《矿山</w:t>
      </w:r>
      <w:r>
        <w:rPr>
          <w:rFonts w:hint="eastAsia" w:ascii="宋体" w:hAnsi="宋体" w:cs="宋体"/>
          <w:sz w:val="24"/>
          <w:lang w:val="en-US" w:eastAsia="zh-CN"/>
        </w:rPr>
        <w:t>地质</w:t>
      </w:r>
      <w:bookmarkStart w:id="388" w:name="_GoBack"/>
      <w:bookmarkEnd w:id="388"/>
      <w:r>
        <w:rPr>
          <w:rFonts w:hint="eastAsia" w:ascii="宋体" w:hAnsi="宋体" w:cs="宋体"/>
          <w:sz w:val="24"/>
          <w:lang w:val="zh-TW"/>
        </w:rPr>
        <w:t>环境保护与</w:t>
      </w:r>
      <w:r>
        <w:rPr>
          <w:rFonts w:hint="eastAsia" w:ascii="宋体" w:hAnsi="宋体" w:cs="宋体"/>
          <w:sz w:val="24"/>
          <w:lang w:val="en-US" w:eastAsia="zh-CN"/>
        </w:rPr>
        <w:t>土地复垦</w:t>
      </w:r>
      <w:r>
        <w:rPr>
          <w:rFonts w:hint="eastAsia" w:ascii="宋体" w:hAnsi="宋体" w:cs="宋体"/>
          <w:sz w:val="24"/>
          <w:lang w:val="zh-TW"/>
        </w:rPr>
        <w:t>方案》为主。</w:t>
      </w:r>
    </w:p>
    <w:p>
      <w:pPr>
        <w:pStyle w:val="2"/>
        <w:numPr>
          <w:ilvl w:val="0"/>
          <w:numId w:val="2"/>
        </w:numPr>
        <w:snapToGrid w:val="0"/>
        <w:spacing w:before="0" w:after="240" w:line="360" w:lineRule="auto"/>
        <w:jc w:val="center"/>
        <w:rPr>
          <w:color w:val="000000"/>
          <w:sz w:val="32"/>
          <w:szCs w:val="32"/>
        </w:rPr>
      </w:pPr>
      <w:bookmarkStart w:id="247" w:name="_Toc30375"/>
      <w:r>
        <w:rPr>
          <w:rFonts w:hint="eastAsia"/>
          <w:color w:val="000000"/>
          <w:sz w:val="32"/>
          <w:szCs w:val="32"/>
        </w:rPr>
        <w:t>职业安全与</w:t>
      </w:r>
      <w:bookmarkEnd w:id="235"/>
      <w:bookmarkEnd w:id="236"/>
      <w:bookmarkEnd w:id="237"/>
      <w:bookmarkEnd w:id="238"/>
      <w:bookmarkEnd w:id="239"/>
      <w:bookmarkEnd w:id="240"/>
      <w:bookmarkEnd w:id="241"/>
      <w:bookmarkEnd w:id="242"/>
      <w:bookmarkEnd w:id="243"/>
      <w:r>
        <w:rPr>
          <w:rFonts w:hint="eastAsia"/>
          <w:color w:val="000000"/>
          <w:sz w:val="32"/>
          <w:szCs w:val="32"/>
        </w:rPr>
        <w:t>健康</w:t>
      </w:r>
      <w:bookmarkEnd w:id="247"/>
    </w:p>
    <w:p>
      <w:pPr>
        <w:numPr>
          <w:ilvl w:val="1"/>
          <w:numId w:val="2"/>
        </w:numPr>
        <w:spacing w:line="360" w:lineRule="auto"/>
        <w:outlineLvl w:val="1"/>
        <w:rPr>
          <w:rFonts w:ascii="宋体" w:hAnsi="宋体" w:cs="宋体"/>
          <w:b/>
          <w:bCs/>
          <w:color w:val="000000"/>
          <w:sz w:val="30"/>
          <w:szCs w:val="30"/>
        </w:rPr>
      </w:pPr>
      <w:bookmarkStart w:id="248" w:name="_Toc85092575"/>
      <w:bookmarkStart w:id="249" w:name="_Toc235429136"/>
      <w:bookmarkStart w:id="250" w:name="_Toc249115612"/>
      <w:bookmarkStart w:id="251" w:name="_Toc456610968"/>
      <w:bookmarkStart w:id="252" w:name="_Toc364440463"/>
      <w:bookmarkStart w:id="253" w:name="_Toc20542"/>
      <w:bookmarkStart w:id="254" w:name="_Toc235325076"/>
      <w:bookmarkStart w:id="255" w:name="_Toc25011"/>
      <w:r>
        <w:rPr>
          <w:rFonts w:hint="eastAsia" w:ascii="宋体" w:hAnsi="宋体" w:cs="宋体"/>
          <w:b/>
          <w:bCs/>
          <w:color w:val="000000"/>
          <w:sz w:val="30"/>
          <w:szCs w:val="30"/>
        </w:rPr>
        <w:t>工程概况</w:t>
      </w:r>
      <w:bookmarkEnd w:id="248"/>
      <w:bookmarkEnd w:id="249"/>
      <w:bookmarkEnd w:id="250"/>
      <w:bookmarkEnd w:id="251"/>
      <w:bookmarkEnd w:id="252"/>
      <w:bookmarkEnd w:id="253"/>
      <w:bookmarkEnd w:id="254"/>
      <w:bookmarkEnd w:id="255"/>
    </w:p>
    <w:p>
      <w:pPr>
        <w:spacing w:line="360" w:lineRule="auto"/>
        <w:ind w:firstLine="480" w:firstLineChars="200"/>
        <w:rPr>
          <w:rFonts w:ascii="宋体" w:hAnsi="宋体"/>
          <w:sz w:val="24"/>
        </w:rPr>
      </w:pPr>
      <w:r>
        <w:rPr>
          <w:rFonts w:hint="eastAsia" w:ascii="宋体" w:hAnsi="宋体"/>
          <w:sz w:val="24"/>
        </w:rPr>
        <w:t>矿山开采、加工过程对职工健康产生危害的因素主要有生产中的噪声和粉尘，还有设备运转过程中可能发生的机伤、电伤及冬季人员冻伤；装载作业及设备运行等方面具有安全隐患，安全卫生工作的重点应在釆矿场及加工场。</w:t>
      </w:r>
    </w:p>
    <w:p>
      <w:pPr>
        <w:spacing w:line="360" w:lineRule="auto"/>
        <w:ind w:firstLine="480" w:firstLineChars="200"/>
        <w:rPr>
          <w:rFonts w:ascii="宋体" w:hAnsi="宋体"/>
          <w:sz w:val="24"/>
        </w:rPr>
      </w:pPr>
      <w:r>
        <w:rPr>
          <w:rFonts w:ascii="宋体" w:hAnsi="宋体"/>
          <w:sz w:val="24"/>
        </w:rPr>
        <w:t>本矿山采用露天开采，年产矿石</w:t>
      </w:r>
      <w:r>
        <w:rPr>
          <w:rFonts w:hint="eastAsia" w:ascii="宋体" w:hAnsi="宋体"/>
          <w:sz w:val="24"/>
        </w:rPr>
        <w:t>3</w:t>
      </w:r>
      <w:r>
        <w:rPr>
          <w:rFonts w:ascii="宋体" w:hAnsi="宋体"/>
          <w:kern w:val="10"/>
          <w:sz w:val="24"/>
        </w:rPr>
        <w:t>万</w:t>
      </w:r>
      <w:r>
        <w:rPr>
          <w:rFonts w:hint="eastAsia" w:ascii="宋体" w:hAnsi="宋体"/>
          <w:kern w:val="10"/>
          <w:sz w:val="24"/>
        </w:rPr>
        <w:t>m</w:t>
      </w:r>
      <w:r>
        <w:rPr>
          <w:rFonts w:hint="eastAsia" w:ascii="宋体" w:hAnsi="宋体"/>
          <w:kern w:val="10"/>
          <w:sz w:val="24"/>
          <w:vertAlign w:val="superscript"/>
        </w:rPr>
        <w:t>3</w:t>
      </w:r>
      <w:r>
        <w:rPr>
          <w:rFonts w:ascii="宋体" w:hAnsi="宋体"/>
          <w:sz w:val="24"/>
        </w:rPr>
        <w:t>。</w:t>
      </w:r>
    </w:p>
    <w:p>
      <w:pPr>
        <w:spacing w:line="360" w:lineRule="auto"/>
        <w:ind w:firstLine="480" w:firstLineChars="200"/>
        <w:rPr>
          <w:rFonts w:ascii="宋体" w:hAnsi="宋体"/>
          <w:sz w:val="24"/>
        </w:rPr>
      </w:pPr>
      <w:r>
        <w:rPr>
          <w:rFonts w:ascii="宋体" w:hAnsi="宋体"/>
          <w:sz w:val="24"/>
        </w:rPr>
        <w:t>矿区内未发现有害物质，边坡稳定、粉尘、噪声等是矿山安全与工业卫生的主要控制点。</w:t>
      </w:r>
    </w:p>
    <w:p>
      <w:pPr>
        <w:numPr>
          <w:ilvl w:val="1"/>
          <w:numId w:val="2"/>
        </w:numPr>
        <w:spacing w:line="360" w:lineRule="auto"/>
        <w:outlineLvl w:val="1"/>
        <w:rPr>
          <w:rFonts w:ascii="宋体" w:hAnsi="宋体" w:cs="宋体"/>
          <w:b/>
          <w:bCs/>
          <w:color w:val="000000"/>
          <w:sz w:val="30"/>
          <w:szCs w:val="30"/>
        </w:rPr>
      </w:pPr>
      <w:bookmarkStart w:id="256" w:name="_Toc456610969"/>
      <w:bookmarkStart w:id="257" w:name="_Toc18930"/>
      <w:bookmarkStart w:id="258" w:name="_Toc235325077"/>
      <w:bookmarkStart w:id="259" w:name="_Toc215906424"/>
      <w:bookmarkStart w:id="260" w:name="_Toc235429137"/>
      <w:bookmarkStart w:id="261" w:name="_Toc215906571"/>
      <w:bookmarkStart w:id="262" w:name="_Toc219635642"/>
      <w:bookmarkStart w:id="263" w:name="_Toc249115613"/>
      <w:bookmarkStart w:id="264" w:name="_Toc15265"/>
      <w:bookmarkStart w:id="265" w:name="_Toc364440464"/>
      <w:r>
        <w:rPr>
          <w:rFonts w:hint="eastAsia" w:ascii="宋体" w:hAnsi="宋体" w:cs="宋体"/>
          <w:b/>
          <w:bCs/>
          <w:color w:val="000000"/>
          <w:sz w:val="30"/>
          <w:szCs w:val="30"/>
        </w:rPr>
        <w:t>依据的法律、法规</w:t>
      </w:r>
      <w:bookmarkEnd w:id="256"/>
      <w:bookmarkEnd w:id="257"/>
      <w:bookmarkEnd w:id="258"/>
      <w:bookmarkEnd w:id="259"/>
      <w:bookmarkEnd w:id="260"/>
      <w:bookmarkEnd w:id="261"/>
      <w:bookmarkEnd w:id="262"/>
      <w:bookmarkEnd w:id="263"/>
      <w:bookmarkEnd w:id="264"/>
      <w:bookmarkEnd w:id="265"/>
    </w:p>
    <w:p>
      <w:pPr>
        <w:numPr>
          <w:ilvl w:val="0"/>
          <w:numId w:val="10"/>
        </w:numPr>
        <w:spacing w:line="360" w:lineRule="auto"/>
        <w:ind w:left="0" w:firstLine="480" w:firstLineChars="200"/>
        <w:rPr>
          <w:rFonts w:ascii="宋体" w:hAnsi="宋体"/>
          <w:sz w:val="24"/>
        </w:rPr>
      </w:pPr>
      <w:r>
        <w:rPr>
          <w:rFonts w:ascii="宋体" w:hAnsi="宋体"/>
          <w:sz w:val="24"/>
        </w:rPr>
        <w:t>《中华人民共和国劳动法》中华人民共和国主席令（1994）第28号；</w:t>
      </w:r>
    </w:p>
    <w:p>
      <w:pPr>
        <w:numPr>
          <w:ilvl w:val="0"/>
          <w:numId w:val="10"/>
        </w:numPr>
        <w:spacing w:line="360" w:lineRule="auto"/>
        <w:ind w:left="0" w:firstLine="480" w:firstLineChars="200"/>
        <w:rPr>
          <w:rFonts w:ascii="宋体" w:hAnsi="宋体"/>
          <w:sz w:val="24"/>
        </w:rPr>
      </w:pPr>
      <w:r>
        <w:rPr>
          <w:rFonts w:ascii="宋体" w:hAnsi="宋体"/>
          <w:sz w:val="24"/>
        </w:rPr>
        <w:t>《中华人民共和国安全生产法》中华人民共和国主席令(2002)第70号；</w:t>
      </w:r>
    </w:p>
    <w:p>
      <w:pPr>
        <w:numPr>
          <w:ilvl w:val="0"/>
          <w:numId w:val="10"/>
        </w:numPr>
        <w:spacing w:line="360" w:lineRule="auto"/>
        <w:ind w:left="0" w:firstLine="480" w:firstLineChars="200"/>
        <w:rPr>
          <w:rFonts w:ascii="宋体" w:hAnsi="宋体"/>
          <w:sz w:val="24"/>
        </w:rPr>
      </w:pPr>
      <w:r>
        <w:rPr>
          <w:rFonts w:ascii="宋体" w:hAnsi="宋体"/>
          <w:sz w:val="24"/>
        </w:rPr>
        <w:t>《中华人民共和国矿山安全法》中华人民共和国主席令（1993）第65号；</w:t>
      </w:r>
    </w:p>
    <w:p>
      <w:pPr>
        <w:numPr>
          <w:ilvl w:val="0"/>
          <w:numId w:val="10"/>
        </w:numPr>
        <w:spacing w:line="360" w:lineRule="auto"/>
        <w:ind w:left="0" w:firstLine="480" w:firstLineChars="200"/>
        <w:rPr>
          <w:rFonts w:ascii="宋体" w:hAnsi="宋体"/>
          <w:sz w:val="24"/>
        </w:rPr>
      </w:pPr>
      <w:r>
        <w:rPr>
          <w:rFonts w:ascii="宋体" w:hAnsi="宋体"/>
          <w:sz w:val="24"/>
        </w:rPr>
        <w:t>《中华人民共和国矿山安全法实施条例》中华人民共和国劳动部令（1996）第4号；</w:t>
      </w:r>
    </w:p>
    <w:p>
      <w:pPr>
        <w:numPr>
          <w:ilvl w:val="0"/>
          <w:numId w:val="10"/>
        </w:numPr>
        <w:spacing w:line="360" w:lineRule="auto"/>
        <w:ind w:left="0" w:firstLine="480" w:firstLineChars="200"/>
        <w:rPr>
          <w:rFonts w:ascii="宋体" w:hAnsi="宋体"/>
          <w:sz w:val="24"/>
        </w:rPr>
      </w:pPr>
      <w:r>
        <w:rPr>
          <w:rFonts w:ascii="宋体" w:hAnsi="宋体"/>
          <w:sz w:val="24"/>
        </w:rPr>
        <w:t>《矿山建设工程安全监督办法》中华人民共和国劳动部令(1994)第502号；</w:t>
      </w:r>
    </w:p>
    <w:p>
      <w:pPr>
        <w:numPr>
          <w:ilvl w:val="0"/>
          <w:numId w:val="10"/>
        </w:numPr>
        <w:spacing w:line="360" w:lineRule="auto"/>
        <w:ind w:left="0" w:firstLine="480" w:firstLineChars="200"/>
        <w:rPr>
          <w:rFonts w:ascii="宋体" w:hAnsi="宋体"/>
          <w:sz w:val="24"/>
        </w:rPr>
      </w:pPr>
      <w:r>
        <w:rPr>
          <w:rFonts w:ascii="宋体" w:hAnsi="宋体"/>
          <w:sz w:val="24"/>
        </w:rPr>
        <w:t>《特种作业人员安全技术培训考核管理办法》中华人民共和国国家经济贸易委员会（1999）第13号；</w:t>
      </w:r>
    </w:p>
    <w:p>
      <w:pPr>
        <w:numPr>
          <w:ilvl w:val="0"/>
          <w:numId w:val="10"/>
        </w:numPr>
        <w:spacing w:line="360" w:lineRule="auto"/>
        <w:ind w:left="0" w:firstLine="480" w:firstLineChars="200"/>
        <w:rPr>
          <w:rFonts w:ascii="宋体" w:hAnsi="宋体"/>
          <w:sz w:val="24"/>
        </w:rPr>
      </w:pPr>
      <w:r>
        <w:rPr>
          <w:rFonts w:ascii="宋体" w:hAnsi="宋体"/>
          <w:sz w:val="24"/>
        </w:rPr>
        <w:t>《金属非金属矿山安全规程》GB16423-2006；</w:t>
      </w:r>
    </w:p>
    <w:p>
      <w:pPr>
        <w:numPr>
          <w:ilvl w:val="0"/>
          <w:numId w:val="10"/>
        </w:numPr>
        <w:spacing w:line="360" w:lineRule="auto"/>
        <w:ind w:left="0" w:firstLine="480" w:firstLineChars="200"/>
        <w:rPr>
          <w:rFonts w:ascii="宋体" w:hAnsi="宋体"/>
          <w:sz w:val="24"/>
        </w:rPr>
      </w:pPr>
      <w:r>
        <w:rPr>
          <w:rFonts w:ascii="宋体" w:hAnsi="宋体"/>
          <w:sz w:val="24"/>
        </w:rPr>
        <w:t>《工业企业设计卫生标准》GBZ1-2010；</w:t>
      </w:r>
    </w:p>
    <w:p>
      <w:pPr>
        <w:numPr>
          <w:ilvl w:val="0"/>
          <w:numId w:val="10"/>
        </w:numPr>
        <w:spacing w:line="360" w:lineRule="auto"/>
        <w:ind w:left="0" w:firstLine="480" w:firstLineChars="200"/>
        <w:rPr>
          <w:rFonts w:ascii="宋体" w:hAnsi="宋体"/>
          <w:sz w:val="24"/>
        </w:rPr>
      </w:pPr>
      <w:r>
        <w:rPr>
          <w:rFonts w:ascii="宋体" w:hAnsi="宋体"/>
          <w:sz w:val="24"/>
        </w:rPr>
        <w:t>《工作场所有害因素职业接触限值化学有害因素》GBZ2.1-2007；</w:t>
      </w:r>
    </w:p>
    <w:p>
      <w:pPr>
        <w:numPr>
          <w:ilvl w:val="0"/>
          <w:numId w:val="10"/>
        </w:numPr>
        <w:spacing w:line="360" w:lineRule="auto"/>
        <w:ind w:left="0" w:firstLine="480" w:firstLineChars="200"/>
        <w:rPr>
          <w:rFonts w:ascii="宋体" w:hAnsi="宋体"/>
          <w:sz w:val="24"/>
        </w:rPr>
      </w:pPr>
      <w:r>
        <w:rPr>
          <w:rFonts w:ascii="宋体" w:hAnsi="宋体"/>
          <w:sz w:val="24"/>
        </w:rPr>
        <w:t>《工作场所有害因素职业接触限值物理因素》GBZ2.2-2007等。</w:t>
      </w:r>
    </w:p>
    <w:p>
      <w:pPr>
        <w:numPr>
          <w:ilvl w:val="1"/>
          <w:numId w:val="2"/>
        </w:numPr>
        <w:spacing w:line="360" w:lineRule="auto"/>
        <w:outlineLvl w:val="1"/>
        <w:rPr>
          <w:rFonts w:ascii="宋体" w:hAnsi="宋体" w:cs="宋体"/>
          <w:b/>
          <w:bCs/>
          <w:color w:val="000000"/>
          <w:sz w:val="30"/>
          <w:szCs w:val="30"/>
        </w:rPr>
      </w:pPr>
      <w:bookmarkStart w:id="266" w:name="_Toc249115614"/>
      <w:bookmarkStart w:id="267" w:name="_Toc15382"/>
      <w:bookmarkStart w:id="268" w:name="_Toc456610970"/>
      <w:bookmarkStart w:id="269" w:name="_Toc364440465"/>
      <w:bookmarkStart w:id="270" w:name="_Toc235429138"/>
      <w:bookmarkStart w:id="271" w:name="_Toc11259"/>
      <w:bookmarkStart w:id="272" w:name="_Toc235325078"/>
      <w:r>
        <w:rPr>
          <w:rFonts w:hint="eastAsia" w:ascii="宋体" w:hAnsi="宋体" w:cs="宋体"/>
          <w:b/>
          <w:bCs/>
          <w:color w:val="000000"/>
          <w:sz w:val="30"/>
          <w:szCs w:val="30"/>
        </w:rPr>
        <w:t>职业安全</w:t>
      </w:r>
      <w:bookmarkEnd w:id="266"/>
      <w:bookmarkEnd w:id="267"/>
      <w:bookmarkEnd w:id="268"/>
      <w:bookmarkEnd w:id="269"/>
      <w:bookmarkEnd w:id="270"/>
      <w:bookmarkEnd w:id="271"/>
      <w:bookmarkEnd w:id="272"/>
    </w:p>
    <w:p>
      <w:pPr>
        <w:numPr>
          <w:ilvl w:val="2"/>
          <w:numId w:val="2"/>
        </w:numPr>
        <w:spacing w:line="360" w:lineRule="auto"/>
        <w:outlineLvl w:val="2"/>
        <w:rPr>
          <w:rFonts w:ascii="宋体"/>
          <w:b/>
          <w:bCs/>
          <w:sz w:val="28"/>
          <w:szCs w:val="28"/>
        </w:rPr>
      </w:pPr>
      <w:bookmarkStart w:id="273" w:name="_Toc67828725"/>
      <w:bookmarkStart w:id="274" w:name="_Toc67828522"/>
      <w:r>
        <w:rPr>
          <w:rFonts w:hint="eastAsia" w:ascii="宋体"/>
          <w:b/>
          <w:bCs/>
          <w:sz w:val="28"/>
          <w:szCs w:val="28"/>
        </w:rPr>
        <w:t>主要自然危险、有害因素分析及防范措施</w:t>
      </w:r>
    </w:p>
    <w:bookmarkEnd w:id="273"/>
    <w:bookmarkEnd w:id="274"/>
    <w:p>
      <w:pPr>
        <w:spacing w:line="360" w:lineRule="auto"/>
        <w:ind w:firstLine="482" w:firstLineChars="200"/>
        <w:rPr>
          <w:rFonts w:ascii="宋体" w:hAnsi="宋体"/>
          <w:b/>
          <w:bCs/>
          <w:sz w:val="24"/>
        </w:rPr>
      </w:pPr>
      <w:r>
        <w:rPr>
          <w:rFonts w:hint="eastAsia" w:ascii="宋体" w:hAnsi="宋体"/>
          <w:b/>
          <w:bCs/>
          <w:sz w:val="24"/>
        </w:rPr>
        <w:t>1、雷电</w:t>
      </w:r>
    </w:p>
    <w:p>
      <w:pPr>
        <w:spacing w:line="360" w:lineRule="auto"/>
        <w:ind w:firstLine="480" w:firstLineChars="200"/>
        <w:rPr>
          <w:rFonts w:ascii="宋体" w:hAnsi="宋体"/>
          <w:sz w:val="24"/>
        </w:rPr>
      </w:pPr>
      <w:r>
        <w:rPr>
          <w:rFonts w:hint="eastAsia" w:ascii="宋体" w:hAnsi="宋体"/>
          <w:sz w:val="24"/>
        </w:rPr>
        <w:t>夏季雷雨天气，矿山地处高山旷野，其位置较高的建（构）筑物、设备等如避雷设施缺乏、失效及不足等，极易遭受雷电危害。雷电可能损坏矿山设备设施和建（构）筑物，伤害矿山工作人员。</w:t>
      </w:r>
    </w:p>
    <w:p>
      <w:pPr>
        <w:spacing w:line="360" w:lineRule="auto"/>
        <w:ind w:firstLine="480" w:firstLineChars="200"/>
        <w:rPr>
          <w:rFonts w:ascii="宋体" w:hAnsi="宋体"/>
          <w:sz w:val="24"/>
        </w:rPr>
      </w:pPr>
      <w:r>
        <w:rPr>
          <w:rFonts w:hint="eastAsia" w:ascii="宋体" w:hAnsi="宋体"/>
          <w:sz w:val="24"/>
        </w:rPr>
        <w:t>防范措施：</w:t>
      </w:r>
    </w:p>
    <w:p>
      <w:pPr>
        <w:spacing w:line="360" w:lineRule="auto"/>
        <w:ind w:firstLine="480" w:firstLineChars="200"/>
        <w:rPr>
          <w:rFonts w:ascii="宋体" w:hAnsi="宋体"/>
          <w:sz w:val="24"/>
        </w:rPr>
      </w:pPr>
      <w:r>
        <w:rPr>
          <w:rFonts w:hint="eastAsia" w:ascii="宋体" w:hAnsi="宋体"/>
          <w:sz w:val="24"/>
        </w:rPr>
        <w:t>（1）地面建（构）筑物及釆矿设备应综合考虑对直接雷、感应雷和雷电波的防护，安装避雷装置，电气设备和供电线路安装防雷设施。</w:t>
      </w:r>
    </w:p>
    <w:p>
      <w:pPr>
        <w:spacing w:line="360" w:lineRule="auto"/>
        <w:ind w:firstLine="480" w:firstLineChars="200"/>
        <w:rPr>
          <w:rFonts w:ascii="宋体" w:hAnsi="宋体"/>
          <w:sz w:val="24"/>
        </w:rPr>
      </w:pPr>
      <w:r>
        <w:rPr>
          <w:rFonts w:hint="eastAsia" w:ascii="宋体" w:hAnsi="宋体"/>
          <w:sz w:val="24"/>
        </w:rPr>
        <w:t>（2）在新建建（构）筑物和其他设施时，应依法向县级以上地方气象主管机构上报雷电防护装置设计，经审核安装雷电防护装置后，再报气象主管机构验收。</w:t>
      </w:r>
    </w:p>
    <w:p>
      <w:pPr>
        <w:spacing w:line="360" w:lineRule="auto"/>
        <w:ind w:firstLine="480" w:firstLineChars="200"/>
        <w:rPr>
          <w:rFonts w:ascii="宋体" w:hAnsi="宋体"/>
          <w:sz w:val="24"/>
        </w:rPr>
      </w:pPr>
      <w:r>
        <w:rPr>
          <w:rFonts w:hint="eastAsia" w:ascii="宋体" w:hAnsi="宋体"/>
          <w:sz w:val="24"/>
        </w:rPr>
        <w:t>（3）釆用现代化防雷技术，通过接闪、屏蔽、分流、均压环等电位、接地等层层设防，以化解感应电和雷电的入侵。</w:t>
      </w:r>
    </w:p>
    <w:p>
      <w:pPr>
        <w:spacing w:line="360" w:lineRule="auto"/>
        <w:ind w:firstLine="480" w:firstLineChars="200"/>
        <w:rPr>
          <w:rFonts w:ascii="宋体" w:hAnsi="宋体"/>
          <w:sz w:val="24"/>
        </w:rPr>
      </w:pPr>
      <w:r>
        <w:rPr>
          <w:rFonts w:hint="eastAsia" w:ascii="宋体" w:hAnsi="宋体"/>
          <w:sz w:val="24"/>
        </w:rPr>
        <w:t>（4）经常维护、定期检查，确保雷电防护装置安全有效。</w:t>
      </w:r>
    </w:p>
    <w:p>
      <w:pPr>
        <w:spacing w:line="360" w:lineRule="auto"/>
        <w:ind w:firstLine="480" w:firstLineChars="200"/>
        <w:rPr>
          <w:rFonts w:ascii="宋体" w:hAnsi="宋体"/>
          <w:sz w:val="24"/>
        </w:rPr>
      </w:pPr>
      <w:r>
        <w:rPr>
          <w:rFonts w:hint="eastAsia" w:ascii="宋体" w:hAnsi="宋体"/>
          <w:sz w:val="24"/>
        </w:rPr>
        <w:t>（5）雷雨天气禁止人员、机械施工作业。</w:t>
      </w:r>
    </w:p>
    <w:p>
      <w:pPr>
        <w:spacing w:line="360" w:lineRule="auto"/>
        <w:ind w:firstLine="482" w:firstLineChars="200"/>
        <w:rPr>
          <w:rFonts w:ascii="宋体" w:hAnsi="宋体"/>
          <w:b/>
          <w:bCs/>
          <w:sz w:val="24"/>
        </w:rPr>
      </w:pPr>
      <w:r>
        <w:rPr>
          <w:rFonts w:hint="eastAsia" w:ascii="宋体" w:hAnsi="宋体"/>
          <w:b/>
          <w:bCs/>
          <w:sz w:val="24"/>
        </w:rPr>
        <w:t>2、低温</w:t>
      </w:r>
    </w:p>
    <w:p>
      <w:pPr>
        <w:spacing w:line="360" w:lineRule="auto"/>
        <w:ind w:firstLine="480" w:firstLineChars="200"/>
        <w:rPr>
          <w:rFonts w:ascii="宋体" w:hAnsi="宋体"/>
          <w:sz w:val="24"/>
        </w:rPr>
      </w:pPr>
      <w:r>
        <w:rPr>
          <w:rFonts w:hint="eastAsia" w:ascii="宋体" w:hAnsi="宋体"/>
          <w:sz w:val="24"/>
        </w:rPr>
        <w:t>矿区年最低气温-20℃，平均</w:t>
      </w:r>
      <w:r>
        <w:rPr>
          <w:rFonts w:hint="eastAsia" w:ascii="宋体" w:hAnsi="宋体" w:cs="宋体"/>
          <w:sz w:val="24"/>
        </w:rPr>
        <w:t>±</w:t>
      </w:r>
      <w:r>
        <w:rPr>
          <w:rFonts w:hint="eastAsia" w:ascii="宋体" w:hAnsi="宋体"/>
          <w:sz w:val="24"/>
        </w:rPr>
        <w:t>2.2℃。作业人员在寒冷的环境中工作、生活，若保温措施采取不当，则易发生冻伤，同时对脑功能、心血管系统、呼吸系统均有一定的影响，使注意力不集中，反应时间延长、作业失误率增多，引发事故。冬季天气寒冷，矿山一些输（用）水设备（设施）如防冻措施不当有可能发生设备、管线冻损事故。</w:t>
      </w:r>
    </w:p>
    <w:p>
      <w:pPr>
        <w:spacing w:line="360" w:lineRule="auto"/>
        <w:ind w:firstLine="480" w:firstLineChars="200"/>
        <w:rPr>
          <w:rFonts w:ascii="宋体" w:hAnsi="宋体"/>
          <w:sz w:val="24"/>
        </w:rPr>
      </w:pPr>
      <w:r>
        <w:rPr>
          <w:rFonts w:hint="eastAsia" w:ascii="宋体" w:hAnsi="宋体"/>
          <w:sz w:val="24"/>
        </w:rPr>
        <w:t>防范措施：</w:t>
      </w:r>
    </w:p>
    <w:p>
      <w:pPr>
        <w:spacing w:line="360" w:lineRule="auto"/>
        <w:ind w:firstLine="480" w:firstLineChars="200"/>
        <w:rPr>
          <w:rFonts w:ascii="宋体" w:hAnsi="宋体"/>
          <w:sz w:val="24"/>
        </w:rPr>
      </w:pPr>
      <w:r>
        <w:rPr>
          <w:rFonts w:hint="eastAsia" w:ascii="宋体" w:hAnsi="宋体"/>
          <w:sz w:val="24"/>
        </w:rPr>
        <w:t>（1）露天矿使用的设备主要是挖掘机和自卸汽车，这些设备在我国寒冷地区有着很好的使用经验，出勤率较高，只要定期更换机油和润滑油，定期维修保养，就可以保证设备的正常运转。</w:t>
      </w:r>
    </w:p>
    <w:p>
      <w:pPr>
        <w:spacing w:line="360" w:lineRule="auto"/>
        <w:ind w:firstLine="480" w:firstLineChars="200"/>
        <w:rPr>
          <w:rFonts w:ascii="宋体" w:hAnsi="宋体"/>
          <w:sz w:val="24"/>
        </w:rPr>
      </w:pPr>
      <w:r>
        <w:rPr>
          <w:rFonts w:hint="eastAsia" w:ascii="宋体" w:hAnsi="宋体"/>
          <w:sz w:val="24"/>
        </w:rPr>
        <w:t>（2）自卸汽车在寒冷季节作业，可采取发动机不熄火方式。</w:t>
      </w:r>
    </w:p>
    <w:p>
      <w:pPr>
        <w:spacing w:line="360" w:lineRule="auto"/>
        <w:ind w:firstLine="480" w:firstLineChars="200"/>
        <w:rPr>
          <w:rFonts w:ascii="宋体" w:hAnsi="宋体"/>
          <w:sz w:val="24"/>
        </w:rPr>
      </w:pPr>
      <w:r>
        <w:rPr>
          <w:rFonts w:hint="eastAsia" w:ascii="宋体" w:hAnsi="宋体"/>
          <w:sz w:val="24"/>
        </w:rPr>
        <w:t>（3）对在寒冷条件下作业的工作人员，做好劳动保护工作。如自卸卡车、挖掘机等操作室均需配置防寒保温设施，为无固定作业点的工作人员设置活动保温房及个体防护用品等。</w:t>
      </w:r>
    </w:p>
    <w:p>
      <w:pPr>
        <w:spacing w:line="360" w:lineRule="auto"/>
        <w:ind w:firstLine="482" w:firstLineChars="200"/>
        <w:rPr>
          <w:rFonts w:ascii="宋体" w:hAnsi="宋体"/>
          <w:b/>
          <w:bCs/>
          <w:sz w:val="24"/>
        </w:rPr>
      </w:pPr>
      <w:r>
        <w:rPr>
          <w:rFonts w:hint="eastAsia" w:ascii="宋体" w:hAnsi="宋体"/>
          <w:b/>
          <w:bCs/>
          <w:sz w:val="24"/>
        </w:rPr>
        <w:t>3、暴风雪</w:t>
      </w:r>
    </w:p>
    <w:p>
      <w:pPr>
        <w:spacing w:line="360" w:lineRule="auto"/>
        <w:ind w:firstLine="480" w:firstLineChars="200"/>
        <w:rPr>
          <w:rFonts w:ascii="宋体" w:hAnsi="宋体"/>
          <w:sz w:val="24"/>
        </w:rPr>
      </w:pPr>
      <w:r>
        <w:rPr>
          <w:rFonts w:hint="eastAsia" w:ascii="宋体" w:hAnsi="宋体"/>
          <w:sz w:val="24"/>
        </w:rPr>
        <w:t>矿山地处高原地区，冬春季节偶发的暴风雪也会对矿山设备及作业人员造成危害。影响安全因素主要为冬季作业时发生的暴风雪和冻伤事故，损害人员的身体健康和影响矿山的进一步生产。另外，夏季冰雹、山洪、高原上强烈的紫外线等也会对矿山生产及工作人员造成危害，应注意防范。</w:t>
      </w:r>
    </w:p>
    <w:p>
      <w:pPr>
        <w:spacing w:line="360" w:lineRule="auto"/>
        <w:ind w:firstLine="480" w:firstLineChars="200"/>
        <w:rPr>
          <w:rFonts w:ascii="宋体" w:hAnsi="宋体"/>
          <w:sz w:val="24"/>
        </w:rPr>
      </w:pPr>
      <w:r>
        <w:rPr>
          <w:rFonts w:hint="eastAsia" w:ascii="宋体" w:hAnsi="宋体"/>
          <w:sz w:val="24"/>
        </w:rPr>
        <w:t>防范措施：</w:t>
      </w:r>
    </w:p>
    <w:p>
      <w:pPr>
        <w:spacing w:line="360" w:lineRule="auto"/>
        <w:ind w:firstLine="480" w:firstLineChars="200"/>
        <w:rPr>
          <w:rFonts w:ascii="宋体" w:hAnsi="宋体"/>
          <w:sz w:val="24"/>
        </w:rPr>
      </w:pPr>
      <w:r>
        <w:rPr>
          <w:rFonts w:hint="eastAsia" w:ascii="宋体" w:hAnsi="宋体"/>
          <w:sz w:val="24"/>
        </w:rPr>
        <w:t>（1）合理安排调整作业时间，减少加班加点；</w:t>
      </w:r>
    </w:p>
    <w:p>
      <w:pPr>
        <w:spacing w:line="360" w:lineRule="auto"/>
        <w:ind w:firstLine="480" w:firstLineChars="200"/>
        <w:rPr>
          <w:rFonts w:ascii="宋体" w:hAnsi="宋体"/>
          <w:sz w:val="24"/>
        </w:rPr>
      </w:pPr>
      <w:r>
        <w:rPr>
          <w:rFonts w:hint="eastAsia" w:ascii="宋体" w:hAnsi="宋体"/>
          <w:sz w:val="24"/>
        </w:rPr>
        <w:t>（2）适当设置取暖设施，供作业人员取暖和休息；</w:t>
      </w:r>
    </w:p>
    <w:p>
      <w:pPr>
        <w:spacing w:line="360" w:lineRule="auto"/>
        <w:ind w:firstLine="480" w:firstLineChars="200"/>
        <w:rPr>
          <w:rFonts w:ascii="宋体" w:hAnsi="宋体"/>
          <w:sz w:val="24"/>
        </w:rPr>
      </w:pPr>
      <w:r>
        <w:rPr>
          <w:rFonts w:hint="eastAsia" w:ascii="宋体" w:hAnsi="宋体"/>
          <w:sz w:val="24"/>
        </w:rPr>
        <w:t>（3）挖掘设备、汽车等驾驶室设必备的取暖设备；</w:t>
      </w:r>
    </w:p>
    <w:p>
      <w:pPr>
        <w:spacing w:line="360" w:lineRule="auto"/>
        <w:ind w:firstLine="480" w:firstLineChars="200"/>
        <w:rPr>
          <w:rFonts w:ascii="宋体" w:hAnsi="宋体"/>
          <w:sz w:val="24"/>
        </w:rPr>
      </w:pPr>
      <w:r>
        <w:rPr>
          <w:rFonts w:hint="eastAsia" w:ascii="宋体" w:hAnsi="宋体"/>
          <w:sz w:val="24"/>
        </w:rPr>
        <w:t>（4）遇到特别寒冷天气，应停止作业；</w:t>
      </w:r>
    </w:p>
    <w:p>
      <w:pPr>
        <w:spacing w:line="360" w:lineRule="auto"/>
        <w:ind w:firstLine="480" w:firstLineChars="200"/>
        <w:rPr>
          <w:rFonts w:ascii="宋体" w:hAnsi="宋体"/>
          <w:sz w:val="24"/>
        </w:rPr>
      </w:pPr>
      <w:r>
        <w:rPr>
          <w:rFonts w:hint="eastAsia" w:ascii="宋体" w:hAnsi="宋体"/>
          <w:sz w:val="24"/>
        </w:rPr>
        <w:t>（5）现场人员必须佩戴防寒冻工作服、棉帽、手套等；</w:t>
      </w:r>
    </w:p>
    <w:p>
      <w:pPr>
        <w:spacing w:line="360" w:lineRule="auto"/>
        <w:ind w:firstLine="480" w:firstLineChars="200"/>
        <w:rPr>
          <w:rFonts w:ascii="宋体" w:hAnsi="宋体"/>
          <w:sz w:val="24"/>
        </w:rPr>
      </w:pPr>
      <w:r>
        <w:rPr>
          <w:rFonts w:hint="eastAsia" w:ascii="宋体" w:hAnsi="宋体"/>
          <w:sz w:val="24"/>
        </w:rPr>
        <w:t>（6）机械设备加盖保暖护罩；</w:t>
      </w:r>
    </w:p>
    <w:p>
      <w:pPr>
        <w:spacing w:line="360" w:lineRule="auto"/>
        <w:ind w:firstLine="480" w:firstLineChars="200"/>
        <w:rPr>
          <w:rFonts w:ascii="宋体" w:hAnsi="宋体"/>
          <w:sz w:val="24"/>
        </w:rPr>
      </w:pPr>
      <w:r>
        <w:rPr>
          <w:rFonts w:hint="eastAsia" w:ascii="宋体" w:hAnsi="宋体"/>
          <w:sz w:val="24"/>
        </w:rPr>
        <w:t>（7）冬春季节提前做好防范暴风雪措施，遇暴风雪天气釆场应停止作业，挖掘机、推土机在大风天气应按停机要求适当停止作业，并按顺风方向停放好。人员转移至安全地带，避免暴风雪对矿山建（构）筑物和作业人员构成伤害。</w:t>
      </w:r>
    </w:p>
    <w:p>
      <w:pPr>
        <w:spacing w:line="360" w:lineRule="auto"/>
        <w:ind w:firstLine="482" w:firstLineChars="200"/>
        <w:rPr>
          <w:rFonts w:ascii="宋体" w:hAnsi="宋体"/>
          <w:b/>
          <w:bCs/>
          <w:sz w:val="24"/>
        </w:rPr>
      </w:pPr>
      <w:r>
        <w:rPr>
          <w:rFonts w:hint="eastAsia" w:ascii="宋体" w:hAnsi="宋体"/>
          <w:b/>
          <w:bCs/>
          <w:sz w:val="24"/>
        </w:rPr>
        <w:t>4、防尘与噪声</w:t>
      </w:r>
    </w:p>
    <w:p>
      <w:pPr>
        <w:spacing w:line="360" w:lineRule="auto"/>
        <w:ind w:firstLine="480" w:firstLineChars="200"/>
        <w:rPr>
          <w:rFonts w:ascii="宋体" w:hAnsi="宋体"/>
          <w:sz w:val="24"/>
        </w:rPr>
      </w:pPr>
      <w:r>
        <w:rPr>
          <w:rFonts w:hint="eastAsia" w:ascii="宋体" w:hAnsi="宋体"/>
          <w:sz w:val="24"/>
        </w:rPr>
        <w:t>粉尘、噪声是矿山作业人员最主要的职业危害。</w:t>
      </w:r>
    </w:p>
    <w:p>
      <w:pPr>
        <w:spacing w:line="360" w:lineRule="auto"/>
        <w:ind w:firstLine="480" w:firstLineChars="200"/>
        <w:rPr>
          <w:rFonts w:ascii="宋体" w:hAnsi="宋体"/>
          <w:sz w:val="24"/>
        </w:rPr>
      </w:pPr>
      <w:r>
        <w:rPr>
          <w:rFonts w:hint="eastAsia" w:ascii="宋体" w:hAnsi="宋体"/>
          <w:sz w:val="24"/>
        </w:rPr>
        <w:t>粉尘产生于各个作业工艺环节，相对集中于：剥离作业过程；铲装矿石(浮土)过程；各种机动车辆行驶时；汽车卸矿时、排土作业时等。</w:t>
      </w:r>
    </w:p>
    <w:p>
      <w:pPr>
        <w:spacing w:line="360" w:lineRule="auto"/>
        <w:ind w:firstLine="480" w:firstLineChars="200"/>
        <w:rPr>
          <w:rFonts w:ascii="宋体" w:hAnsi="宋体"/>
          <w:sz w:val="24"/>
        </w:rPr>
      </w:pPr>
      <w:r>
        <w:rPr>
          <w:rFonts w:hint="eastAsia" w:ascii="宋体" w:hAnsi="宋体"/>
          <w:sz w:val="24"/>
        </w:rPr>
        <w:t>矿山作业的许多环节都存在噪声的危害因素，主要有：汽车、挖掘设备等机动车辆的噪声。</w:t>
      </w:r>
    </w:p>
    <w:p>
      <w:pPr>
        <w:spacing w:line="360" w:lineRule="auto"/>
        <w:ind w:firstLine="480" w:firstLineChars="200"/>
        <w:rPr>
          <w:rFonts w:ascii="宋体" w:hAnsi="宋体"/>
          <w:sz w:val="24"/>
        </w:rPr>
      </w:pPr>
      <w:r>
        <w:rPr>
          <w:rFonts w:hint="eastAsia" w:ascii="宋体" w:hAnsi="宋体"/>
          <w:sz w:val="24"/>
        </w:rPr>
        <w:t>粉尘对工人身心健康及空气环境有较大的影响，可以使人产生职业病；噪声对人体的危害较多，可以使人耳聋及形成高血压、心脏病、神经官能症等疾病，还会污染环境，影响人们的正常生活和生产活动，特别强烈的噪声还能损坏建筑物及影响仪器设备等正常运行。</w:t>
      </w:r>
    </w:p>
    <w:p>
      <w:pPr>
        <w:spacing w:line="360" w:lineRule="auto"/>
        <w:ind w:firstLine="480" w:firstLineChars="200"/>
        <w:rPr>
          <w:rFonts w:ascii="宋体" w:hAnsi="宋体"/>
          <w:sz w:val="24"/>
        </w:rPr>
      </w:pPr>
      <w:r>
        <w:rPr>
          <w:rFonts w:hint="eastAsia" w:ascii="宋体" w:hAnsi="宋体"/>
          <w:sz w:val="24"/>
        </w:rPr>
        <w:t>防范措施：</w:t>
      </w:r>
    </w:p>
    <w:p>
      <w:pPr>
        <w:spacing w:line="360" w:lineRule="auto"/>
        <w:ind w:firstLine="480" w:firstLineChars="200"/>
        <w:rPr>
          <w:rFonts w:ascii="宋体" w:hAnsi="宋体"/>
          <w:sz w:val="24"/>
        </w:rPr>
      </w:pPr>
      <w:r>
        <w:rPr>
          <w:rFonts w:hint="eastAsia" w:ascii="宋体" w:hAnsi="宋体"/>
          <w:sz w:val="24"/>
        </w:rPr>
        <w:t>（1）矿山配备水泵及输水管，经常对装载作业面以及运输道路产生的粉尘釆取洒水降尘。操作工人佩带防尘口罩。</w:t>
      </w:r>
    </w:p>
    <w:p>
      <w:pPr>
        <w:spacing w:line="360" w:lineRule="auto"/>
        <w:ind w:firstLine="480" w:firstLineChars="200"/>
        <w:rPr>
          <w:rFonts w:ascii="宋体" w:hAnsi="宋体"/>
          <w:sz w:val="24"/>
        </w:rPr>
      </w:pPr>
      <w:r>
        <w:rPr>
          <w:rFonts w:hint="eastAsia" w:ascii="宋体" w:hAnsi="宋体"/>
          <w:sz w:val="24"/>
        </w:rPr>
        <w:t>（2）噪声防治安全措施</w:t>
      </w:r>
    </w:p>
    <w:p>
      <w:pPr>
        <w:spacing w:line="360" w:lineRule="auto"/>
        <w:ind w:firstLine="480" w:firstLineChars="200"/>
        <w:rPr>
          <w:rFonts w:ascii="宋体" w:hAnsi="宋体"/>
          <w:sz w:val="24"/>
        </w:rPr>
      </w:pPr>
      <w:r>
        <w:rPr>
          <w:rFonts w:hint="eastAsia" w:ascii="宋体" w:hAnsi="宋体"/>
          <w:sz w:val="24"/>
        </w:rPr>
        <w:t>挖掘设备、自卸汽车工作噪音小于85dB，采矿场和工业场地位于山区，较为空旷，每天1班作业，不会影响周边村民及矿山职工的正常生活。</w:t>
      </w:r>
    </w:p>
    <w:p>
      <w:pPr>
        <w:numPr>
          <w:ilvl w:val="0"/>
          <w:numId w:val="11"/>
        </w:numPr>
        <w:spacing w:line="360" w:lineRule="auto"/>
        <w:rPr>
          <w:rFonts w:ascii="宋体" w:hAnsi="宋体"/>
          <w:sz w:val="24"/>
        </w:rPr>
      </w:pPr>
      <w:r>
        <w:rPr>
          <w:rFonts w:hint="eastAsia" w:ascii="宋体" w:hAnsi="宋体"/>
          <w:sz w:val="24"/>
        </w:rPr>
        <w:t>加强作业设备的维护保养，常注油润滑；</w:t>
      </w:r>
    </w:p>
    <w:p>
      <w:pPr>
        <w:numPr>
          <w:ilvl w:val="0"/>
          <w:numId w:val="11"/>
        </w:numPr>
        <w:spacing w:line="360" w:lineRule="auto"/>
        <w:rPr>
          <w:rFonts w:ascii="宋体" w:hAnsi="宋体"/>
          <w:sz w:val="24"/>
        </w:rPr>
      </w:pPr>
      <w:r>
        <w:rPr>
          <w:rFonts w:hint="eastAsia" w:ascii="宋体" w:hAnsi="宋体"/>
          <w:sz w:val="24"/>
        </w:rPr>
        <w:t>对破碎筛分产生噪声的设备可釆取吸声、隔声等措施，定期进行噪声等级测定，必要时可采取缩短作业人员工作时间等。</w:t>
      </w:r>
    </w:p>
    <w:p>
      <w:pPr>
        <w:numPr>
          <w:ilvl w:val="2"/>
          <w:numId w:val="2"/>
        </w:numPr>
        <w:spacing w:line="360" w:lineRule="auto"/>
        <w:outlineLvl w:val="2"/>
        <w:rPr>
          <w:rFonts w:ascii="宋体"/>
          <w:b/>
          <w:bCs/>
          <w:sz w:val="28"/>
          <w:szCs w:val="28"/>
        </w:rPr>
      </w:pPr>
      <w:bookmarkStart w:id="275" w:name="_Toc42008464"/>
      <w:r>
        <w:rPr>
          <w:rFonts w:hint="eastAsia" w:ascii="宋体"/>
          <w:b/>
          <w:bCs/>
          <w:sz w:val="28"/>
          <w:szCs w:val="28"/>
        </w:rPr>
        <w:t>生产过程中主要危险、有害因素分析及防范措施</w:t>
      </w:r>
    </w:p>
    <w:p>
      <w:pPr>
        <w:spacing w:line="360" w:lineRule="auto"/>
        <w:ind w:firstLine="482" w:firstLineChars="200"/>
        <w:rPr>
          <w:rFonts w:ascii="宋体" w:hAnsi="宋体"/>
          <w:b/>
          <w:bCs/>
          <w:sz w:val="24"/>
        </w:rPr>
      </w:pPr>
      <w:r>
        <w:rPr>
          <w:rFonts w:hint="eastAsia" w:ascii="宋体" w:hAnsi="宋体"/>
          <w:b/>
          <w:bCs/>
          <w:sz w:val="24"/>
        </w:rPr>
        <w:t>1、边坡破坏</w:t>
      </w:r>
    </w:p>
    <w:p>
      <w:pPr>
        <w:spacing w:line="360" w:lineRule="auto"/>
        <w:ind w:firstLine="480" w:firstLineChars="200"/>
        <w:rPr>
          <w:rFonts w:ascii="宋体" w:hAnsi="宋体"/>
          <w:sz w:val="24"/>
        </w:rPr>
      </w:pPr>
      <w:r>
        <w:rPr>
          <w:rFonts w:hint="eastAsia" w:ascii="宋体" w:hAnsi="宋体"/>
          <w:sz w:val="24"/>
        </w:rPr>
        <w:t>滑坡：砂砾石堆积层胶结较弱、结构松散，在超挖坡脚、边坡上部堆置废石、地 震影响、高原地区冻融作用等情况下，砂砾石堆积层自身的强度不能抵抗滑坡体向下滑 动的力，这时就会发生滑坡。松散的砂砾石堆积层也可沿着自然安息角方向向下滑坡。</w:t>
      </w:r>
    </w:p>
    <w:p>
      <w:pPr>
        <w:spacing w:line="360" w:lineRule="auto"/>
        <w:ind w:firstLine="480" w:firstLineChars="200"/>
        <w:rPr>
          <w:rFonts w:ascii="宋体" w:hAnsi="宋体"/>
          <w:sz w:val="24"/>
        </w:rPr>
      </w:pPr>
      <w:r>
        <w:rPr>
          <w:rFonts w:hint="eastAsia" w:ascii="宋体" w:hAnsi="宋体"/>
          <w:sz w:val="24"/>
        </w:rPr>
        <w:t>浮石滚落：浮石即为采场边坡顶部大块的嵌石、悬石。矿山采场边坡上部如有危石、 浮石没及时清理或违规作业、对边坡观测预报不力、天气影响（如刮风、下雨）、机械 铲装操作不当等因素极易发生危石崩塌、浮石滚落事故。</w:t>
      </w:r>
    </w:p>
    <w:p>
      <w:pPr>
        <w:spacing w:line="360" w:lineRule="auto"/>
        <w:ind w:firstLine="480" w:firstLineChars="200"/>
        <w:rPr>
          <w:rFonts w:ascii="宋体" w:hAnsi="宋体"/>
          <w:sz w:val="24"/>
        </w:rPr>
      </w:pPr>
      <w:r>
        <w:rPr>
          <w:rFonts w:hint="eastAsia" w:ascii="宋体" w:hAnsi="宋体"/>
          <w:sz w:val="24"/>
        </w:rPr>
        <w:t>防治措施：</w:t>
      </w:r>
    </w:p>
    <w:p>
      <w:pPr>
        <w:spacing w:line="360" w:lineRule="auto"/>
        <w:ind w:firstLine="480" w:firstLineChars="200"/>
        <w:rPr>
          <w:rFonts w:ascii="宋体" w:hAnsi="宋体"/>
          <w:sz w:val="24"/>
        </w:rPr>
      </w:pPr>
      <w:r>
        <w:rPr>
          <w:rFonts w:hint="eastAsia" w:ascii="宋体" w:hAnsi="宋体"/>
          <w:sz w:val="24"/>
        </w:rPr>
        <w:t>（1）施工过程中及时进行与边坡工程有关的工程地质资料和水文地质资料的调查。</w:t>
      </w:r>
    </w:p>
    <w:p>
      <w:pPr>
        <w:spacing w:line="360" w:lineRule="auto"/>
        <w:ind w:firstLine="480" w:firstLineChars="200"/>
        <w:rPr>
          <w:rFonts w:ascii="宋体" w:hAnsi="宋体"/>
          <w:sz w:val="24"/>
        </w:rPr>
      </w:pPr>
      <w:r>
        <w:rPr>
          <w:rFonts w:hint="eastAsia" w:ascii="宋体" w:hAnsi="宋体"/>
          <w:sz w:val="24"/>
        </w:rPr>
        <w:t>（2）重点查明软层面的赋存状态，分布规律，接触关系及接触面的特征、性质。</w:t>
      </w:r>
    </w:p>
    <w:p>
      <w:pPr>
        <w:spacing w:line="360" w:lineRule="auto"/>
        <w:ind w:firstLine="480" w:firstLineChars="200"/>
        <w:rPr>
          <w:rFonts w:ascii="宋体" w:hAnsi="宋体"/>
          <w:sz w:val="24"/>
        </w:rPr>
      </w:pPr>
      <w:r>
        <w:rPr>
          <w:rFonts w:hint="eastAsia" w:ascii="宋体" w:hAnsi="宋体"/>
          <w:sz w:val="24"/>
        </w:rPr>
        <w:t>（3）本设计最终边坡角&lt;33°，是可以保证边坡稳定的。在实际开釆过程中应严格 按照设计的边坡参数执行，在围岩脆弱的特殊地段应采取相应的边坡加固措施。</w:t>
      </w:r>
    </w:p>
    <w:p>
      <w:pPr>
        <w:spacing w:line="360" w:lineRule="auto"/>
        <w:ind w:firstLine="480" w:firstLineChars="200"/>
        <w:rPr>
          <w:rFonts w:ascii="宋体" w:hAnsi="宋体"/>
          <w:sz w:val="24"/>
        </w:rPr>
      </w:pPr>
      <w:r>
        <w:rPr>
          <w:rFonts w:hint="eastAsia" w:ascii="宋体" w:hAnsi="宋体"/>
          <w:sz w:val="24"/>
        </w:rPr>
        <w:t>（4）贯彻“采剥并举、剥离先行”的方针，超前剥离表土层。</w:t>
      </w:r>
    </w:p>
    <w:p>
      <w:pPr>
        <w:spacing w:line="360" w:lineRule="auto"/>
        <w:ind w:firstLine="480" w:firstLineChars="200"/>
        <w:rPr>
          <w:rFonts w:ascii="宋体" w:hAnsi="宋体"/>
          <w:sz w:val="24"/>
        </w:rPr>
      </w:pPr>
      <w:r>
        <w:rPr>
          <w:rFonts w:hint="eastAsia" w:ascii="宋体" w:hAnsi="宋体"/>
          <w:sz w:val="24"/>
        </w:rPr>
        <w:t>（5）采场工作帮坡应设置人员巡检，并做好记录，不稳定区段在暴雨过后应及时检 查，发现异常应立即报告矿主管领导，并及时排除，排除过程中注意安全。</w:t>
      </w:r>
    </w:p>
    <w:p>
      <w:pPr>
        <w:spacing w:line="360" w:lineRule="auto"/>
        <w:ind w:firstLine="480" w:firstLineChars="200"/>
        <w:rPr>
          <w:rFonts w:ascii="宋体" w:hAnsi="宋体"/>
          <w:sz w:val="24"/>
        </w:rPr>
      </w:pPr>
      <w:r>
        <w:rPr>
          <w:rFonts w:hint="eastAsia" w:ascii="宋体" w:hAnsi="宋体"/>
          <w:sz w:val="24"/>
        </w:rPr>
        <w:t>（6）设计在露天釆场周围开挖截（排）水沟，减少地表水体的渗入，从而提高砂砾 石层的内摩擦力和粘合力，增强边坡稳定性。</w:t>
      </w:r>
    </w:p>
    <w:p>
      <w:pPr>
        <w:spacing w:line="360" w:lineRule="auto"/>
        <w:ind w:firstLine="480" w:firstLineChars="200"/>
        <w:rPr>
          <w:rFonts w:ascii="宋体" w:hAnsi="宋体"/>
          <w:sz w:val="24"/>
        </w:rPr>
      </w:pPr>
      <w:r>
        <w:rPr>
          <w:rFonts w:hint="eastAsia" w:ascii="宋体" w:hAnsi="宋体"/>
          <w:sz w:val="24"/>
        </w:rPr>
        <w:t>（7）边坡整治措施：在生产过程中，根据揭露的边帮情况对边坡及时平整和刷帮， 改变边坡的轮廓和形状以提高边坡的稳定性。</w:t>
      </w:r>
    </w:p>
    <w:p>
      <w:pPr>
        <w:spacing w:line="360" w:lineRule="auto"/>
        <w:ind w:firstLine="480" w:firstLineChars="200"/>
        <w:rPr>
          <w:rFonts w:ascii="宋体" w:hAnsi="宋体"/>
          <w:sz w:val="24"/>
        </w:rPr>
      </w:pPr>
      <w:r>
        <w:rPr>
          <w:rFonts w:hint="eastAsia" w:ascii="宋体" w:hAnsi="宋体"/>
          <w:sz w:val="24"/>
        </w:rPr>
        <w:t>（8）在采场最终开采境界外上下盘及端帮设置边坡变形观测点（监测桩），定期观测 (每年不少于4次），特别是加强特殊时期（即雨后、冰雪融化期）的观测。</w:t>
      </w:r>
    </w:p>
    <w:p>
      <w:pPr>
        <w:spacing w:line="360" w:lineRule="auto"/>
        <w:ind w:firstLine="480" w:firstLineChars="200"/>
        <w:rPr>
          <w:rFonts w:ascii="宋体" w:hAnsi="宋体"/>
          <w:sz w:val="24"/>
        </w:rPr>
      </w:pPr>
      <w:r>
        <w:rPr>
          <w:rFonts w:hint="eastAsia" w:ascii="宋体" w:hAnsi="宋体"/>
          <w:sz w:val="24"/>
        </w:rPr>
        <w:t>（9）矿山建立健全边坡管理和检查制度，对边坡重点部位和有潜在滑坡危险的地段采取有效的防治措施。</w:t>
      </w:r>
    </w:p>
    <w:p>
      <w:pPr>
        <w:spacing w:line="360" w:lineRule="auto"/>
        <w:ind w:firstLine="482" w:firstLineChars="200"/>
        <w:rPr>
          <w:rFonts w:ascii="宋体" w:hAnsi="宋体"/>
          <w:b/>
          <w:bCs/>
          <w:sz w:val="24"/>
        </w:rPr>
      </w:pPr>
      <w:r>
        <w:rPr>
          <w:rFonts w:hint="eastAsia" w:ascii="宋体" w:hAnsi="宋体"/>
          <w:b/>
          <w:bCs/>
          <w:sz w:val="24"/>
        </w:rPr>
        <w:t>2、采装作业</w:t>
      </w:r>
    </w:p>
    <w:p>
      <w:pPr>
        <w:spacing w:line="360" w:lineRule="auto"/>
        <w:ind w:firstLine="480" w:firstLineChars="200"/>
        <w:rPr>
          <w:rFonts w:ascii="宋体" w:hAnsi="宋体"/>
          <w:sz w:val="24"/>
        </w:rPr>
      </w:pPr>
      <w:r>
        <w:rPr>
          <w:rFonts w:hint="eastAsia" w:ascii="宋体" w:hAnsi="宋体"/>
          <w:sz w:val="24"/>
        </w:rPr>
        <w:t>釆装过程中作业平台不稳固而挖掘机倾翻事故；上下坡时防滑措施不当，引发生挖 掘机滑坠事故；在松软泥泞的道路上行走时发生沉陷事故；在开釆过程中在临近边坡时采装作业时容易发生危岩崩塌、浮石滚落砸坏挖掘机或人员的事故。</w:t>
      </w:r>
    </w:p>
    <w:p>
      <w:pPr>
        <w:spacing w:line="360" w:lineRule="auto"/>
        <w:ind w:firstLine="480" w:firstLineChars="200"/>
        <w:rPr>
          <w:rFonts w:ascii="宋体" w:hAnsi="宋体"/>
          <w:sz w:val="24"/>
        </w:rPr>
      </w:pPr>
      <w:r>
        <w:rPr>
          <w:rFonts w:hint="eastAsia" w:ascii="宋体" w:hAnsi="宋体"/>
          <w:sz w:val="24"/>
        </w:rPr>
        <w:t>防范措施：</w:t>
      </w:r>
    </w:p>
    <w:p>
      <w:pPr>
        <w:spacing w:line="360" w:lineRule="auto"/>
        <w:ind w:firstLine="480" w:firstLineChars="200"/>
        <w:rPr>
          <w:rFonts w:ascii="宋体" w:hAnsi="宋体"/>
          <w:sz w:val="24"/>
        </w:rPr>
      </w:pPr>
      <w:r>
        <w:rPr>
          <w:rFonts w:hint="eastAsia" w:ascii="宋体" w:hAnsi="宋体"/>
          <w:sz w:val="24"/>
        </w:rPr>
        <w:t>（1）挖掘机必须在作业平台的稳定范围内行走；</w:t>
      </w:r>
    </w:p>
    <w:p>
      <w:pPr>
        <w:spacing w:line="360" w:lineRule="auto"/>
        <w:ind w:firstLine="480" w:firstLineChars="200"/>
        <w:rPr>
          <w:rFonts w:ascii="宋体" w:hAnsi="宋体"/>
          <w:sz w:val="24"/>
        </w:rPr>
      </w:pPr>
      <w:r>
        <w:rPr>
          <w:rFonts w:hint="eastAsia" w:ascii="宋体" w:hAnsi="宋体"/>
          <w:sz w:val="24"/>
        </w:rPr>
        <w:t>（2）挖掘机行走时应有人指挥。铲斗应空载，并下放与地面保持适当距离，悬臂方 向与行进方向一致。通过电缆、水管时，应釆取保护电缆、水管的安全措施。在松动或 泥泞的道路上行走时，应采取防止沉陷的措施；</w:t>
      </w:r>
    </w:p>
    <w:p>
      <w:pPr>
        <w:spacing w:line="360" w:lineRule="auto"/>
        <w:ind w:firstLine="480" w:firstLineChars="200"/>
        <w:rPr>
          <w:rFonts w:ascii="宋体" w:hAnsi="宋体"/>
          <w:sz w:val="24"/>
        </w:rPr>
      </w:pPr>
      <w:r>
        <w:rPr>
          <w:rFonts w:hint="eastAsia" w:ascii="宋体" w:hAnsi="宋体"/>
          <w:sz w:val="24"/>
        </w:rPr>
        <w:t>（3）挖掘机不得铲装超过斗容的大块岩石，不得用铲斗冲砸大块矿岩，不得用铲斗去挑挖工作面上的浮石和伞岩；</w:t>
      </w:r>
    </w:p>
    <w:p>
      <w:pPr>
        <w:spacing w:line="360" w:lineRule="auto"/>
        <w:ind w:firstLine="480" w:firstLineChars="200"/>
        <w:rPr>
          <w:rFonts w:ascii="宋体" w:hAnsi="宋体"/>
          <w:sz w:val="24"/>
        </w:rPr>
      </w:pPr>
      <w:r>
        <w:rPr>
          <w:rFonts w:hint="eastAsia" w:ascii="宋体" w:hAnsi="宋体"/>
          <w:sz w:val="24"/>
        </w:rPr>
        <w:t>（4）禁止铲斗从车辆驾驶室上方通过，卸载时要保持铲斗平衡；</w:t>
      </w:r>
    </w:p>
    <w:p>
      <w:pPr>
        <w:spacing w:line="360" w:lineRule="auto"/>
        <w:ind w:firstLine="480" w:firstLineChars="200"/>
        <w:rPr>
          <w:rFonts w:ascii="宋体" w:hAnsi="宋体"/>
          <w:sz w:val="24"/>
        </w:rPr>
      </w:pPr>
      <w:r>
        <w:rPr>
          <w:rFonts w:hint="eastAsia" w:ascii="宋体" w:hAnsi="宋体"/>
          <w:sz w:val="24"/>
        </w:rPr>
        <w:t>（5）装第一铲时，铲斗门距车厢底板的卸载高度不应大于0.5m，装载时应使车厢保持平衡；</w:t>
      </w:r>
    </w:p>
    <w:p>
      <w:pPr>
        <w:spacing w:line="360" w:lineRule="auto"/>
        <w:ind w:firstLine="480" w:firstLineChars="200"/>
        <w:rPr>
          <w:rFonts w:ascii="宋体" w:hAnsi="宋体"/>
          <w:sz w:val="24"/>
        </w:rPr>
      </w:pPr>
      <w:r>
        <w:rPr>
          <w:rFonts w:hint="eastAsia" w:ascii="宋体" w:hAnsi="宋体"/>
          <w:sz w:val="24"/>
        </w:rPr>
        <w:t>（6）装载时与受装车辆驾驶员要有信号联系，车辆调车人员应下车指挥；</w:t>
      </w:r>
    </w:p>
    <w:p>
      <w:pPr>
        <w:spacing w:line="360" w:lineRule="auto"/>
        <w:ind w:firstLine="480" w:firstLineChars="200"/>
        <w:rPr>
          <w:rFonts w:ascii="宋体" w:hAnsi="宋体"/>
          <w:sz w:val="24"/>
        </w:rPr>
      </w:pPr>
      <w:r>
        <w:rPr>
          <w:rFonts w:hint="eastAsia" w:ascii="宋体" w:hAnsi="宋体"/>
          <w:sz w:val="24"/>
        </w:rPr>
        <w:t>（7）如发现坡面上有片帮或浮石塌落危险时，必须迅速驶出危险区，经釆取措施排除隐患时，方准继续作业。</w:t>
      </w:r>
    </w:p>
    <w:p>
      <w:pPr>
        <w:spacing w:line="360" w:lineRule="auto"/>
        <w:ind w:firstLine="482" w:firstLineChars="200"/>
        <w:rPr>
          <w:rFonts w:ascii="宋体" w:hAnsi="宋体"/>
          <w:b/>
          <w:bCs/>
          <w:sz w:val="24"/>
        </w:rPr>
      </w:pPr>
      <w:r>
        <w:rPr>
          <w:rFonts w:hint="eastAsia" w:ascii="宋体" w:hAnsi="宋体"/>
          <w:b/>
          <w:bCs/>
          <w:sz w:val="24"/>
        </w:rPr>
        <w:t>3、矿山道路运输</w:t>
      </w:r>
    </w:p>
    <w:p>
      <w:pPr>
        <w:spacing w:line="360" w:lineRule="auto"/>
        <w:ind w:firstLine="480" w:firstLineChars="200"/>
        <w:rPr>
          <w:rFonts w:ascii="宋体" w:hAnsi="宋体"/>
          <w:sz w:val="24"/>
        </w:rPr>
      </w:pPr>
      <w:r>
        <w:rPr>
          <w:rFonts w:hint="eastAsia" w:ascii="宋体" w:hAnsi="宋体"/>
          <w:sz w:val="24"/>
        </w:rPr>
        <w:t>矿山的矿石外运，生产生活物资都需要汽车运输，加之矿山地处山区，运输作业环境和道路条件相对较差，道路运输安全事故随时都有可能发生。</w:t>
      </w:r>
    </w:p>
    <w:p>
      <w:pPr>
        <w:spacing w:line="360" w:lineRule="auto"/>
        <w:ind w:firstLine="480" w:firstLineChars="200"/>
        <w:rPr>
          <w:rFonts w:hAnsi="宋体"/>
          <w:kern w:val="10"/>
          <w:sz w:val="24"/>
        </w:rPr>
      </w:pPr>
      <w:r>
        <w:rPr>
          <w:rFonts w:hint="eastAsia" w:ascii="宋体" w:hAnsi="宋体"/>
          <w:sz w:val="24"/>
        </w:rPr>
        <w:t>防范措施：</w:t>
      </w:r>
    </w:p>
    <w:p>
      <w:pPr>
        <w:spacing w:line="360" w:lineRule="auto"/>
        <w:ind w:firstLine="480" w:firstLineChars="200"/>
        <w:rPr>
          <w:rFonts w:ascii="宋体" w:hAnsi="宋体"/>
          <w:sz w:val="24"/>
        </w:rPr>
      </w:pPr>
      <w:r>
        <w:rPr>
          <w:rFonts w:hint="eastAsia" w:ascii="宋体" w:hAnsi="宋体"/>
          <w:sz w:val="24"/>
        </w:rPr>
        <w:t>（1）多雨季节，道路较滑时应有防滑措施并减速行驶；冬季冰雪天气时，车辆如无防滑装置，则禁止矿石运输作业和物资、设备运输；</w:t>
      </w:r>
    </w:p>
    <w:p>
      <w:pPr>
        <w:spacing w:line="360" w:lineRule="auto"/>
        <w:ind w:firstLine="480" w:firstLineChars="200"/>
        <w:rPr>
          <w:rFonts w:ascii="宋体" w:hAnsi="宋体"/>
          <w:sz w:val="24"/>
        </w:rPr>
      </w:pPr>
      <w:r>
        <w:rPr>
          <w:rFonts w:hint="eastAsia" w:ascii="宋体" w:hAnsi="宋体"/>
          <w:sz w:val="24"/>
        </w:rPr>
        <w:t>（2）矿山可利用抽水机及输水管洒水降尘，保证行车视线和视距；在合适地点设置排水沟，及时将地面、路面积水排出，确保路基稳定；挖掘机平整道路，保证道路质量及行车安全通畅；</w:t>
      </w:r>
    </w:p>
    <w:p>
      <w:pPr>
        <w:spacing w:line="360" w:lineRule="auto"/>
        <w:ind w:firstLine="480" w:firstLineChars="200"/>
        <w:rPr>
          <w:rFonts w:ascii="宋体" w:hAnsi="宋体"/>
          <w:sz w:val="24"/>
        </w:rPr>
      </w:pPr>
      <w:r>
        <w:rPr>
          <w:rFonts w:hint="eastAsia" w:ascii="宋体" w:hAnsi="宋体"/>
          <w:sz w:val="24"/>
        </w:rPr>
        <w:t>（3）道路交叉或急转弯区段应设置限速标志，采用小半径曲线并应在弯道外侧设挡车墙等安全设施；</w:t>
      </w:r>
    </w:p>
    <w:p>
      <w:pPr>
        <w:spacing w:line="360" w:lineRule="auto"/>
        <w:ind w:firstLine="480" w:firstLineChars="200"/>
        <w:rPr>
          <w:rFonts w:ascii="宋体" w:hAnsi="宋体"/>
          <w:sz w:val="24"/>
        </w:rPr>
      </w:pPr>
      <w:r>
        <w:rPr>
          <w:rFonts w:hint="eastAsia" w:ascii="宋体" w:hAnsi="宋体"/>
          <w:sz w:val="24"/>
        </w:rPr>
        <w:t>（4）汽车装载、行驶速度、超车、停车必须按操作规程执行。装车时，挖掘机与运输车辆必须保持足够的安全距离，必要时，设置限距设施。禁止装车时检修维护车辆；</w:t>
      </w:r>
    </w:p>
    <w:p>
      <w:pPr>
        <w:spacing w:line="360" w:lineRule="auto"/>
        <w:ind w:firstLine="480" w:firstLineChars="200"/>
        <w:rPr>
          <w:rFonts w:ascii="宋体" w:hAnsi="宋体"/>
          <w:sz w:val="24"/>
        </w:rPr>
      </w:pPr>
      <w:r>
        <w:rPr>
          <w:rFonts w:hint="eastAsia" w:ascii="宋体" w:hAnsi="宋体"/>
          <w:sz w:val="24"/>
        </w:rPr>
        <w:t>（5）加强管理，保证司机作业前的休息，杜绝酒后驾驶，教育司机遵守交通规则，</w:t>
      </w:r>
    </w:p>
    <w:p>
      <w:pPr>
        <w:spacing w:line="360" w:lineRule="auto"/>
        <w:ind w:firstLine="480" w:firstLineChars="200"/>
        <w:rPr>
          <w:rFonts w:ascii="宋体" w:hAnsi="宋体"/>
          <w:sz w:val="24"/>
        </w:rPr>
      </w:pPr>
      <w:r>
        <w:rPr>
          <w:rFonts w:hint="eastAsia" w:ascii="宋体" w:hAnsi="宋体"/>
          <w:sz w:val="24"/>
        </w:rPr>
        <w:t>汽车司机持证上岗，禁止无证驾驶。严格执行安全操作规程；</w:t>
      </w:r>
    </w:p>
    <w:p>
      <w:pPr>
        <w:spacing w:line="360" w:lineRule="auto"/>
        <w:ind w:firstLine="480" w:firstLineChars="200"/>
        <w:rPr>
          <w:rFonts w:ascii="宋体" w:hAnsi="宋体"/>
          <w:sz w:val="24"/>
        </w:rPr>
      </w:pPr>
      <w:r>
        <w:rPr>
          <w:rFonts w:hint="eastAsia" w:ascii="宋体" w:hAnsi="宋体"/>
          <w:sz w:val="24"/>
        </w:rPr>
        <w:t>（6）定期对各种运输设备进行维修保养，确保运输设备保持完好状态；</w:t>
      </w:r>
    </w:p>
    <w:p>
      <w:pPr>
        <w:spacing w:line="360" w:lineRule="auto"/>
        <w:ind w:firstLine="480" w:firstLineChars="200"/>
        <w:rPr>
          <w:rFonts w:ascii="宋体" w:hAnsi="宋体"/>
          <w:sz w:val="24"/>
        </w:rPr>
      </w:pPr>
      <w:r>
        <w:rPr>
          <w:rFonts w:hint="eastAsia" w:ascii="宋体" w:hAnsi="宋体"/>
          <w:sz w:val="24"/>
        </w:rPr>
        <w:t>（7）设计矿山道路为三级道路，道路宽度为6.0m，平曲线最小半径15m，最大纵坡8%,满足通行安全要求，符合《厂矿道路设计规范》的规定，建筑限界满足《厂矿道路设计规范》的要求；</w:t>
      </w:r>
    </w:p>
    <w:p>
      <w:pPr>
        <w:spacing w:line="360" w:lineRule="auto"/>
        <w:ind w:firstLine="480" w:firstLineChars="200"/>
        <w:rPr>
          <w:rFonts w:ascii="宋体" w:hAnsi="宋体"/>
          <w:sz w:val="24"/>
        </w:rPr>
      </w:pPr>
      <w:r>
        <w:rPr>
          <w:rFonts w:hint="eastAsia" w:ascii="宋体" w:hAnsi="宋体"/>
          <w:sz w:val="24"/>
        </w:rPr>
        <w:t>（8）道路在急弯、陡坡、路堤、视线不良等处，设置标志、柱式护栏、反光镜等安全设施。车辆要鸣号，限速行驶；</w:t>
      </w:r>
    </w:p>
    <w:p>
      <w:pPr>
        <w:spacing w:line="360" w:lineRule="auto"/>
        <w:ind w:firstLine="480" w:firstLineChars="200"/>
        <w:rPr>
          <w:rFonts w:ascii="宋体" w:hAnsi="宋体"/>
          <w:sz w:val="24"/>
        </w:rPr>
      </w:pPr>
      <w:r>
        <w:rPr>
          <w:rFonts w:hint="eastAsia" w:ascii="宋体" w:hAnsi="宋体"/>
          <w:sz w:val="24"/>
        </w:rPr>
        <w:t>（9）自卸汽车严禁运载易燃、易爆物品；驾驶室外平台、脚踏板及车斗上不准载人，禁止超载运行，禁止在运行中升降车斗；</w:t>
      </w:r>
    </w:p>
    <w:p>
      <w:pPr>
        <w:spacing w:line="360" w:lineRule="auto"/>
        <w:ind w:firstLine="480" w:firstLineChars="200"/>
        <w:rPr>
          <w:rFonts w:ascii="宋体" w:hAnsi="宋体"/>
          <w:sz w:val="24"/>
        </w:rPr>
      </w:pPr>
      <w:r>
        <w:rPr>
          <w:rFonts w:hint="eastAsia" w:ascii="宋体" w:hAnsi="宋体"/>
          <w:sz w:val="24"/>
        </w:rPr>
        <w:t>（10）运输车辆应经常检查保养，使车况始终处于良好状态，同时应限制运输设备在上山道路的行驶速度不超过安全车速，确保运输安全；</w:t>
      </w:r>
    </w:p>
    <w:p>
      <w:pPr>
        <w:spacing w:line="360" w:lineRule="auto"/>
        <w:ind w:firstLine="480" w:firstLineChars="200"/>
        <w:rPr>
          <w:rFonts w:ascii="宋体" w:hAnsi="宋体"/>
          <w:sz w:val="24"/>
        </w:rPr>
      </w:pPr>
      <w:r>
        <w:rPr>
          <w:rFonts w:hint="eastAsia" w:ascii="宋体" w:hAnsi="宋体"/>
          <w:sz w:val="24"/>
        </w:rPr>
        <w:t>（11）装车时，禁止检查、维护车辆；司机不得离开驾驶室，不得将头和手臂伸出驾驶室外；</w:t>
      </w:r>
    </w:p>
    <w:p>
      <w:pPr>
        <w:spacing w:line="360" w:lineRule="auto"/>
        <w:ind w:firstLine="480" w:firstLineChars="200"/>
        <w:rPr>
          <w:rFonts w:ascii="宋体" w:hAnsi="宋体"/>
          <w:sz w:val="24"/>
        </w:rPr>
      </w:pPr>
      <w:r>
        <w:rPr>
          <w:rFonts w:hint="eastAsia" w:ascii="宋体" w:hAnsi="宋体"/>
          <w:sz w:val="24"/>
        </w:rPr>
        <w:t>（12）矿石、排土卸车平台均应设置车挡，并设有3～5%的反坡，卸车平台设调车员引导。挡车设施的高度不得小于该卸矿区各种运输车辆最大轮胎直径的2/5；</w:t>
      </w:r>
    </w:p>
    <w:p>
      <w:pPr>
        <w:spacing w:line="360" w:lineRule="auto"/>
        <w:ind w:firstLine="480" w:firstLineChars="200"/>
        <w:rPr>
          <w:rFonts w:ascii="宋体" w:hAnsi="宋体"/>
          <w:sz w:val="24"/>
        </w:rPr>
      </w:pPr>
      <w:r>
        <w:rPr>
          <w:rFonts w:hint="eastAsia" w:ascii="宋体" w:hAnsi="宋体"/>
          <w:sz w:val="24"/>
        </w:rPr>
        <w:t>（13）禁止夜间矿石运输。</w:t>
      </w:r>
    </w:p>
    <w:p>
      <w:pPr>
        <w:spacing w:line="360" w:lineRule="auto"/>
        <w:ind w:firstLine="482" w:firstLineChars="200"/>
        <w:rPr>
          <w:rFonts w:ascii="宋体" w:hAnsi="宋体"/>
          <w:b/>
          <w:bCs/>
          <w:sz w:val="24"/>
        </w:rPr>
      </w:pPr>
      <w:r>
        <w:rPr>
          <w:rFonts w:hint="eastAsia" w:ascii="宋体" w:hAnsi="宋体"/>
          <w:b/>
          <w:bCs/>
          <w:sz w:val="24"/>
        </w:rPr>
        <w:t>4、高处坠落</w:t>
      </w:r>
    </w:p>
    <w:p>
      <w:pPr>
        <w:spacing w:line="360" w:lineRule="auto"/>
        <w:ind w:firstLine="480" w:firstLineChars="200"/>
        <w:rPr>
          <w:rFonts w:ascii="宋体" w:hAnsi="宋体"/>
          <w:sz w:val="24"/>
        </w:rPr>
      </w:pPr>
      <w:r>
        <w:rPr>
          <w:rFonts w:hint="eastAsia" w:ascii="宋体" w:hAnsi="宋体"/>
          <w:sz w:val="24"/>
        </w:rPr>
        <w:t>高处（超过2m)的平台、台阶顶部作业以及在超过30°的边坡上作业不按要求配 戴安全带，或操作者不慎、失去平衡时均有可能发生高处坠落的危险，尤其在进行抢修、维修作业时，更容易发生危险。</w:t>
      </w:r>
    </w:p>
    <w:p>
      <w:pPr>
        <w:spacing w:line="360" w:lineRule="auto"/>
        <w:ind w:firstLine="480" w:firstLineChars="200"/>
        <w:rPr>
          <w:rFonts w:ascii="宋体" w:hAnsi="宋体"/>
          <w:sz w:val="24"/>
        </w:rPr>
      </w:pPr>
      <w:r>
        <w:rPr>
          <w:rFonts w:hint="eastAsia" w:ascii="宋体" w:hAnsi="宋体"/>
          <w:sz w:val="24"/>
        </w:rPr>
        <w:t>防范措施：</w:t>
      </w:r>
    </w:p>
    <w:p>
      <w:pPr>
        <w:spacing w:line="360" w:lineRule="auto"/>
        <w:ind w:firstLine="480" w:firstLineChars="200"/>
        <w:rPr>
          <w:rFonts w:ascii="宋体" w:hAnsi="宋体"/>
          <w:sz w:val="24"/>
        </w:rPr>
      </w:pPr>
      <w:r>
        <w:rPr>
          <w:rFonts w:hint="eastAsia" w:ascii="宋体" w:hAnsi="宋体"/>
          <w:sz w:val="24"/>
        </w:rPr>
        <w:t>（1）进行登高作业时应有安全防护救护措施，地面有监护人员，随时注意安全。登高作业为特种作业，人员需经有关部门培训、考核，做到持证上岗；</w:t>
      </w:r>
    </w:p>
    <w:p>
      <w:pPr>
        <w:spacing w:line="360" w:lineRule="auto"/>
        <w:ind w:firstLine="480" w:firstLineChars="200"/>
        <w:rPr>
          <w:rFonts w:ascii="宋体" w:hAnsi="宋体"/>
          <w:sz w:val="24"/>
        </w:rPr>
      </w:pPr>
      <w:r>
        <w:rPr>
          <w:rFonts w:hint="eastAsia" w:ascii="宋体" w:hAnsi="宋体"/>
          <w:sz w:val="24"/>
        </w:rPr>
        <w:t>（2）高处作业（含在超过30°的边坡上进行作业）应按规定佩戴安全帽和安全带，工具应装入专用工具袋内，工作服、工作鞋应符合有关规定，严禁穿硬底鞋登高作业；</w:t>
      </w:r>
    </w:p>
    <w:p>
      <w:pPr>
        <w:spacing w:line="360" w:lineRule="auto"/>
        <w:ind w:firstLine="480" w:firstLineChars="200"/>
        <w:rPr>
          <w:rFonts w:ascii="宋体" w:hAnsi="宋体"/>
          <w:sz w:val="24"/>
        </w:rPr>
      </w:pPr>
      <w:r>
        <w:rPr>
          <w:rFonts w:hint="eastAsia" w:ascii="宋体" w:hAnsi="宋体"/>
          <w:sz w:val="24"/>
        </w:rPr>
        <w:t>（3）凡有坠落危险的场所，应设置防护栏杆或采取相应防护措施；</w:t>
      </w:r>
    </w:p>
    <w:p>
      <w:pPr>
        <w:spacing w:line="360" w:lineRule="auto"/>
        <w:ind w:firstLine="480" w:firstLineChars="200"/>
        <w:rPr>
          <w:rFonts w:ascii="宋体" w:hAnsi="宋体"/>
          <w:sz w:val="24"/>
        </w:rPr>
      </w:pPr>
      <w:r>
        <w:rPr>
          <w:rFonts w:hint="eastAsia" w:ascii="宋体" w:hAnsi="宋体"/>
          <w:sz w:val="24"/>
        </w:rPr>
        <w:t>（4）合理安排作业顺序，避免在垂直方向上同时作业。</w:t>
      </w:r>
    </w:p>
    <w:p>
      <w:pPr>
        <w:spacing w:line="360" w:lineRule="auto"/>
        <w:ind w:firstLine="482" w:firstLineChars="200"/>
        <w:rPr>
          <w:rFonts w:ascii="宋体" w:hAnsi="宋体"/>
          <w:b/>
          <w:bCs/>
          <w:sz w:val="24"/>
        </w:rPr>
      </w:pPr>
      <w:r>
        <w:rPr>
          <w:rFonts w:hint="eastAsia" w:ascii="宋体" w:hAnsi="宋体"/>
          <w:b/>
          <w:bCs/>
          <w:sz w:val="24"/>
        </w:rPr>
        <w:t>5、机械伤害</w:t>
      </w:r>
    </w:p>
    <w:p>
      <w:pPr>
        <w:spacing w:line="360" w:lineRule="auto"/>
        <w:ind w:firstLine="480" w:firstLineChars="200"/>
        <w:rPr>
          <w:rFonts w:ascii="宋体" w:hAnsi="宋体"/>
          <w:sz w:val="24"/>
        </w:rPr>
      </w:pPr>
      <w:r>
        <w:rPr>
          <w:rFonts w:hint="eastAsia" w:ascii="宋体" w:hAnsi="宋体"/>
          <w:sz w:val="24"/>
        </w:rPr>
        <w:t>机械伤害主要指机械设备运动（静止）部件、工具、加工件直接与人体接触引起的夹击、碰撞、剪切、卷入、绞、碾、割、剌等形式的伤害。各类转动机械的外露传动部分和往复运动部分都有可能对人体伤害。</w:t>
      </w:r>
    </w:p>
    <w:p>
      <w:pPr>
        <w:spacing w:line="360" w:lineRule="auto"/>
        <w:ind w:firstLine="480" w:firstLineChars="200"/>
        <w:rPr>
          <w:rFonts w:ascii="宋体" w:hAnsi="宋体"/>
          <w:sz w:val="24"/>
        </w:rPr>
      </w:pPr>
      <w:r>
        <w:rPr>
          <w:rFonts w:hint="eastAsia" w:ascii="宋体" w:hAnsi="宋体"/>
          <w:sz w:val="24"/>
        </w:rPr>
        <w:t>在生产过程中操作人员接近生产设备，易发生机械伤害。在处理生产故障、设备维护、检修时也可能发生挤压、碰撞、坠物打击、剪切、缠绕、卷入、撞击等机械伤害。</w:t>
      </w:r>
    </w:p>
    <w:p>
      <w:pPr>
        <w:spacing w:line="360" w:lineRule="auto"/>
        <w:ind w:firstLine="480" w:firstLineChars="200"/>
        <w:rPr>
          <w:rFonts w:ascii="宋体" w:hAnsi="宋体"/>
          <w:sz w:val="24"/>
        </w:rPr>
      </w:pPr>
      <w:r>
        <w:rPr>
          <w:rFonts w:hint="eastAsia" w:ascii="宋体" w:hAnsi="宋体"/>
          <w:sz w:val="24"/>
        </w:rPr>
        <w:t>防范措施：</w:t>
      </w:r>
    </w:p>
    <w:p>
      <w:pPr>
        <w:spacing w:line="360" w:lineRule="auto"/>
        <w:ind w:firstLine="480" w:firstLineChars="200"/>
        <w:rPr>
          <w:rFonts w:ascii="宋体" w:hAnsi="宋体"/>
          <w:sz w:val="24"/>
        </w:rPr>
      </w:pPr>
      <w:r>
        <w:rPr>
          <w:rFonts w:hint="eastAsia" w:ascii="宋体" w:hAnsi="宋体"/>
          <w:sz w:val="24"/>
        </w:rPr>
        <w:t>（1）启动设备时，要与其他岗位人员联系（不准启动的设备要挂标志牌），确认作业人员在安全范围内再开动设备。在设备运转时禁止处理故障和进行卫生清扫，多人作业时要做好相互监护。使用工具，操作设备前必须进行检查，严禁使用有隐患的工具、设备，严格按操作规程进行操作。</w:t>
      </w:r>
    </w:p>
    <w:p>
      <w:pPr>
        <w:spacing w:line="360" w:lineRule="auto"/>
        <w:ind w:firstLine="480" w:firstLineChars="200"/>
        <w:rPr>
          <w:rFonts w:ascii="宋体" w:hAnsi="宋体"/>
          <w:sz w:val="24"/>
        </w:rPr>
      </w:pPr>
      <w:r>
        <w:rPr>
          <w:rFonts w:hint="eastAsia" w:ascii="宋体" w:hAnsi="宋体"/>
          <w:sz w:val="24"/>
        </w:rPr>
        <w:t>（2）釆场机械设备的传动部分均要设置安全防护罩或防隔栏。在容易发生伤害的危险地点外应设置安全标志。工人上岗须佩戴手套等防护用品。</w:t>
      </w:r>
    </w:p>
    <w:p>
      <w:pPr>
        <w:spacing w:line="360" w:lineRule="auto"/>
        <w:ind w:firstLine="482" w:firstLineChars="200"/>
        <w:rPr>
          <w:rFonts w:ascii="宋体" w:hAnsi="宋体"/>
          <w:b/>
          <w:bCs/>
          <w:sz w:val="24"/>
        </w:rPr>
      </w:pPr>
      <w:r>
        <w:rPr>
          <w:rFonts w:hint="eastAsia" w:ascii="宋体" w:hAnsi="宋体"/>
          <w:b/>
          <w:bCs/>
          <w:sz w:val="24"/>
        </w:rPr>
        <w:t>6、物体打击</w:t>
      </w:r>
    </w:p>
    <w:p>
      <w:pPr>
        <w:spacing w:line="360" w:lineRule="auto"/>
        <w:ind w:firstLine="480" w:firstLineChars="200"/>
        <w:rPr>
          <w:rFonts w:ascii="宋体" w:hAnsi="宋体"/>
          <w:sz w:val="24"/>
        </w:rPr>
      </w:pPr>
      <w:r>
        <w:rPr>
          <w:rFonts w:ascii="宋体" w:hAnsi="宋体"/>
          <w:sz w:val="24"/>
        </w:rPr>
        <w:t>采场边坡存在浮土、松石而未及时清理；高处作业人员乱抛掷物件；安全措施不到位，工人不戴安全帽；未设危险警示标志等，都有可能引发物体打击事故。</w:t>
      </w:r>
    </w:p>
    <w:p>
      <w:pPr>
        <w:spacing w:line="360" w:lineRule="auto"/>
        <w:ind w:firstLine="480" w:firstLineChars="200"/>
        <w:rPr>
          <w:rFonts w:ascii="宋体" w:hAnsi="宋体"/>
          <w:sz w:val="24"/>
        </w:rPr>
      </w:pPr>
      <w:r>
        <w:rPr>
          <w:rFonts w:hint="eastAsia" w:ascii="宋体" w:hAnsi="宋体"/>
          <w:sz w:val="24"/>
        </w:rPr>
        <w:t>防范措施：</w:t>
      </w:r>
    </w:p>
    <w:p>
      <w:pPr>
        <w:spacing w:line="360" w:lineRule="auto"/>
        <w:ind w:firstLine="480" w:firstLineChars="200"/>
        <w:rPr>
          <w:rFonts w:ascii="宋体" w:hAnsi="宋体"/>
          <w:sz w:val="24"/>
        </w:rPr>
      </w:pPr>
      <w:r>
        <w:rPr>
          <w:rFonts w:hint="eastAsia" w:hAnsi="宋体"/>
          <w:kern w:val="10"/>
          <w:sz w:val="24"/>
        </w:rPr>
        <w:t>（</w:t>
      </w:r>
      <w:r>
        <w:rPr>
          <w:rFonts w:hint="eastAsia" w:ascii="宋体" w:hAnsi="宋体"/>
          <w:sz w:val="24"/>
        </w:rPr>
        <w:t>1）禁止露天采场的上下垂直方向进行采掘作业及装载作业；</w:t>
      </w:r>
    </w:p>
    <w:p>
      <w:pPr>
        <w:spacing w:line="360" w:lineRule="auto"/>
        <w:ind w:firstLine="480" w:firstLineChars="200"/>
        <w:rPr>
          <w:rFonts w:ascii="宋体" w:hAnsi="宋体"/>
          <w:sz w:val="24"/>
        </w:rPr>
      </w:pPr>
      <w:r>
        <w:rPr>
          <w:rFonts w:hint="eastAsia" w:ascii="宋体" w:hAnsi="宋体"/>
          <w:sz w:val="24"/>
        </w:rPr>
        <w:t>（2）高处作业不能抛掷物件；</w:t>
      </w:r>
    </w:p>
    <w:p>
      <w:pPr>
        <w:spacing w:line="360" w:lineRule="auto"/>
        <w:ind w:firstLine="480" w:firstLineChars="200"/>
        <w:rPr>
          <w:rFonts w:ascii="宋体" w:hAnsi="宋体"/>
          <w:sz w:val="24"/>
        </w:rPr>
      </w:pPr>
      <w:r>
        <w:rPr>
          <w:rFonts w:hint="eastAsia" w:ascii="宋体" w:hAnsi="宋体"/>
          <w:sz w:val="24"/>
        </w:rPr>
        <w:t>（3）采装设备的铲斗不应从运输车辆驾驶室的上方通过；</w:t>
      </w:r>
    </w:p>
    <w:p>
      <w:pPr>
        <w:spacing w:line="360" w:lineRule="auto"/>
        <w:ind w:firstLine="480" w:firstLineChars="200"/>
        <w:rPr>
          <w:rFonts w:ascii="宋体" w:hAnsi="宋体"/>
          <w:sz w:val="24"/>
        </w:rPr>
      </w:pPr>
      <w:r>
        <w:rPr>
          <w:rFonts w:hint="eastAsia" w:ascii="宋体" w:hAnsi="宋体"/>
          <w:sz w:val="24"/>
        </w:rPr>
        <w:t>（4）清除设备、设施上的杂物、石块；</w:t>
      </w:r>
    </w:p>
    <w:p>
      <w:pPr>
        <w:spacing w:line="360" w:lineRule="auto"/>
        <w:ind w:firstLine="480" w:firstLineChars="200"/>
        <w:rPr>
          <w:rFonts w:ascii="宋体" w:hAnsi="宋体"/>
          <w:sz w:val="24"/>
        </w:rPr>
      </w:pPr>
      <w:r>
        <w:rPr>
          <w:rFonts w:hint="eastAsia" w:ascii="宋体" w:hAnsi="宋体"/>
          <w:sz w:val="24"/>
        </w:rPr>
        <w:t>（5）及时清理永久边坡上的浮土、松石，并有专人监护，防止滚落伤及铲装作业人员和设备；</w:t>
      </w:r>
    </w:p>
    <w:p>
      <w:pPr>
        <w:spacing w:line="360" w:lineRule="auto"/>
        <w:ind w:firstLine="480" w:firstLineChars="200"/>
        <w:rPr>
          <w:rFonts w:ascii="宋体" w:hAnsi="宋体"/>
          <w:sz w:val="24"/>
        </w:rPr>
      </w:pPr>
      <w:r>
        <w:rPr>
          <w:rFonts w:hint="eastAsia" w:ascii="宋体" w:hAnsi="宋体"/>
          <w:sz w:val="24"/>
        </w:rPr>
        <w:t>（6）加强安全管理，作业人员必须戴安全帽；</w:t>
      </w:r>
    </w:p>
    <w:p>
      <w:pPr>
        <w:spacing w:line="360" w:lineRule="auto"/>
        <w:ind w:firstLine="480" w:firstLineChars="200"/>
        <w:rPr>
          <w:rFonts w:ascii="宋体" w:hAnsi="宋体"/>
          <w:sz w:val="24"/>
        </w:rPr>
      </w:pPr>
      <w:r>
        <w:rPr>
          <w:rFonts w:hint="eastAsia" w:ascii="宋体" w:hAnsi="宋体"/>
          <w:sz w:val="24"/>
        </w:rPr>
        <w:t>（7）危险点附近设警戒范围及警示牌。</w:t>
      </w:r>
    </w:p>
    <w:p>
      <w:pPr>
        <w:spacing w:line="360" w:lineRule="auto"/>
        <w:ind w:firstLine="482" w:firstLineChars="200"/>
        <w:rPr>
          <w:rFonts w:ascii="宋体" w:hAnsi="宋体"/>
          <w:b/>
          <w:bCs/>
          <w:sz w:val="24"/>
        </w:rPr>
      </w:pPr>
      <w:r>
        <w:rPr>
          <w:rFonts w:hint="eastAsia" w:ascii="宋体" w:hAnsi="宋体"/>
          <w:b/>
          <w:bCs/>
          <w:sz w:val="24"/>
        </w:rPr>
        <w:t>7、防触电</w:t>
      </w:r>
    </w:p>
    <w:p>
      <w:pPr>
        <w:spacing w:line="360" w:lineRule="auto"/>
        <w:ind w:firstLine="480" w:firstLineChars="200"/>
        <w:rPr>
          <w:rFonts w:ascii="宋体" w:hAnsi="宋体"/>
          <w:sz w:val="24"/>
        </w:rPr>
      </w:pPr>
      <w:r>
        <w:rPr>
          <w:rFonts w:hint="eastAsia" w:ascii="宋体" w:hAnsi="宋体"/>
          <w:sz w:val="24"/>
        </w:rPr>
        <w:t>供电线路、用电设备均可能发生电危害。电危害有电气火灾、电击和电伤伤害。用电不当，还可能造成各种用电事故。</w:t>
      </w:r>
    </w:p>
    <w:p>
      <w:pPr>
        <w:spacing w:line="360" w:lineRule="auto"/>
        <w:ind w:firstLine="480" w:firstLineChars="200"/>
        <w:rPr>
          <w:rFonts w:ascii="宋体" w:hAnsi="宋体"/>
          <w:sz w:val="24"/>
        </w:rPr>
      </w:pPr>
      <w:r>
        <w:rPr>
          <w:rFonts w:hint="eastAsia" w:ascii="宋体" w:hAnsi="宋体"/>
          <w:sz w:val="24"/>
        </w:rPr>
        <w:t>由于电气设备设计不合理、安装存在缺陷或运行时短路、过载、接触不良、铁芯短路、散热不良、漏电等导致过热；电热器具和照明灯具形成引燃源；电气设备正常工作或操作过程中产生的电火花，电气设备或电气线路故障时产生的事故电火花，雷电放电产生的电弧，静电火花等均可能导致电气火灾产生。</w:t>
      </w:r>
    </w:p>
    <w:p>
      <w:pPr>
        <w:spacing w:line="360" w:lineRule="auto"/>
        <w:ind w:firstLine="480" w:firstLineChars="200"/>
        <w:rPr>
          <w:rFonts w:ascii="宋体" w:hAnsi="宋体"/>
          <w:sz w:val="24"/>
        </w:rPr>
      </w:pPr>
      <w:r>
        <w:rPr>
          <w:rFonts w:hint="eastAsia" w:ascii="宋体" w:hAnsi="宋体"/>
          <w:sz w:val="24"/>
        </w:rPr>
        <w:t>电气线路或电气设备在设计、安装上存在缺陷，或在运行中，缺乏必要的检修维护，使设备或线路存在漏电、过热、短路、接头松脱、断线碰壳、绝缘老化、绝缘击穿、绝缘损坏等隐患；没有设置必要的安全技术措施（如漏电保护、安全电压、等电位联结等），或安全措施失效；电气设备运行管理不当，安全管理制度不完善；专业电工或机电设备操作人员的操作失误，或违章作业等，均可能产生电击的危险。</w:t>
      </w:r>
    </w:p>
    <w:p>
      <w:pPr>
        <w:spacing w:line="360" w:lineRule="auto"/>
        <w:ind w:firstLine="480" w:firstLineChars="200"/>
        <w:rPr>
          <w:rFonts w:ascii="宋体" w:hAnsi="宋体"/>
          <w:sz w:val="24"/>
        </w:rPr>
      </w:pPr>
      <w:r>
        <w:rPr>
          <w:rFonts w:hint="eastAsia" w:ascii="宋体" w:hAnsi="宋体"/>
          <w:sz w:val="24"/>
        </w:rPr>
        <w:t>电伤危险分布于各配电点、配电线路等处。电伤的伤害方式由电流的热效应、化学效应、机械效应对人体造成的局部伤害，形成电弧烧伤、电流灼伤、电烙印、电气机械性伤害、电光眼等。</w:t>
      </w:r>
    </w:p>
    <w:p>
      <w:pPr>
        <w:spacing w:line="360" w:lineRule="auto"/>
        <w:ind w:firstLine="480" w:firstLineChars="200"/>
        <w:rPr>
          <w:rFonts w:ascii="宋体" w:hAnsi="宋体"/>
          <w:sz w:val="24"/>
        </w:rPr>
      </w:pPr>
      <w:r>
        <w:rPr>
          <w:rFonts w:hint="eastAsia" w:ascii="宋体" w:hAnsi="宋体"/>
          <w:sz w:val="24"/>
        </w:rPr>
        <w:t>防范措施：</w:t>
      </w:r>
    </w:p>
    <w:p>
      <w:pPr>
        <w:spacing w:line="360" w:lineRule="auto"/>
        <w:ind w:firstLine="480" w:firstLineChars="200"/>
        <w:rPr>
          <w:rFonts w:ascii="宋体" w:hAnsi="宋体"/>
          <w:sz w:val="24"/>
        </w:rPr>
      </w:pPr>
      <w:r>
        <w:rPr>
          <w:rFonts w:hint="eastAsia" w:hAnsi="宋体"/>
          <w:kern w:val="10"/>
          <w:sz w:val="24"/>
        </w:rPr>
        <w:t>（</w:t>
      </w:r>
      <w:r>
        <w:rPr>
          <w:rFonts w:hint="eastAsia" w:ascii="宋体" w:hAnsi="宋体"/>
          <w:sz w:val="24"/>
        </w:rPr>
        <w:t>1）做好电路、设备的安全措施，如绝缘、屏护、安全距离以及防断路、防漏电、接地保护等措施；</w:t>
      </w:r>
    </w:p>
    <w:p>
      <w:pPr>
        <w:spacing w:line="360" w:lineRule="auto"/>
        <w:ind w:firstLine="480" w:firstLineChars="200"/>
        <w:rPr>
          <w:rFonts w:ascii="宋体" w:hAnsi="宋体"/>
          <w:sz w:val="24"/>
        </w:rPr>
      </w:pPr>
      <w:r>
        <w:rPr>
          <w:rFonts w:hint="eastAsia" w:ascii="宋体" w:hAnsi="宋体"/>
          <w:sz w:val="24"/>
        </w:rPr>
        <w:t>（2）电气工作人员必须按规定考核合格方准上岗，上岗应穿戴和使用防护用品、用具；非电气作业人员严禁进行电工作业；</w:t>
      </w:r>
    </w:p>
    <w:p>
      <w:pPr>
        <w:spacing w:line="360" w:lineRule="auto"/>
        <w:ind w:firstLine="480" w:firstLineChars="200"/>
        <w:rPr>
          <w:rFonts w:ascii="宋体" w:hAnsi="宋体"/>
          <w:sz w:val="24"/>
        </w:rPr>
      </w:pPr>
      <w:r>
        <w:rPr>
          <w:rFonts w:hint="eastAsia" w:ascii="宋体" w:hAnsi="宋体"/>
          <w:sz w:val="24"/>
        </w:rPr>
        <w:t>（3）电气工作人员必须熟练掌握触电急救方法；</w:t>
      </w:r>
    </w:p>
    <w:p>
      <w:pPr>
        <w:spacing w:line="360" w:lineRule="auto"/>
        <w:ind w:firstLine="480" w:firstLineChars="200"/>
        <w:rPr>
          <w:rFonts w:ascii="宋体" w:hAnsi="宋体"/>
          <w:sz w:val="24"/>
        </w:rPr>
      </w:pPr>
      <w:r>
        <w:rPr>
          <w:rFonts w:hint="eastAsia" w:ascii="宋体" w:hAnsi="宋体"/>
          <w:sz w:val="24"/>
        </w:rPr>
        <w:t>（4）变配电室应悬挂警示牌及安全标志，并设避雷装置；</w:t>
      </w:r>
    </w:p>
    <w:p>
      <w:pPr>
        <w:spacing w:line="360" w:lineRule="auto"/>
        <w:ind w:firstLine="480" w:firstLineChars="200"/>
        <w:rPr>
          <w:rFonts w:ascii="宋体" w:hAnsi="宋体"/>
          <w:sz w:val="24"/>
        </w:rPr>
      </w:pPr>
      <w:r>
        <w:rPr>
          <w:rFonts w:hint="eastAsia" w:ascii="宋体" w:hAnsi="宋体"/>
          <w:sz w:val="24"/>
        </w:rPr>
        <w:t>（5）在电源线路上断电作业时，该线路的电源把手，必须加锁或设专人看护，并悬挂“有人作业，不准送电”的警示牌；</w:t>
      </w:r>
    </w:p>
    <w:p>
      <w:pPr>
        <w:spacing w:line="360" w:lineRule="auto"/>
        <w:ind w:firstLine="480" w:firstLineChars="200"/>
        <w:rPr>
          <w:rFonts w:ascii="宋体" w:hAnsi="宋体"/>
          <w:sz w:val="24"/>
        </w:rPr>
      </w:pPr>
      <w:r>
        <w:rPr>
          <w:rFonts w:hint="eastAsia" w:ascii="宋体" w:hAnsi="宋体"/>
          <w:sz w:val="24"/>
        </w:rPr>
        <w:t>（6）每台用电设备必须设有专用的受电开关；供电设备和线路的检修设备、停送电必须严格执行工作牌制度；</w:t>
      </w:r>
    </w:p>
    <w:p>
      <w:pPr>
        <w:spacing w:line="360" w:lineRule="auto"/>
        <w:ind w:firstLine="480" w:firstLineChars="200"/>
        <w:rPr>
          <w:rFonts w:ascii="宋体" w:hAnsi="宋体"/>
          <w:sz w:val="24"/>
        </w:rPr>
      </w:pPr>
      <w:r>
        <w:rPr>
          <w:rFonts w:hint="eastAsia" w:ascii="宋体" w:hAnsi="宋体"/>
          <w:sz w:val="24"/>
        </w:rPr>
        <w:t>（7）使用手持电动工具时，必须做到单机单闸，并安装漏电保护器；</w:t>
      </w:r>
    </w:p>
    <w:p>
      <w:pPr>
        <w:spacing w:line="360" w:lineRule="auto"/>
        <w:ind w:firstLine="480" w:firstLineChars="200"/>
        <w:rPr>
          <w:rFonts w:ascii="宋体" w:hAnsi="宋体"/>
          <w:sz w:val="24"/>
        </w:rPr>
      </w:pPr>
      <w:r>
        <w:rPr>
          <w:rFonts w:hint="eastAsia" w:ascii="宋体" w:hAnsi="宋体"/>
          <w:sz w:val="24"/>
        </w:rPr>
        <w:t>（8）线路跳闸后，不准强行送电，应立即查明原因，排除故障后方可送电；</w:t>
      </w:r>
    </w:p>
    <w:p>
      <w:pPr>
        <w:spacing w:line="360" w:lineRule="auto"/>
        <w:ind w:firstLine="480" w:firstLineChars="200"/>
        <w:rPr>
          <w:rFonts w:ascii="宋体" w:hAnsi="宋体"/>
          <w:sz w:val="24"/>
        </w:rPr>
      </w:pPr>
      <w:r>
        <w:rPr>
          <w:rFonts w:hint="eastAsia" w:ascii="宋体" w:hAnsi="宋体"/>
          <w:sz w:val="24"/>
        </w:rPr>
        <w:t>（9）停电检修线路，须做到放电、验电、挂地线，严禁违章作业；</w:t>
      </w:r>
    </w:p>
    <w:p>
      <w:pPr>
        <w:spacing w:line="360" w:lineRule="auto"/>
        <w:ind w:firstLine="480" w:firstLineChars="200"/>
        <w:rPr>
          <w:rFonts w:ascii="宋体" w:hAnsi="宋体"/>
          <w:sz w:val="24"/>
        </w:rPr>
      </w:pPr>
      <w:r>
        <w:rPr>
          <w:rFonts w:hint="eastAsia" w:ascii="宋体" w:hAnsi="宋体"/>
          <w:sz w:val="24"/>
        </w:rPr>
        <w:t>（10）严禁用铜丝、铝线代替保险丝；</w:t>
      </w:r>
    </w:p>
    <w:p>
      <w:pPr>
        <w:spacing w:line="360" w:lineRule="auto"/>
        <w:ind w:firstLine="480" w:firstLineChars="200"/>
        <w:rPr>
          <w:rFonts w:ascii="宋体" w:hAnsi="宋体"/>
          <w:sz w:val="24"/>
        </w:rPr>
      </w:pPr>
      <w:r>
        <w:rPr>
          <w:rFonts w:hint="eastAsia" w:ascii="宋体" w:hAnsi="宋体"/>
          <w:sz w:val="24"/>
        </w:rPr>
        <w:t>（11）严禁电缆线与电话线、铁丝、铁棒等缠绕在一起；</w:t>
      </w:r>
    </w:p>
    <w:p>
      <w:pPr>
        <w:spacing w:line="360" w:lineRule="auto"/>
        <w:ind w:firstLine="480" w:firstLineChars="200"/>
        <w:rPr>
          <w:rFonts w:ascii="宋体" w:hAnsi="宋体"/>
          <w:sz w:val="24"/>
        </w:rPr>
      </w:pPr>
      <w:r>
        <w:rPr>
          <w:rFonts w:hint="eastAsia" w:ascii="宋体" w:hAnsi="宋体"/>
          <w:sz w:val="24"/>
        </w:rPr>
        <w:t>（12）矿山电气安全必须符合安全规程规定；</w:t>
      </w:r>
    </w:p>
    <w:p>
      <w:pPr>
        <w:spacing w:line="360" w:lineRule="auto"/>
        <w:ind w:firstLine="480" w:firstLineChars="200"/>
        <w:rPr>
          <w:rFonts w:ascii="宋体" w:hAnsi="宋体"/>
          <w:sz w:val="24"/>
        </w:rPr>
      </w:pPr>
      <w:r>
        <w:rPr>
          <w:rFonts w:hint="eastAsia" w:ascii="宋体" w:hAnsi="宋体"/>
          <w:sz w:val="24"/>
        </w:rPr>
        <w:t>（13）电缆从室外进入建筑物入口处用防火材料封堵；对使用电气设备要经常检查和维护，避免因电气设备造成火灾。</w:t>
      </w:r>
    </w:p>
    <w:p>
      <w:pPr>
        <w:spacing w:line="360" w:lineRule="auto"/>
        <w:ind w:firstLine="482" w:firstLineChars="200"/>
        <w:rPr>
          <w:rFonts w:ascii="宋体" w:hAnsi="宋体"/>
          <w:b/>
          <w:bCs/>
          <w:sz w:val="24"/>
        </w:rPr>
      </w:pPr>
      <w:r>
        <w:rPr>
          <w:rFonts w:hint="eastAsia" w:ascii="宋体" w:hAnsi="宋体"/>
          <w:b/>
          <w:bCs/>
          <w:sz w:val="24"/>
        </w:rPr>
        <w:t>8、防排水</w:t>
      </w:r>
    </w:p>
    <w:p>
      <w:pPr>
        <w:spacing w:line="360" w:lineRule="auto"/>
        <w:ind w:firstLine="480" w:firstLineChars="200"/>
        <w:rPr>
          <w:rFonts w:ascii="宋体" w:hAnsi="宋体"/>
          <w:sz w:val="24"/>
        </w:rPr>
      </w:pPr>
      <w:r>
        <w:rPr>
          <w:rFonts w:hint="eastAsia" w:ascii="宋体" w:hAnsi="宋体"/>
          <w:sz w:val="24"/>
        </w:rPr>
        <w:t>矿山生产过程中，存在山洪灾害、采场内积水等水灾事故。水灾的危害极大，不仅对生产设施、设备造成巨大破坏，甚至威胁工作人员的生命。</w:t>
      </w:r>
    </w:p>
    <w:p>
      <w:pPr>
        <w:spacing w:line="360" w:lineRule="auto"/>
        <w:ind w:firstLine="480" w:firstLineChars="200"/>
        <w:rPr>
          <w:rFonts w:ascii="宋体" w:hAnsi="宋体"/>
          <w:sz w:val="24"/>
        </w:rPr>
      </w:pPr>
      <w:r>
        <w:rPr>
          <w:rFonts w:hint="eastAsia" w:ascii="宋体" w:hAnsi="宋体"/>
          <w:sz w:val="24"/>
        </w:rPr>
        <w:t>防范措施：</w:t>
      </w:r>
    </w:p>
    <w:p>
      <w:pPr>
        <w:spacing w:line="360" w:lineRule="auto"/>
        <w:ind w:firstLine="480" w:firstLineChars="200"/>
        <w:rPr>
          <w:rFonts w:ascii="宋体"/>
          <w:b/>
          <w:bCs/>
          <w:szCs w:val="28"/>
        </w:rPr>
      </w:pPr>
      <w:r>
        <w:rPr>
          <w:rFonts w:hint="eastAsia" w:ascii="宋体" w:hAnsi="宋体" w:cs="宋体"/>
          <w:sz w:val="24"/>
        </w:rPr>
        <w:t>为了避免采场及工业场地受到山洪的威胁，工业场地设置要高于年平均洪水面5m以上，在其上游设截洪、排洪等防护设施，疏通下游排洪通道。釆场境界外及工业场地四周均设1.0×0.6×0.5m规格的排水沟，使场地雨水能够迅速排出。</w:t>
      </w:r>
    </w:p>
    <w:p>
      <w:pPr>
        <w:spacing w:line="360" w:lineRule="auto"/>
        <w:ind w:firstLine="482" w:firstLineChars="200"/>
        <w:rPr>
          <w:rFonts w:ascii="宋体" w:hAnsi="宋体"/>
          <w:b/>
          <w:bCs/>
          <w:sz w:val="24"/>
        </w:rPr>
      </w:pPr>
      <w:r>
        <w:rPr>
          <w:rFonts w:hint="eastAsia" w:ascii="宋体" w:hAnsi="宋体"/>
          <w:b/>
          <w:bCs/>
          <w:sz w:val="24"/>
        </w:rPr>
        <w:t>9、防爆破伤害</w:t>
      </w:r>
    </w:p>
    <w:p>
      <w:pPr>
        <w:spacing w:line="360" w:lineRule="auto"/>
        <w:ind w:firstLine="480" w:firstLineChars="200"/>
        <w:rPr>
          <w:rFonts w:ascii="宋体" w:hAnsi="宋体"/>
          <w:sz w:val="24"/>
        </w:rPr>
      </w:pPr>
      <w:r>
        <w:rPr>
          <w:rFonts w:hint="eastAsia" w:ascii="宋体" w:hAnsi="宋体"/>
          <w:sz w:val="24"/>
        </w:rPr>
        <w:t>该项目在露天爆破作业采用多排孔微差挤压爆破方式进行中深孔爆破，爆破工作中，可能存在以下危险有害因素：</w:t>
      </w:r>
    </w:p>
    <w:p>
      <w:pPr>
        <w:spacing w:line="360" w:lineRule="auto"/>
        <w:ind w:firstLine="480" w:firstLineChars="200"/>
        <w:rPr>
          <w:rFonts w:ascii="宋体" w:hAnsi="宋体"/>
          <w:sz w:val="24"/>
        </w:rPr>
      </w:pPr>
      <w:r>
        <w:rPr>
          <w:rFonts w:hint="eastAsia" w:ascii="宋体" w:hAnsi="宋体"/>
          <w:sz w:val="24"/>
        </w:rPr>
        <w:t>（1）露天爆破时，以爆破点半径300m设为爆破警戒线时，作业设备和作业人员撤离不到位，或避炮棚位置不合理或强度不够，可能造成爆破伤害事故发生。</w:t>
      </w:r>
    </w:p>
    <w:p>
      <w:pPr>
        <w:spacing w:line="360" w:lineRule="auto"/>
        <w:ind w:firstLine="480" w:firstLineChars="200"/>
        <w:rPr>
          <w:rFonts w:ascii="宋体" w:hAnsi="宋体"/>
          <w:sz w:val="24"/>
        </w:rPr>
      </w:pPr>
      <w:r>
        <w:rPr>
          <w:rFonts w:hint="eastAsia" w:ascii="宋体" w:hAnsi="宋体"/>
          <w:sz w:val="24"/>
        </w:rPr>
        <w:t>（2）在爆破作业中，使用导爆管、炸药等爆破器材时，违章操作或操作不当，可能酿成意外恶性伤人爆炸事故。</w:t>
      </w:r>
    </w:p>
    <w:p>
      <w:pPr>
        <w:spacing w:line="360" w:lineRule="auto"/>
        <w:ind w:firstLine="480" w:firstLineChars="200"/>
        <w:rPr>
          <w:rFonts w:ascii="宋体" w:hAnsi="宋体"/>
          <w:sz w:val="24"/>
        </w:rPr>
      </w:pPr>
      <w:r>
        <w:rPr>
          <w:rFonts w:hint="eastAsia" w:ascii="宋体" w:hAnsi="宋体"/>
          <w:sz w:val="24"/>
        </w:rPr>
        <w:t>（3）爆破器材从库房运往采场的过程中未使用爆破器材专用车辆或炸药和雷管混装造成意外爆炸。</w:t>
      </w:r>
    </w:p>
    <w:p>
      <w:pPr>
        <w:spacing w:line="360" w:lineRule="auto"/>
        <w:ind w:firstLine="480" w:firstLineChars="200"/>
        <w:rPr>
          <w:rFonts w:ascii="宋体" w:hAnsi="宋体"/>
          <w:sz w:val="24"/>
        </w:rPr>
      </w:pPr>
      <w:r>
        <w:rPr>
          <w:rFonts w:hint="eastAsia" w:ascii="宋体" w:hAnsi="宋体"/>
          <w:sz w:val="24"/>
        </w:rPr>
        <w:t>（4）爆破危险区边界和影响工作区未设警戒，避炮的安全距离太近，爆破工未经专门培训或违章装药，处理残炮方法不当或未处理，未按规程要求运送、保管、加工、使用爆炸物品，剩余爆破器材未及时上交，炸药在运输过程中遇到明火、高温物体或运输过程中强烈振动或磨擦等引起爆炸。</w:t>
      </w:r>
    </w:p>
    <w:p>
      <w:pPr>
        <w:spacing w:line="360" w:lineRule="auto"/>
        <w:ind w:firstLine="480" w:firstLineChars="200"/>
        <w:rPr>
          <w:rFonts w:ascii="宋体" w:hAnsi="宋体"/>
          <w:sz w:val="24"/>
        </w:rPr>
      </w:pPr>
      <w:r>
        <w:rPr>
          <w:rFonts w:hint="eastAsia" w:ascii="宋体" w:hAnsi="宋体"/>
          <w:sz w:val="24"/>
        </w:rPr>
        <w:t>防治措施：</w:t>
      </w:r>
    </w:p>
    <w:p>
      <w:pPr>
        <w:numPr>
          <w:ilvl w:val="0"/>
          <w:numId w:val="12"/>
        </w:numPr>
        <w:spacing w:line="360" w:lineRule="auto"/>
        <w:ind w:firstLine="480" w:firstLineChars="200"/>
        <w:rPr>
          <w:rFonts w:ascii="宋体" w:hAnsi="宋体"/>
          <w:sz w:val="24"/>
        </w:rPr>
      </w:pPr>
      <w:r>
        <w:rPr>
          <w:rFonts w:hint="eastAsia" w:ascii="宋体" w:hAnsi="宋体"/>
          <w:sz w:val="24"/>
        </w:rPr>
        <w:t>爆破作业时，应建立避炮掩体，避炮掩体应设在爆破冲击波范围以外、结构应坚固紧密；掩体位置和方向应能防止飞石和有害气体的危害；</w:t>
      </w:r>
    </w:p>
    <w:p>
      <w:pPr>
        <w:numPr>
          <w:ilvl w:val="0"/>
          <w:numId w:val="12"/>
        </w:numPr>
        <w:spacing w:line="360" w:lineRule="auto"/>
        <w:ind w:firstLine="480" w:firstLineChars="200"/>
        <w:rPr>
          <w:rFonts w:ascii="宋体" w:hAnsi="宋体"/>
          <w:sz w:val="24"/>
        </w:rPr>
      </w:pPr>
      <w:r>
        <w:rPr>
          <w:rFonts w:hint="eastAsia" w:ascii="宋体" w:hAnsi="宋体"/>
          <w:sz w:val="24"/>
        </w:rPr>
        <w:t>起爆点应设置在避炮掩体内或设置在安全警戒区外的安全地点，起炮前应将机械设备撤至安全地点或采用就地保护措施；</w:t>
      </w:r>
    </w:p>
    <w:p>
      <w:pPr>
        <w:numPr>
          <w:ilvl w:val="0"/>
          <w:numId w:val="12"/>
        </w:numPr>
        <w:spacing w:line="360" w:lineRule="auto"/>
        <w:ind w:firstLine="480" w:firstLineChars="200"/>
        <w:rPr>
          <w:rFonts w:ascii="宋体" w:hAnsi="宋体"/>
          <w:sz w:val="24"/>
        </w:rPr>
      </w:pPr>
      <w:r>
        <w:rPr>
          <w:rFonts w:hint="eastAsia" w:ascii="宋体" w:hAnsi="宋体"/>
          <w:sz w:val="24"/>
        </w:rPr>
        <w:t>爆破作业前，应编制爆破设计或说明书，爆破设计书应有单位主要负责人批准，并严格按审批的爆破设施书或爆破说明书进行爆破作业；</w:t>
      </w:r>
    </w:p>
    <w:p>
      <w:pPr>
        <w:numPr>
          <w:ilvl w:val="0"/>
          <w:numId w:val="12"/>
        </w:numPr>
        <w:spacing w:line="360" w:lineRule="auto"/>
        <w:ind w:firstLine="480" w:firstLineChars="200"/>
        <w:rPr>
          <w:rFonts w:ascii="宋体" w:hAnsi="宋体"/>
          <w:sz w:val="24"/>
        </w:rPr>
      </w:pPr>
      <w:r>
        <w:rPr>
          <w:rFonts w:hint="eastAsia" w:ascii="宋体" w:hAnsi="宋体"/>
          <w:sz w:val="24"/>
        </w:rPr>
        <w:t>禁止在雷雨、大雾、大风等恶劣天气条件下进行爆破作业</w:t>
      </w:r>
      <w:bookmarkEnd w:id="275"/>
      <w:r>
        <w:rPr>
          <w:rFonts w:hint="eastAsia" w:ascii="宋体" w:hAnsi="宋体"/>
          <w:sz w:val="24"/>
        </w:rPr>
        <w:t>。</w:t>
      </w:r>
    </w:p>
    <w:p>
      <w:pPr>
        <w:numPr>
          <w:ilvl w:val="2"/>
          <w:numId w:val="2"/>
        </w:numPr>
        <w:spacing w:line="360" w:lineRule="auto"/>
        <w:outlineLvl w:val="2"/>
        <w:rPr>
          <w:rFonts w:ascii="宋体"/>
          <w:b/>
          <w:bCs/>
          <w:sz w:val="28"/>
          <w:szCs w:val="28"/>
        </w:rPr>
      </w:pPr>
      <w:r>
        <w:rPr>
          <w:rFonts w:ascii="宋体"/>
          <w:b/>
          <w:bCs/>
          <w:sz w:val="28"/>
          <w:szCs w:val="28"/>
        </w:rPr>
        <w:t>消防安全措施</w:t>
      </w:r>
    </w:p>
    <w:p>
      <w:pPr>
        <w:spacing w:line="360" w:lineRule="auto"/>
        <w:ind w:firstLine="482" w:firstLineChars="200"/>
        <w:rPr>
          <w:rFonts w:ascii="宋体" w:hAnsi="宋体"/>
          <w:b/>
          <w:bCs/>
          <w:sz w:val="24"/>
        </w:rPr>
      </w:pPr>
      <w:r>
        <w:rPr>
          <w:rFonts w:hint="eastAsia" w:ascii="宋体" w:hAnsi="宋体"/>
          <w:b/>
          <w:bCs/>
          <w:sz w:val="24"/>
        </w:rPr>
        <w:t>1、影响安全因素分析</w:t>
      </w:r>
    </w:p>
    <w:p>
      <w:pPr>
        <w:spacing w:line="360" w:lineRule="auto"/>
        <w:ind w:firstLine="480" w:firstLineChars="200"/>
        <w:rPr>
          <w:rFonts w:ascii="宋体" w:hAnsi="宋体"/>
          <w:sz w:val="24"/>
        </w:rPr>
      </w:pPr>
      <w:r>
        <w:rPr>
          <w:rFonts w:ascii="宋体" w:hAnsi="宋体"/>
          <w:sz w:val="24"/>
        </w:rPr>
        <w:t>影响安全因素主要为矿山大型设备的消防，以及易燃材料的存放、管理，必须按国家发布的有关防火规定和当地消防机关的要求，设置消防设备器材。</w:t>
      </w:r>
    </w:p>
    <w:p>
      <w:pPr>
        <w:spacing w:line="360" w:lineRule="auto"/>
        <w:ind w:firstLine="482" w:firstLineChars="200"/>
        <w:rPr>
          <w:rFonts w:ascii="宋体" w:hAnsi="宋体"/>
          <w:b/>
          <w:bCs/>
          <w:sz w:val="24"/>
        </w:rPr>
      </w:pPr>
      <w:r>
        <w:rPr>
          <w:rFonts w:hint="eastAsia" w:ascii="宋体" w:hAnsi="宋体"/>
          <w:b/>
          <w:bCs/>
          <w:sz w:val="24"/>
        </w:rPr>
        <w:t>2、消防安全措施</w:t>
      </w:r>
    </w:p>
    <w:p>
      <w:pPr>
        <w:spacing w:line="360" w:lineRule="auto"/>
        <w:ind w:firstLine="480" w:firstLineChars="200"/>
        <w:rPr>
          <w:rFonts w:ascii="宋体" w:hAnsi="宋体"/>
          <w:sz w:val="24"/>
        </w:rPr>
      </w:pPr>
      <w:r>
        <w:rPr>
          <w:rFonts w:hint="eastAsia" w:ascii="宋体" w:hAnsi="宋体"/>
          <w:sz w:val="24"/>
        </w:rPr>
        <w:t>（1）挖掘设备、汽车等配备灭火器材；</w:t>
      </w:r>
    </w:p>
    <w:p>
      <w:pPr>
        <w:spacing w:line="360" w:lineRule="auto"/>
        <w:ind w:firstLine="480" w:firstLineChars="200"/>
        <w:rPr>
          <w:rFonts w:ascii="宋体" w:hAnsi="宋体"/>
          <w:sz w:val="24"/>
        </w:rPr>
      </w:pPr>
      <w:r>
        <w:rPr>
          <w:rFonts w:hint="eastAsia" w:ascii="宋体" w:hAnsi="宋体"/>
          <w:sz w:val="24"/>
        </w:rPr>
        <w:t>（2）设备加注燃油时，严禁吸烟和明火照明；</w:t>
      </w:r>
    </w:p>
    <w:p>
      <w:pPr>
        <w:spacing w:line="360" w:lineRule="auto"/>
        <w:ind w:firstLine="480" w:firstLineChars="200"/>
        <w:rPr>
          <w:rFonts w:ascii="宋体" w:hAnsi="宋体"/>
          <w:sz w:val="24"/>
        </w:rPr>
      </w:pPr>
      <w:r>
        <w:rPr>
          <w:rFonts w:hint="eastAsia" w:ascii="宋体" w:hAnsi="宋体"/>
          <w:sz w:val="24"/>
        </w:rPr>
        <w:t>（3）禁止在采剥设备上存放汽油和其他易燃易爆材料，禁止用汽油擦洗设备，使用过的油纱等易燃材料应妥善管理；</w:t>
      </w:r>
    </w:p>
    <w:p>
      <w:pPr>
        <w:spacing w:line="360" w:lineRule="auto"/>
        <w:ind w:firstLine="480" w:firstLineChars="200"/>
        <w:rPr>
          <w:rFonts w:ascii="宋体" w:hAnsi="宋体"/>
          <w:sz w:val="24"/>
        </w:rPr>
      </w:pPr>
      <w:r>
        <w:rPr>
          <w:rFonts w:hint="eastAsia" w:ascii="宋体" w:hAnsi="宋体"/>
          <w:sz w:val="24"/>
        </w:rPr>
        <w:t>（4）在工业场地建立完整的消防体系，在建、构筑物内的醒目位置摆放消防器材，并由兼职的消防员定期负责检查和管理。</w:t>
      </w:r>
    </w:p>
    <w:p>
      <w:pPr>
        <w:numPr>
          <w:ilvl w:val="2"/>
          <w:numId w:val="2"/>
        </w:numPr>
        <w:spacing w:line="360" w:lineRule="auto"/>
        <w:outlineLvl w:val="2"/>
        <w:rPr>
          <w:rFonts w:ascii="宋体"/>
          <w:b/>
          <w:bCs/>
          <w:sz w:val="28"/>
          <w:szCs w:val="28"/>
        </w:rPr>
      </w:pPr>
      <w:r>
        <w:rPr>
          <w:rFonts w:hint="eastAsia" w:ascii="宋体"/>
          <w:b/>
          <w:bCs/>
          <w:sz w:val="28"/>
          <w:szCs w:val="28"/>
        </w:rPr>
        <w:t>安全标志及设施</w:t>
      </w:r>
    </w:p>
    <w:p>
      <w:pPr>
        <w:spacing w:line="360" w:lineRule="auto"/>
        <w:ind w:firstLine="482" w:firstLineChars="200"/>
        <w:rPr>
          <w:rFonts w:ascii="宋体" w:hAnsi="宋体"/>
          <w:b/>
          <w:bCs/>
          <w:sz w:val="24"/>
        </w:rPr>
      </w:pPr>
      <w:r>
        <w:rPr>
          <w:rFonts w:hint="eastAsia" w:ascii="宋体" w:hAnsi="宋体"/>
          <w:b/>
          <w:bCs/>
          <w:sz w:val="24"/>
        </w:rPr>
        <w:t>1、安全标志</w:t>
      </w:r>
    </w:p>
    <w:p>
      <w:pPr>
        <w:spacing w:line="360" w:lineRule="auto"/>
        <w:ind w:firstLine="480" w:firstLineChars="200"/>
      </w:pPr>
      <w:r>
        <w:rPr>
          <w:rFonts w:hint="eastAsia" w:ascii="宋体" w:hAnsi="宋体"/>
          <w:sz w:val="24"/>
        </w:rPr>
        <w:t>本项目为露天矿，矿山、交通、电气安全标志为露天矿山专用安全措施。主要安全标示设置要求见表9-1。</w:t>
      </w:r>
    </w:p>
    <w:p>
      <w:pPr>
        <w:jc w:val="center"/>
        <w:rPr>
          <w:b/>
          <w:bCs/>
        </w:rPr>
      </w:pPr>
      <w:r>
        <w:rPr>
          <w:rFonts w:hint="eastAsia"/>
          <w:b/>
          <w:bCs/>
        </w:rPr>
        <w:t>表9-1  安全标示设置要求表</w:t>
      </w:r>
    </w:p>
    <w:tbl>
      <w:tblPr>
        <w:tblStyle w:val="59"/>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707"/>
        <w:gridCol w:w="6012"/>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tcPr>
          <w:p>
            <w:pPr>
              <w:rPr>
                <w:rFonts w:ascii="宋体" w:hAnsi="宋体" w:cs="宋体"/>
                <w:szCs w:val="21"/>
              </w:rPr>
            </w:pPr>
            <w:r>
              <w:rPr>
                <w:rFonts w:hint="eastAsia" w:ascii="宋体" w:hAnsi="宋体" w:cs="宋体"/>
                <w:szCs w:val="21"/>
              </w:rPr>
              <w:t>序号</w:t>
            </w:r>
          </w:p>
        </w:tc>
        <w:tc>
          <w:tcPr>
            <w:tcW w:w="1707" w:type="dxa"/>
            <w:vAlign w:val="center"/>
          </w:tcPr>
          <w:p>
            <w:pPr>
              <w:rPr>
                <w:rFonts w:ascii="宋体" w:hAnsi="宋体" w:cs="宋体"/>
                <w:szCs w:val="21"/>
              </w:rPr>
            </w:pPr>
            <w:r>
              <w:rPr>
                <w:rFonts w:hint="eastAsia" w:ascii="宋体" w:hAnsi="宋体" w:cs="宋体"/>
                <w:szCs w:val="21"/>
              </w:rPr>
              <w:t>种类</w:t>
            </w:r>
          </w:p>
        </w:tc>
        <w:tc>
          <w:tcPr>
            <w:tcW w:w="6012" w:type="dxa"/>
            <w:vAlign w:val="center"/>
          </w:tcPr>
          <w:p>
            <w:pPr>
              <w:rPr>
                <w:rFonts w:ascii="宋体" w:hAnsi="宋体" w:cs="宋体"/>
                <w:szCs w:val="21"/>
              </w:rPr>
            </w:pPr>
            <w:r>
              <w:rPr>
                <w:rFonts w:hint="eastAsia" w:ascii="宋体" w:hAnsi="宋体" w:cs="宋体"/>
                <w:szCs w:val="21"/>
              </w:rPr>
              <w:t>设置位置</w:t>
            </w:r>
          </w:p>
        </w:tc>
        <w:tc>
          <w:tcPr>
            <w:tcW w:w="691" w:type="dxa"/>
          </w:tcPr>
          <w:p>
            <w:pPr>
              <w:rPr>
                <w:rFonts w:ascii="宋体" w:hAns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1</w:t>
            </w:r>
          </w:p>
        </w:tc>
        <w:tc>
          <w:tcPr>
            <w:tcW w:w="1707" w:type="dxa"/>
            <w:vAlign w:val="center"/>
          </w:tcPr>
          <w:p>
            <w:pPr>
              <w:rPr>
                <w:rFonts w:ascii="宋体" w:hAnsi="宋体" w:cs="宋体"/>
                <w:szCs w:val="21"/>
              </w:rPr>
            </w:pPr>
            <w:r>
              <w:rPr>
                <w:rFonts w:hint="eastAsia" w:ascii="宋体" w:hAnsi="宋体" w:cs="宋体"/>
                <w:szCs w:val="21"/>
              </w:rPr>
              <w:t>安全警戒带</w:t>
            </w:r>
          </w:p>
        </w:tc>
        <w:tc>
          <w:tcPr>
            <w:tcW w:w="6012" w:type="dxa"/>
            <w:vAlign w:val="center"/>
          </w:tcPr>
          <w:p>
            <w:pPr>
              <w:rPr>
                <w:rFonts w:ascii="宋体" w:hAnsi="宋体" w:cs="宋体"/>
                <w:szCs w:val="21"/>
              </w:rPr>
            </w:pPr>
            <w:r>
              <w:rPr>
                <w:rFonts w:hint="eastAsia" w:ascii="宋体" w:hAnsi="宋体" w:cs="宋体"/>
                <w:szCs w:val="21"/>
              </w:rPr>
              <w:t>需要作业的边坡顶部边界2m处；庄宅基、挖掘机等设备工作区域外围；长期补作业的边坡底部等危险区域</w:t>
            </w:r>
          </w:p>
        </w:tc>
        <w:tc>
          <w:tcPr>
            <w:tcW w:w="691"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tcPr>
          <w:p>
            <w:pPr>
              <w:jc w:val="center"/>
              <w:rPr>
                <w:rFonts w:ascii="宋体" w:hAnsi="宋体" w:cs="宋体"/>
                <w:szCs w:val="21"/>
              </w:rPr>
            </w:pPr>
            <w:r>
              <w:rPr>
                <w:rFonts w:hint="eastAsia" w:ascii="宋体" w:hAnsi="宋体" w:cs="宋体"/>
                <w:szCs w:val="21"/>
              </w:rPr>
              <w:t>2</w:t>
            </w:r>
          </w:p>
        </w:tc>
        <w:tc>
          <w:tcPr>
            <w:tcW w:w="1707" w:type="dxa"/>
            <w:vAlign w:val="center"/>
          </w:tcPr>
          <w:p>
            <w:pPr>
              <w:rPr>
                <w:rFonts w:ascii="宋体" w:hAnsi="宋体" w:cs="宋体"/>
                <w:szCs w:val="21"/>
              </w:rPr>
            </w:pPr>
            <w:r>
              <w:rPr>
                <w:rFonts w:hint="eastAsia" w:ascii="宋体" w:hAnsi="宋体" w:cs="宋体"/>
                <w:szCs w:val="21"/>
              </w:rPr>
              <w:t>当心坠落</w:t>
            </w:r>
          </w:p>
        </w:tc>
        <w:tc>
          <w:tcPr>
            <w:tcW w:w="6012" w:type="dxa"/>
            <w:vAlign w:val="center"/>
          </w:tcPr>
          <w:p>
            <w:pPr>
              <w:rPr>
                <w:rFonts w:ascii="宋体" w:hAnsi="宋体" w:cs="宋体"/>
                <w:szCs w:val="21"/>
              </w:rPr>
            </w:pPr>
            <w:r>
              <w:rPr>
                <w:rFonts w:hint="eastAsia" w:ascii="宋体" w:hAnsi="宋体" w:cs="宋体"/>
                <w:szCs w:val="21"/>
              </w:rPr>
              <w:t>需要作业的边坡顶部</w:t>
            </w:r>
          </w:p>
        </w:tc>
        <w:tc>
          <w:tcPr>
            <w:tcW w:w="691"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tcPr>
          <w:p>
            <w:pPr>
              <w:jc w:val="center"/>
              <w:rPr>
                <w:rFonts w:ascii="宋体" w:hAnsi="宋体" w:cs="宋体"/>
                <w:szCs w:val="21"/>
              </w:rPr>
            </w:pPr>
            <w:r>
              <w:rPr>
                <w:rFonts w:hint="eastAsia" w:ascii="宋体" w:hAnsi="宋体" w:cs="宋体"/>
                <w:szCs w:val="21"/>
              </w:rPr>
              <w:t>3</w:t>
            </w:r>
          </w:p>
        </w:tc>
        <w:tc>
          <w:tcPr>
            <w:tcW w:w="1707" w:type="dxa"/>
            <w:vAlign w:val="center"/>
          </w:tcPr>
          <w:p>
            <w:pPr>
              <w:rPr>
                <w:rFonts w:ascii="宋体" w:hAnsi="宋体" w:cs="宋体"/>
                <w:szCs w:val="21"/>
              </w:rPr>
            </w:pPr>
            <w:r>
              <w:rPr>
                <w:rFonts w:hint="eastAsia" w:ascii="宋体" w:hAnsi="宋体" w:cs="宋体"/>
                <w:szCs w:val="21"/>
              </w:rPr>
              <w:t>鸣喇叭</w:t>
            </w:r>
          </w:p>
        </w:tc>
        <w:tc>
          <w:tcPr>
            <w:tcW w:w="6012" w:type="dxa"/>
            <w:vAlign w:val="center"/>
          </w:tcPr>
          <w:p>
            <w:pPr>
              <w:rPr>
                <w:rFonts w:ascii="宋体" w:hAnsi="宋体" w:cs="宋体"/>
                <w:szCs w:val="21"/>
              </w:rPr>
            </w:pPr>
            <w:r>
              <w:rPr>
                <w:rFonts w:hint="eastAsia" w:ascii="宋体" w:hAnsi="宋体" w:cs="宋体"/>
                <w:szCs w:val="21"/>
              </w:rPr>
              <w:t>道路回头弯、出入沟折返及会车视距&lt;30m处</w:t>
            </w:r>
          </w:p>
        </w:tc>
        <w:tc>
          <w:tcPr>
            <w:tcW w:w="691"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tcPr>
          <w:p>
            <w:pPr>
              <w:jc w:val="center"/>
              <w:rPr>
                <w:rFonts w:ascii="宋体" w:hAnsi="宋体" w:cs="宋体"/>
                <w:szCs w:val="21"/>
              </w:rPr>
            </w:pPr>
            <w:r>
              <w:rPr>
                <w:rFonts w:hint="eastAsia" w:ascii="宋体" w:hAnsi="宋体" w:cs="宋体"/>
                <w:szCs w:val="21"/>
              </w:rPr>
              <w:t>4</w:t>
            </w:r>
          </w:p>
        </w:tc>
        <w:tc>
          <w:tcPr>
            <w:tcW w:w="1707" w:type="dxa"/>
            <w:vAlign w:val="center"/>
          </w:tcPr>
          <w:p>
            <w:pPr>
              <w:rPr>
                <w:rFonts w:ascii="宋体" w:hAnsi="宋体" w:cs="宋体"/>
                <w:szCs w:val="21"/>
              </w:rPr>
            </w:pPr>
            <w:r>
              <w:rPr>
                <w:rFonts w:hint="eastAsia" w:ascii="宋体" w:hAnsi="宋体" w:cs="宋体"/>
                <w:szCs w:val="21"/>
              </w:rPr>
              <w:t>注意减速标示</w:t>
            </w:r>
          </w:p>
        </w:tc>
        <w:tc>
          <w:tcPr>
            <w:tcW w:w="6012" w:type="dxa"/>
            <w:vAlign w:val="center"/>
          </w:tcPr>
          <w:p>
            <w:pPr>
              <w:rPr>
                <w:rFonts w:ascii="宋体" w:hAnsi="宋体" w:cs="宋体"/>
                <w:szCs w:val="21"/>
              </w:rPr>
            </w:pPr>
            <w:r>
              <w:rPr>
                <w:rFonts w:hint="eastAsia" w:ascii="宋体" w:hAnsi="宋体" w:cs="宋体"/>
                <w:szCs w:val="21"/>
              </w:rPr>
              <w:t>道路拐弯处</w:t>
            </w:r>
          </w:p>
        </w:tc>
        <w:tc>
          <w:tcPr>
            <w:tcW w:w="691"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tcPr>
          <w:p>
            <w:pPr>
              <w:jc w:val="center"/>
              <w:rPr>
                <w:rFonts w:ascii="宋体" w:hAnsi="宋体" w:cs="宋体"/>
                <w:szCs w:val="21"/>
              </w:rPr>
            </w:pPr>
            <w:r>
              <w:rPr>
                <w:rFonts w:hint="eastAsia" w:ascii="宋体" w:hAnsi="宋体" w:cs="宋体"/>
                <w:szCs w:val="21"/>
              </w:rPr>
              <w:t>5</w:t>
            </w:r>
          </w:p>
        </w:tc>
        <w:tc>
          <w:tcPr>
            <w:tcW w:w="1707" w:type="dxa"/>
            <w:vAlign w:val="center"/>
          </w:tcPr>
          <w:p>
            <w:pPr>
              <w:rPr>
                <w:rFonts w:ascii="宋体" w:hAnsi="宋体" w:cs="宋体"/>
                <w:szCs w:val="21"/>
              </w:rPr>
            </w:pPr>
            <w:r>
              <w:rPr>
                <w:rFonts w:hint="eastAsia" w:ascii="宋体" w:hAnsi="宋体" w:cs="宋体"/>
                <w:szCs w:val="21"/>
              </w:rPr>
              <w:t>禁止合闸</w:t>
            </w:r>
          </w:p>
        </w:tc>
        <w:tc>
          <w:tcPr>
            <w:tcW w:w="6012" w:type="dxa"/>
            <w:vAlign w:val="center"/>
          </w:tcPr>
          <w:p>
            <w:pPr>
              <w:rPr>
                <w:rFonts w:ascii="宋体" w:hAnsi="宋体" w:cs="宋体"/>
                <w:szCs w:val="21"/>
              </w:rPr>
            </w:pPr>
            <w:r>
              <w:rPr>
                <w:rFonts w:hint="eastAsia" w:ascii="宋体" w:hAnsi="宋体" w:cs="宋体"/>
                <w:szCs w:val="21"/>
              </w:rPr>
              <w:t>移动电源开关停电检修等</w:t>
            </w:r>
          </w:p>
        </w:tc>
        <w:tc>
          <w:tcPr>
            <w:tcW w:w="691"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tcPr>
          <w:p>
            <w:pPr>
              <w:jc w:val="center"/>
              <w:rPr>
                <w:rFonts w:ascii="宋体" w:hAnsi="宋体" w:cs="宋体"/>
                <w:szCs w:val="21"/>
              </w:rPr>
            </w:pPr>
            <w:r>
              <w:rPr>
                <w:rFonts w:hint="eastAsia" w:ascii="宋体" w:hAnsi="宋体" w:cs="宋体"/>
                <w:szCs w:val="21"/>
              </w:rPr>
              <w:t>6</w:t>
            </w:r>
          </w:p>
        </w:tc>
        <w:tc>
          <w:tcPr>
            <w:tcW w:w="1707" w:type="dxa"/>
            <w:vAlign w:val="center"/>
          </w:tcPr>
          <w:p>
            <w:pPr>
              <w:rPr>
                <w:rFonts w:ascii="宋体" w:hAnsi="宋体" w:cs="宋体"/>
                <w:szCs w:val="21"/>
              </w:rPr>
            </w:pPr>
            <w:r>
              <w:rPr>
                <w:rFonts w:hint="eastAsia" w:ascii="宋体" w:hAnsi="宋体" w:cs="宋体"/>
                <w:szCs w:val="21"/>
              </w:rPr>
              <w:t>注意安全</w:t>
            </w:r>
          </w:p>
        </w:tc>
        <w:tc>
          <w:tcPr>
            <w:tcW w:w="6012" w:type="dxa"/>
            <w:vAlign w:val="center"/>
          </w:tcPr>
          <w:p>
            <w:pPr>
              <w:rPr>
                <w:rFonts w:ascii="宋体" w:hAnsi="宋体" w:cs="宋体"/>
                <w:szCs w:val="21"/>
              </w:rPr>
            </w:pPr>
            <w:r>
              <w:rPr>
                <w:rFonts w:hint="eastAsia" w:ascii="宋体" w:hAnsi="宋体" w:cs="宋体"/>
                <w:szCs w:val="21"/>
              </w:rPr>
              <w:t>进入采场通道处</w:t>
            </w:r>
          </w:p>
        </w:tc>
        <w:tc>
          <w:tcPr>
            <w:tcW w:w="691"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tcPr>
          <w:p>
            <w:pPr>
              <w:jc w:val="center"/>
              <w:rPr>
                <w:rFonts w:ascii="宋体" w:hAnsi="宋体" w:cs="宋体"/>
                <w:szCs w:val="21"/>
              </w:rPr>
            </w:pPr>
            <w:r>
              <w:rPr>
                <w:rFonts w:hint="eastAsia" w:ascii="宋体" w:hAnsi="宋体" w:cs="宋体"/>
                <w:szCs w:val="21"/>
              </w:rPr>
              <w:t>7</w:t>
            </w:r>
          </w:p>
        </w:tc>
        <w:tc>
          <w:tcPr>
            <w:tcW w:w="1707" w:type="dxa"/>
            <w:vAlign w:val="center"/>
          </w:tcPr>
          <w:p>
            <w:pPr>
              <w:rPr>
                <w:rFonts w:ascii="宋体" w:hAnsi="宋体" w:cs="宋体"/>
                <w:szCs w:val="21"/>
              </w:rPr>
            </w:pPr>
            <w:r>
              <w:rPr>
                <w:rFonts w:hint="eastAsia" w:ascii="宋体" w:hAnsi="宋体" w:cs="宋体"/>
                <w:szCs w:val="21"/>
              </w:rPr>
              <w:t>当心触电</w:t>
            </w:r>
          </w:p>
        </w:tc>
        <w:tc>
          <w:tcPr>
            <w:tcW w:w="6012" w:type="dxa"/>
            <w:vAlign w:val="center"/>
          </w:tcPr>
          <w:p>
            <w:pPr>
              <w:rPr>
                <w:rFonts w:ascii="宋体" w:hAnsi="宋体" w:cs="宋体"/>
                <w:szCs w:val="21"/>
              </w:rPr>
            </w:pPr>
            <w:r>
              <w:rPr>
                <w:rFonts w:hint="eastAsia" w:ascii="宋体" w:hAnsi="宋体" w:cs="宋体"/>
                <w:szCs w:val="21"/>
              </w:rPr>
              <w:t>变压器及用电设备开关处</w:t>
            </w:r>
          </w:p>
        </w:tc>
        <w:tc>
          <w:tcPr>
            <w:tcW w:w="691"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tcPr>
          <w:p>
            <w:pPr>
              <w:jc w:val="center"/>
              <w:rPr>
                <w:rFonts w:ascii="宋体" w:hAnsi="宋体" w:cs="宋体"/>
                <w:szCs w:val="21"/>
              </w:rPr>
            </w:pPr>
            <w:r>
              <w:rPr>
                <w:rFonts w:hint="eastAsia" w:ascii="宋体" w:hAnsi="宋体" w:cs="宋体"/>
                <w:szCs w:val="21"/>
              </w:rPr>
              <w:t>8</w:t>
            </w:r>
          </w:p>
        </w:tc>
        <w:tc>
          <w:tcPr>
            <w:tcW w:w="1707" w:type="dxa"/>
            <w:vAlign w:val="center"/>
          </w:tcPr>
          <w:p>
            <w:pPr>
              <w:rPr>
                <w:rFonts w:ascii="宋体" w:hAnsi="宋体" w:cs="宋体"/>
                <w:szCs w:val="21"/>
              </w:rPr>
            </w:pPr>
            <w:r>
              <w:rPr>
                <w:rFonts w:hint="eastAsia" w:ascii="宋体" w:hAnsi="宋体" w:cs="宋体"/>
                <w:szCs w:val="21"/>
              </w:rPr>
              <w:t>当心片帮、滑坡</w:t>
            </w:r>
          </w:p>
        </w:tc>
        <w:tc>
          <w:tcPr>
            <w:tcW w:w="6012" w:type="dxa"/>
            <w:vAlign w:val="center"/>
          </w:tcPr>
          <w:p>
            <w:pPr>
              <w:rPr>
                <w:rFonts w:ascii="宋体" w:hAnsi="宋体" w:cs="宋体"/>
                <w:szCs w:val="21"/>
              </w:rPr>
            </w:pPr>
            <w:r>
              <w:rPr>
                <w:rFonts w:hint="eastAsia" w:ascii="宋体" w:hAnsi="宋体" w:cs="宋体"/>
                <w:szCs w:val="21"/>
              </w:rPr>
              <w:t>有片帮、滑坡危险地段</w:t>
            </w:r>
          </w:p>
        </w:tc>
        <w:tc>
          <w:tcPr>
            <w:tcW w:w="691"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tcPr>
          <w:p>
            <w:pPr>
              <w:jc w:val="center"/>
              <w:rPr>
                <w:rFonts w:ascii="宋体" w:hAnsi="宋体" w:cs="宋体"/>
                <w:szCs w:val="21"/>
              </w:rPr>
            </w:pPr>
            <w:r>
              <w:rPr>
                <w:rFonts w:hint="eastAsia" w:ascii="宋体" w:hAnsi="宋体" w:cs="宋体"/>
                <w:szCs w:val="21"/>
              </w:rPr>
              <w:t>9</w:t>
            </w:r>
          </w:p>
        </w:tc>
        <w:tc>
          <w:tcPr>
            <w:tcW w:w="1707" w:type="dxa"/>
            <w:vAlign w:val="center"/>
          </w:tcPr>
          <w:p>
            <w:pPr>
              <w:rPr>
                <w:rFonts w:ascii="宋体" w:hAnsi="宋体" w:cs="宋体"/>
                <w:szCs w:val="21"/>
              </w:rPr>
            </w:pPr>
            <w:r>
              <w:rPr>
                <w:rFonts w:hint="eastAsia" w:ascii="宋体" w:hAnsi="宋体" w:cs="宋体"/>
                <w:szCs w:val="21"/>
              </w:rPr>
              <w:t>其他安全标示</w:t>
            </w:r>
          </w:p>
        </w:tc>
        <w:tc>
          <w:tcPr>
            <w:tcW w:w="6012" w:type="dxa"/>
            <w:vAlign w:val="center"/>
          </w:tcPr>
          <w:p>
            <w:pPr>
              <w:rPr>
                <w:rFonts w:ascii="宋体" w:hAnsi="宋体" w:cs="宋体"/>
                <w:szCs w:val="21"/>
              </w:rPr>
            </w:pPr>
            <w:r>
              <w:rPr>
                <w:rFonts w:hint="eastAsia" w:ascii="宋体" w:hAnsi="宋体" w:cs="宋体"/>
                <w:szCs w:val="21"/>
              </w:rPr>
              <w:t>其他存在危险区域</w:t>
            </w:r>
          </w:p>
        </w:tc>
        <w:tc>
          <w:tcPr>
            <w:tcW w:w="691" w:type="dxa"/>
          </w:tcPr>
          <w:p>
            <w:pPr>
              <w:rPr>
                <w:rFonts w:ascii="宋体" w:hAnsi="宋体" w:cs="宋体"/>
                <w:szCs w:val="21"/>
              </w:rPr>
            </w:pPr>
          </w:p>
        </w:tc>
      </w:tr>
    </w:tbl>
    <w:p/>
    <w:p>
      <w:pPr>
        <w:spacing w:line="360" w:lineRule="auto"/>
        <w:ind w:firstLine="482" w:firstLineChars="200"/>
        <w:rPr>
          <w:rFonts w:ascii="宋体" w:hAnsi="宋体"/>
          <w:b/>
          <w:bCs/>
          <w:sz w:val="24"/>
        </w:rPr>
      </w:pPr>
      <w:r>
        <w:rPr>
          <w:rFonts w:hint="eastAsia" w:ascii="宋体" w:hAnsi="宋体"/>
          <w:b/>
          <w:bCs/>
          <w:sz w:val="24"/>
        </w:rPr>
        <w:t>2、安全设施</w:t>
      </w:r>
    </w:p>
    <w:p>
      <w:pPr>
        <w:spacing w:line="360" w:lineRule="auto"/>
        <w:ind w:firstLine="480" w:firstLineChars="200"/>
        <w:rPr>
          <w:rFonts w:ascii="宋体" w:hAnsi="宋体"/>
          <w:sz w:val="24"/>
        </w:rPr>
      </w:pPr>
      <w:r>
        <w:rPr>
          <w:rFonts w:hint="eastAsia" w:ascii="宋体" w:hAnsi="宋体"/>
          <w:sz w:val="24"/>
        </w:rPr>
        <w:t>本项目安全设施一览表见表9-2。</w:t>
      </w:r>
    </w:p>
    <w:p>
      <w:pPr>
        <w:jc w:val="center"/>
        <w:rPr>
          <w:b/>
          <w:bCs/>
        </w:rPr>
      </w:pPr>
      <w:r>
        <w:rPr>
          <w:rFonts w:hint="eastAsia"/>
          <w:b/>
          <w:bCs/>
        </w:rPr>
        <w:t>表9-2  安全设施一览表</w:t>
      </w:r>
    </w:p>
    <w:tbl>
      <w:tblPr>
        <w:tblStyle w:val="59"/>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6890"/>
        <w:gridCol w:w="1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序号</w:t>
            </w:r>
          </w:p>
        </w:tc>
        <w:tc>
          <w:tcPr>
            <w:tcW w:w="6890" w:type="dxa"/>
            <w:vAlign w:val="center"/>
          </w:tcPr>
          <w:p>
            <w:pPr>
              <w:jc w:val="center"/>
              <w:rPr>
                <w:rFonts w:ascii="宋体" w:hAnsi="宋体" w:cs="宋体"/>
                <w:szCs w:val="21"/>
              </w:rPr>
            </w:pPr>
            <w:r>
              <w:rPr>
                <w:rFonts w:hint="eastAsia" w:ascii="宋体" w:hAnsi="宋体" w:cs="宋体"/>
                <w:szCs w:val="21"/>
              </w:rPr>
              <w:t>种类</w:t>
            </w:r>
          </w:p>
        </w:tc>
        <w:tc>
          <w:tcPr>
            <w:tcW w:w="1520" w:type="dxa"/>
            <w:vAlign w:val="center"/>
          </w:tcPr>
          <w:p>
            <w:pPr>
              <w:jc w:val="center"/>
              <w:rPr>
                <w:rFonts w:ascii="宋体" w:hAnsi="宋体" w:cs="宋体"/>
                <w:szCs w:val="21"/>
              </w:rPr>
            </w:pPr>
            <w:r>
              <w:rPr>
                <w:rFonts w:hint="eastAsia" w:ascii="宋体" w:hAnsi="宋体" w:cs="宋体"/>
                <w:szCs w:val="21"/>
              </w:rPr>
              <w:t>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1</w:t>
            </w:r>
          </w:p>
        </w:tc>
        <w:tc>
          <w:tcPr>
            <w:tcW w:w="6890" w:type="dxa"/>
            <w:vAlign w:val="center"/>
          </w:tcPr>
          <w:p>
            <w:pPr>
              <w:jc w:val="center"/>
              <w:rPr>
                <w:rFonts w:ascii="宋体" w:hAnsi="宋体" w:cs="宋体"/>
                <w:szCs w:val="21"/>
              </w:rPr>
            </w:pPr>
            <w:r>
              <w:rPr>
                <w:rFonts w:hint="eastAsia" w:ascii="宋体" w:hAnsi="宋体" w:cs="宋体"/>
                <w:szCs w:val="21"/>
              </w:rPr>
              <w:t>露天采场所设的边界设警示标志</w:t>
            </w:r>
          </w:p>
        </w:tc>
        <w:tc>
          <w:tcPr>
            <w:tcW w:w="1520" w:type="dxa"/>
            <w:vAlign w:val="center"/>
          </w:tcPr>
          <w:p>
            <w:pPr>
              <w:jc w:val="center"/>
              <w:rPr>
                <w:rFonts w:ascii="宋体" w:hAnsi="宋体" w:cs="宋体"/>
                <w:szCs w:val="21"/>
              </w:rPr>
            </w:pPr>
            <w:r>
              <w:rPr>
                <w:rFonts w:hint="eastAsia" w:ascii="宋体" w:hAnsi="宋体" w:cs="宋体"/>
                <w:szCs w:val="21"/>
              </w:rPr>
              <w:t>露天采场边界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2</w:t>
            </w:r>
          </w:p>
        </w:tc>
        <w:tc>
          <w:tcPr>
            <w:tcW w:w="6890" w:type="dxa"/>
            <w:vAlign w:val="center"/>
          </w:tcPr>
          <w:p>
            <w:pPr>
              <w:jc w:val="center"/>
              <w:rPr>
                <w:rFonts w:ascii="宋体" w:hAnsi="宋体" w:cs="宋体"/>
                <w:szCs w:val="21"/>
              </w:rPr>
            </w:pPr>
            <w:r>
              <w:rPr>
                <w:rFonts w:hint="eastAsia" w:ascii="宋体" w:hAnsi="宋体" w:cs="宋体"/>
                <w:szCs w:val="21"/>
              </w:rPr>
              <w:t>采场外截水沟</w:t>
            </w:r>
          </w:p>
        </w:tc>
        <w:tc>
          <w:tcPr>
            <w:tcW w:w="1520" w:type="dxa"/>
            <w:vAlign w:val="center"/>
          </w:tcPr>
          <w:p>
            <w:pPr>
              <w:jc w:val="center"/>
              <w:rPr>
                <w:rFonts w:ascii="宋体" w:hAnsi="宋体" w:cs="宋体"/>
                <w:szCs w:val="21"/>
              </w:rPr>
            </w:pPr>
            <w:r>
              <w:rPr>
                <w:rFonts w:hint="eastAsia" w:ascii="宋体" w:hAnsi="宋体" w:cs="宋体"/>
                <w:szCs w:val="21"/>
              </w:rPr>
              <w:t>采场境界外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3</w:t>
            </w:r>
          </w:p>
        </w:tc>
        <w:tc>
          <w:tcPr>
            <w:tcW w:w="6890" w:type="dxa"/>
            <w:vAlign w:val="center"/>
          </w:tcPr>
          <w:p>
            <w:pPr>
              <w:jc w:val="center"/>
              <w:rPr>
                <w:rFonts w:ascii="宋体" w:hAnsi="宋体" w:cs="宋体"/>
                <w:szCs w:val="21"/>
              </w:rPr>
            </w:pPr>
            <w:r>
              <w:rPr>
                <w:rFonts w:hint="eastAsia" w:ascii="宋体" w:hAnsi="宋体" w:cs="宋体"/>
                <w:szCs w:val="21"/>
              </w:rPr>
              <w:t>道路内侧排水沟</w:t>
            </w:r>
          </w:p>
        </w:tc>
        <w:tc>
          <w:tcPr>
            <w:tcW w:w="1520" w:type="dxa"/>
            <w:vAlign w:val="center"/>
          </w:tcPr>
          <w:p>
            <w:pPr>
              <w:jc w:val="center"/>
              <w:rPr>
                <w:rFonts w:ascii="宋体" w:hAnsi="宋体" w:cs="宋体"/>
                <w:szCs w:val="21"/>
              </w:rPr>
            </w:pPr>
            <w:r>
              <w:rPr>
                <w:rFonts w:hint="eastAsia" w:ascii="宋体" w:hAnsi="宋体" w:cs="宋体"/>
                <w:szCs w:val="21"/>
              </w:rPr>
              <w:t>运输道路内侧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4</w:t>
            </w:r>
          </w:p>
        </w:tc>
        <w:tc>
          <w:tcPr>
            <w:tcW w:w="6890" w:type="dxa"/>
            <w:vAlign w:val="center"/>
          </w:tcPr>
          <w:p>
            <w:pPr>
              <w:jc w:val="center"/>
              <w:rPr>
                <w:rFonts w:ascii="宋体" w:hAnsi="宋体" w:cs="宋体"/>
                <w:szCs w:val="21"/>
              </w:rPr>
            </w:pPr>
            <w:r>
              <w:rPr>
                <w:rFonts w:hint="eastAsia" w:ascii="宋体" w:hAnsi="宋体" w:cs="宋体"/>
                <w:szCs w:val="21"/>
              </w:rPr>
              <w:t>循环水池周边防护栏</w:t>
            </w:r>
          </w:p>
        </w:tc>
        <w:tc>
          <w:tcPr>
            <w:tcW w:w="1520" w:type="dxa"/>
            <w:vAlign w:val="center"/>
          </w:tcPr>
          <w:p>
            <w:pPr>
              <w:jc w:val="center"/>
              <w:rPr>
                <w:rFonts w:ascii="宋体" w:hAnsi="宋体" w:cs="宋体"/>
                <w:szCs w:val="21"/>
              </w:rPr>
            </w:pPr>
            <w:r>
              <w:rPr>
                <w:rFonts w:hint="eastAsia" w:ascii="宋体" w:hAnsi="宋体" w:cs="宋体"/>
                <w:szCs w:val="21"/>
              </w:rPr>
              <w:t>循环水池周边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5</w:t>
            </w:r>
          </w:p>
        </w:tc>
        <w:tc>
          <w:tcPr>
            <w:tcW w:w="6890" w:type="dxa"/>
            <w:vAlign w:val="center"/>
          </w:tcPr>
          <w:p>
            <w:pPr>
              <w:jc w:val="center"/>
              <w:rPr>
                <w:rFonts w:ascii="宋体" w:hAnsi="宋体" w:cs="宋体"/>
                <w:szCs w:val="21"/>
              </w:rPr>
            </w:pPr>
            <w:r>
              <w:rPr>
                <w:rFonts w:hint="eastAsia" w:ascii="宋体" w:hAnsi="宋体" w:cs="宋体"/>
                <w:szCs w:val="21"/>
              </w:rPr>
              <w:t>道路外侧安全车挡</w:t>
            </w:r>
          </w:p>
        </w:tc>
        <w:tc>
          <w:tcPr>
            <w:tcW w:w="1520" w:type="dxa"/>
            <w:vAlign w:val="center"/>
          </w:tcPr>
          <w:p>
            <w:pPr>
              <w:jc w:val="center"/>
              <w:rPr>
                <w:rFonts w:ascii="宋体" w:hAnsi="宋体" w:cs="宋体"/>
                <w:szCs w:val="21"/>
              </w:rPr>
            </w:pPr>
            <w:r>
              <w:rPr>
                <w:rFonts w:hint="eastAsia" w:ascii="宋体" w:hAnsi="宋体" w:cs="宋体"/>
                <w:szCs w:val="21"/>
              </w:rPr>
              <w:t>道路外侧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6</w:t>
            </w:r>
          </w:p>
        </w:tc>
        <w:tc>
          <w:tcPr>
            <w:tcW w:w="6890" w:type="dxa"/>
            <w:vAlign w:val="center"/>
          </w:tcPr>
          <w:p>
            <w:pPr>
              <w:jc w:val="center"/>
              <w:rPr>
                <w:rFonts w:ascii="宋体" w:hAnsi="宋体" w:cs="宋体"/>
                <w:szCs w:val="21"/>
              </w:rPr>
            </w:pPr>
            <w:r>
              <w:rPr>
                <w:rFonts w:hint="eastAsia" w:ascii="宋体" w:hAnsi="宋体" w:cs="宋体"/>
                <w:szCs w:val="21"/>
              </w:rPr>
              <w:t>紧急避险车道</w:t>
            </w:r>
          </w:p>
        </w:tc>
        <w:tc>
          <w:tcPr>
            <w:tcW w:w="1520" w:type="dxa"/>
            <w:vAlign w:val="center"/>
          </w:tcPr>
          <w:p>
            <w:pPr>
              <w:jc w:val="center"/>
              <w:rPr>
                <w:rFonts w:ascii="宋体" w:hAnsi="宋体" w:cs="宋体"/>
                <w:szCs w:val="21"/>
              </w:rPr>
            </w:pPr>
            <w:r>
              <w:rPr>
                <w:rFonts w:hint="eastAsia" w:ascii="宋体" w:hAnsi="宋体" w:cs="宋体"/>
                <w:szCs w:val="21"/>
              </w:rPr>
              <w:t>运输道路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7</w:t>
            </w:r>
          </w:p>
        </w:tc>
        <w:tc>
          <w:tcPr>
            <w:tcW w:w="6890" w:type="dxa"/>
            <w:vAlign w:val="center"/>
          </w:tcPr>
          <w:p>
            <w:pPr>
              <w:jc w:val="center"/>
              <w:rPr>
                <w:rFonts w:ascii="宋体" w:hAnsi="宋体" w:cs="宋体"/>
                <w:szCs w:val="21"/>
              </w:rPr>
            </w:pPr>
            <w:r>
              <w:rPr>
                <w:rFonts w:hint="eastAsia" w:ascii="宋体" w:hAnsi="宋体" w:cs="宋体"/>
                <w:szCs w:val="21"/>
              </w:rPr>
              <w:t>交通安全标识标志</w:t>
            </w:r>
          </w:p>
        </w:tc>
        <w:tc>
          <w:tcPr>
            <w:tcW w:w="1520" w:type="dxa"/>
            <w:vAlign w:val="center"/>
          </w:tcPr>
          <w:p>
            <w:pPr>
              <w:jc w:val="center"/>
              <w:rPr>
                <w:rFonts w:ascii="宋体" w:hAnsi="宋体" w:cs="宋体"/>
                <w:szCs w:val="21"/>
              </w:rPr>
            </w:pPr>
            <w:r>
              <w:rPr>
                <w:rFonts w:hint="eastAsia" w:ascii="宋体" w:hAnsi="宋体" w:cs="宋体"/>
                <w:szCs w:val="21"/>
              </w:rPr>
              <w:t>运输道路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8</w:t>
            </w:r>
          </w:p>
        </w:tc>
        <w:tc>
          <w:tcPr>
            <w:tcW w:w="6890" w:type="dxa"/>
            <w:vAlign w:val="center"/>
          </w:tcPr>
          <w:p>
            <w:pPr>
              <w:jc w:val="center"/>
              <w:rPr>
                <w:rFonts w:ascii="宋体" w:hAnsi="宋体" w:cs="宋体"/>
                <w:szCs w:val="21"/>
              </w:rPr>
            </w:pPr>
            <w:r>
              <w:rPr>
                <w:rFonts w:hint="eastAsia" w:ascii="宋体" w:hAnsi="宋体" w:cs="宋体"/>
                <w:szCs w:val="21"/>
              </w:rPr>
              <w:t>卸矿区的安全车挡</w:t>
            </w:r>
          </w:p>
        </w:tc>
        <w:tc>
          <w:tcPr>
            <w:tcW w:w="1520" w:type="dxa"/>
            <w:vAlign w:val="center"/>
          </w:tcPr>
          <w:p>
            <w:pPr>
              <w:jc w:val="center"/>
              <w:rPr>
                <w:rFonts w:ascii="宋体" w:hAnsi="宋体" w:cs="宋体"/>
                <w:szCs w:val="21"/>
              </w:rPr>
            </w:pPr>
            <w:r>
              <w:rPr>
                <w:rFonts w:hint="eastAsia" w:ascii="宋体" w:hAnsi="宋体" w:cs="宋体"/>
                <w:szCs w:val="21"/>
              </w:rPr>
              <w:t>破碎站卸矿区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9</w:t>
            </w:r>
          </w:p>
        </w:tc>
        <w:tc>
          <w:tcPr>
            <w:tcW w:w="6890" w:type="dxa"/>
            <w:vAlign w:val="center"/>
          </w:tcPr>
          <w:p>
            <w:pPr>
              <w:jc w:val="center"/>
              <w:rPr>
                <w:rFonts w:ascii="宋体" w:hAnsi="宋体" w:cs="宋体"/>
                <w:szCs w:val="21"/>
              </w:rPr>
            </w:pPr>
            <w:r>
              <w:rPr>
                <w:rFonts w:hint="eastAsia" w:ascii="宋体" w:hAnsi="宋体" w:cs="宋体"/>
                <w:szCs w:val="21"/>
              </w:rPr>
              <w:t>破碎系统安全车挡、安全标志、安全护栏、护罩、盖板、扶手、防滑钢板</w:t>
            </w:r>
          </w:p>
        </w:tc>
        <w:tc>
          <w:tcPr>
            <w:tcW w:w="1520" w:type="dxa"/>
            <w:vAlign w:val="center"/>
          </w:tcPr>
          <w:p>
            <w:pPr>
              <w:jc w:val="center"/>
              <w:rPr>
                <w:rFonts w:ascii="宋体" w:hAnsi="宋体" w:cs="宋体"/>
                <w:szCs w:val="21"/>
              </w:rPr>
            </w:pPr>
            <w:r>
              <w:rPr>
                <w:rFonts w:hint="eastAsia" w:ascii="宋体" w:hAnsi="宋体" w:cs="宋体"/>
                <w:szCs w:val="21"/>
              </w:rPr>
              <w:t>破碎站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10</w:t>
            </w:r>
          </w:p>
        </w:tc>
        <w:tc>
          <w:tcPr>
            <w:tcW w:w="6890" w:type="dxa"/>
            <w:vAlign w:val="center"/>
          </w:tcPr>
          <w:p>
            <w:pPr>
              <w:jc w:val="center"/>
              <w:rPr>
                <w:rFonts w:ascii="宋体" w:hAnsi="宋体" w:cs="宋体"/>
                <w:szCs w:val="21"/>
              </w:rPr>
            </w:pPr>
            <w:r>
              <w:rPr>
                <w:rFonts w:hint="eastAsia" w:ascii="宋体" w:hAnsi="宋体" w:cs="宋体"/>
                <w:szCs w:val="21"/>
              </w:rPr>
              <w:t>保护接地设施</w:t>
            </w:r>
          </w:p>
        </w:tc>
        <w:tc>
          <w:tcPr>
            <w:tcW w:w="1520" w:type="dxa"/>
            <w:vAlign w:val="center"/>
          </w:tcPr>
          <w:p>
            <w:pPr>
              <w:jc w:val="center"/>
              <w:rPr>
                <w:rFonts w:ascii="宋体" w:hAnsi="宋体" w:cs="宋体"/>
                <w:szCs w:val="21"/>
              </w:rPr>
            </w:pPr>
            <w:r>
              <w:rPr>
                <w:rFonts w:hint="eastAsia" w:ascii="宋体" w:hAnsi="宋体" w:cs="宋体"/>
                <w:szCs w:val="21"/>
              </w:rPr>
              <w:t>变配电室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11</w:t>
            </w:r>
          </w:p>
        </w:tc>
        <w:tc>
          <w:tcPr>
            <w:tcW w:w="6890" w:type="dxa"/>
            <w:vAlign w:val="center"/>
          </w:tcPr>
          <w:p>
            <w:pPr>
              <w:jc w:val="center"/>
              <w:rPr>
                <w:rFonts w:ascii="宋体" w:hAnsi="宋体" w:cs="宋体"/>
                <w:szCs w:val="21"/>
              </w:rPr>
            </w:pPr>
            <w:r>
              <w:rPr>
                <w:rFonts w:hint="eastAsia" w:ascii="宋体" w:hAnsi="宋体" w:cs="宋体"/>
                <w:szCs w:val="21"/>
              </w:rPr>
              <w:t>工业场地周边应设置安全警告、警示标志，在周边拉警戒线防止人员误入</w:t>
            </w:r>
          </w:p>
        </w:tc>
        <w:tc>
          <w:tcPr>
            <w:tcW w:w="1520" w:type="dxa"/>
            <w:vAlign w:val="center"/>
          </w:tcPr>
          <w:p>
            <w:pPr>
              <w:jc w:val="center"/>
              <w:rPr>
                <w:rFonts w:ascii="宋体" w:hAnsi="宋体" w:cs="宋体"/>
                <w:szCs w:val="21"/>
              </w:rPr>
            </w:pPr>
            <w:r>
              <w:rPr>
                <w:rFonts w:hint="eastAsia" w:ascii="宋体" w:hAnsi="宋体" w:cs="宋体"/>
                <w:szCs w:val="21"/>
              </w:rPr>
              <w:t>工业场地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12</w:t>
            </w:r>
          </w:p>
        </w:tc>
        <w:tc>
          <w:tcPr>
            <w:tcW w:w="6890" w:type="dxa"/>
            <w:vAlign w:val="center"/>
          </w:tcPr>
          <w:p>
            <w:pPr>
              <w:jc w:val="center"/>
              <w:rPr>
                <w:rFonts w:ascii="宋体" w:hAnsi="宋体" w:cs="宋体"/>
                <w:szCs w:val="21"/>
              </w:rPr>
            </w:pPr>
            <w:r>
              <w:rPr>
                <w:rFonts w:hint="eastAsia" w:ascii="宋体" w:hAnsi="宋体" w:cs="宋体"/>
                <w:szCs w:val="21"/>
              </w:rPr>
              <w:t>排土场周围截水沟</w:t>
            </w:r>
          </w:p>
        </w:tc>
        <w:tc>
          <w:tcPr>
            <w:tcW w:w="1520" w:type="dxa"/>
            <w:vAlign w:val="center"/>
          </w:tcPr>
          <w:p>
            <w:pPr>
              <w:jc w:val="center"/>
              <w:rPr>
                <w:rFonts w:ascii="宋体" w:hAnsi="宋体" w:cs="宋体"/>
                <w:szCs w:val="21"/>
              </w:rPr>
            </w:pPr>
            <w:r>
              <w:rPr>
                <w:rFonts w:hint="eastAsia" w:ascii="宋体" w:hAnsi="宋体" w:cs="宋体"/>
                <w:szCs w:val="21"/>
              </w:rPr>
              <w:t>排土场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13</w:t>
            </w:r>
          </w:p>
        </w:tc>
        <w:tc>
          <w:tcPr>
            <w:tcW w:w="6890" w:type="dxa"/>
            <w:vAlign w:val="center"/>
          </w:tcPr>
          <w:p>
            <w:pPr>
              <w:jc w:val="center"/>
              <w:rPr>
                <w:rFonts w:ascii="宋体" w:hAnsi="宋体" w:cs="宋体"/>
                <w:szCs w:val="21"/>
              </w:rPr>
            </w:pPr>
            <w:r>
              <w:rPr>
                <w:rFonts w:hint="eastAsia" w:ascii="宋体" w:hAnsi="宋体" w:cs="宋体"/>
                <w:szCs w:val="21"/>
              </w:rPr>
              <w:t>排土场作业平台边缘设置车挡</w:t>
            </w:r>
          </w:p>
        </w:tc>
        <w:tc>
          <w:tcPr>
            <w:tcW w:w="1520" w:type="dxa"/>
            <w:vAlign w:val="center"/>
          </w:tcPr>
          <w:p>
            <w:pPr>
              <w:jc w:val="center"/>
              <w:rPr>
                <w:rFonts w:ascii="宋体" w:hAnsi="宋体" w:cs="宋体"/>
                <w:szCs w:val="21"/>
              </w:rPr>
            </w:pPr>
            <w:r>
              <w:rPr>
                <w:rFonts w:hint="eastAsia" w:ascii="宋体" w:hAnsi="宋体" w:cs="宋体"/>
                <w:szCs w:val="21"/>
              </w:rPr>
              <w:t>排土场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14</w:t>
            </w:r>
          </w:p>
        </w:tc>
        <w:tc>
          <w:tcPr>
            <w:tcW w:w="6890" w:type="dxa"/>
            <w:vAlign w:val="center"/>
          </w:tcPr>
          <w:p>
            <w:pPr>
              <w:jc w:val="center"/>
              <w:rPr>
                <w:rFonts w:ascii="宋体" w:hAnsi="宋体" w:cs="宋体"/>
                <w:szCs w:val="21"/>
              </w:rPr>
            </w:pPr>
            <w:r>
              <w:rPr>
                <w:rFonts w:hint="eastAsia" w:ascii="宋体" w:hAnsi="宋体" w:cs="宋体"/>
                <w:szCs w:val="21"/>
              </w:rPr>
              <w:t>挡土坝</w:t>
            </w:r>
          </w:p>
        </w:tc>
        <w:tc>
          <w:tcPr>
            <w:tcW w:w="1520" w:type="dxa"/>
            <w:vAlign w:val="center"/>
          </w:tcPr>
          <w:p>
            <w:pPr>
              <w:jc w:val="center"/>
              <w:rPr>
                <w:rFonts w:ascii="宋体" w:hAnsi="宋体" w:cs="宋体"/>
                <w:szCs w:val="21"/>
              </w:rPr>
            </w:pPr>
            <w:r>
              <w:rPr>
                <w:rFonts w:hint="eastAsia" w:ascii="宋体" w:hAnsi="宋体" w:cs="宋体"/>
                <w:szCs w:val="21"/>
              </w:rPr>
              <w:t>排土场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jc w:val="center"/>
              <w:rPr>
                <w:rFonts w:ascii="宋体" w:hAnsi="宋体" w:cs="宋体"/>
                <w:szCs w:val="21"/>
              </w:rPr>
            </w:pPr>
            <w:r>
              <w:rPr>
                <w:rFonts w:hint="eastAsia" w:ascii="宋体" w:hAnsi="宋体" w:cs="宋体"/>
                <w:szCs w:val="21"/>
              </w:rPr>
              <w:t>15</w:t>
            </w:r>
          </w:p>
        </w:tc>
        <w:tc>
          <w:tcPr>
            <w:tcW w:w="6890" w:type="dxa"/>
            <w:vAlign w:val="center"/>
          </w:tcPr>
          <w:p>
            <w:pPr>
              <w:jc w:val="center"/>
              <w:rPr>
                <w:rFonts w:ascii="宋体" w:hAnsi="宋体" w:cs="宋体"/>
                <w:szCs w:val="21"/>
              </w:rPr>
            </w:pPr>
            <w:r>
              <w:rPr>
                <w:rFonts w:hint="eastAsia" w:ascii="宋体" w:hAnsi="宋体" w:cs="宋体"/>
                <w:szCs w:val="21"/>
              </w:rPr>
              <w:t>消防器材：在生产、生活服务区、储油区周边设置消防设施，并配备泡沫灭火器若干</w:t>
            </w:r>
          </w:p>
        </w:tc>
        <w:tc>
          <w:tcPr>
            <w:tcW w:w="1520" w:type="dxa"/>
            <w:vAlign w:val="center"/>
          </w:tcPr>
          <w:p>
            <w:pPr>
              <w:jc w:val="center"/>
              <w:rPr>
                <w:rFonts w:ascii="宋体" w:hAnsi="宋体" w:cs="宋体"/>
                <w:szCs w:val="21"/>
              </w:rPr>
            </w:pPr>
            <w:r>
              <w:rPr>
                <w:rFonts w:hint="eastAsia" w:ascii="宋体" w:hAnsi="宋体" w:cs="宋体"/>
                <w:szCs w:val="21"/>
              </w:rPr>
              <w:t>工业场地</w:t>
            </w:r>
          </w:p>
        </w:tc>
      </w:tr>
    </w:tbl>
    <w:p>
      <w:pPr>
        <w:spacing w:line="360" w:lineRule="auto"/>
        <w:ind w:firstLine="420" w:firstLineChars="200"/>
      </w:pPr>
    </w:p>
    <w:p>
      <w:pPr>
        <w:numPr>
          <w:ilvl w:val="2"/>
          <w:numId w:val="2"/>
        </w:numPr>
        <w:spacing w:line="360" w:lineRule="auto"/>
        <w:outlineLvl w:val="2"/>
        <w:rPr>
          <w:rFonts w:ascii="宋体"/>
          <w:b/>
          <w:bCs/>
          <w:sz w:val="28"/>
          <w:szCs w:val="28"/>
        </w:rPr>
      </w:pPr>
      <w:r>
        <w:rPr>
          <w:rFonts w:hint="eastAsia" w:ascii="宋体"/>
          <w:b/>
          <w:bCs/>
          <w:sz w:val="28"/>
          <w:szCs w:val="28"/>
        </w:rPr>
        <w:t>安全管理机构设置、人员配置和安全费用</w:t>
      </w:r>
    </w:p>
    <w:p>
      <w:pPr>
        <w:numPr>
          <w:ilvl w:val="0"/>
          <w:numId w:val="13"/>
        </w:numPr>
        <w:spacing w:line="360" w:lineRule="auto"/>
        <w:ind w:firstLine="482" w:firstLineChars="200"/>
        <w:rPr>
          <w:rFonts w:ascii="宋体" w:hAnsi="宋体"/>
          <w:b/>
          <w:bCs/>
          <w:sz w:val="24"/>
        </w:rPr>
      </w:pPr>
      <w:r>
        <w:rPr>
          <w:rFonts w:hint="eastAsia" w:ascii="宋体" w:hAnsi="宋体"/>
          <w:b/>
          <w:bCs/>
          <w:sz w:val="24"/>
        </w:rPr>
        <w:t>安全管理制度</w:t>
      </w:r>
    </w:p>
    <w:p>
      <w:pPr>
        <w:spacing w:line="360" w:lineRule="auto"/>
        <w:ind w:firstLine="480" w:firstLineChars="200"/>
        <w:rPr>
          <w:rFonts w:ascii="宋体" w:hAnsi="宋体"/>
          <w:sz w:val="24"/>
        </w:rPr>
      </w:pPr>
      <w:r>
        <w:rPr>
          <w:rFonts w:hint="eastAsia" w:ascii="宋体" w:hAnsi="宋体"/>
          <w:sz w:val="24"/>
        </w:rPr>
        <w:t>矿山需制定各种安全管理制度，如安全生产管理责任制度、安全目标管理制度、安全列会制度、安全检查制度、安全教育培训制度、设备管理制度、事故隐患排查与整改制度、安全技术措施审批制度、劳动防护用品使用管理制度、事故管理制度、应急管理制度、安全奖惩制度、安全生产档案管理制度，另外还可建立边坡检查与管理制度、职业危害预防制度、安全技术费用的提取和使用制度等，并层层落实到责任人。</w:t>
      </w:r>
    </w:p>
    <w:p>
      <w:pPr>
        <w:spacing w:line="360" w:lineRule="auto"/>
        <w:ind w:firstLine="480" w:firstLineChars="200"/>
        <w:rPr>
          <w:rFonts w:ascii="宋体" w:hAnsi="宋体"/>
          <w:sz w:val="24"/>
        </w:rPr>
      </w:pPr>
      <w:r>
        <w:rPr>
          <w:rFonts w:hint="eastAsia" w:ascii="宋体" w:hAnsi="宋体"/>
          <w:sz w:val="24"/>
        </w:rPr>
        <w:t>矿山需定制各工种安全技术操作规程，如采场辅助工、挖掘机司机、装载机司机、破碎操作工等安全操作规程。</w:t>
      </w:r>
    </w:p>
    <w:p>
      <w:pPr>
        <w:spacing w:line="360" w:lineRule="auto"/>
        <w:ind w:firstLine="480" w:firstLineChars="200"/>
        <w:rPr>
          <w:rFonts w:ascii="宋体" w:hAnsi="宋体"/>
          <w:sz w:val="24"/>
        </w:rPr>
      </w:pPr>
      <w:r>
        <w:rPr>
          <w:rFonts w:hint="eastAsia" w:ascii="宋体" w:hAnsi="宋体"/>
          <w:sz w:val="24"/>
        </w:rPr>
        <w:t>企业应按《生产经营单位生产安全事故应急预案编制导则》（GB/T29639-2013）要求，编制安全生产事故综合应急预案和各种专业应急救援预案（包括专项预案与现场处置方案），应急预案报海东市</w:t>
      </w:r>
      <w:r>
        <w:rPr>
          <w:rFonts w:hint="eastAsia" w:ascii="宋体" w:hAnsi="宋体"/>
          <w:sz w:val="24"/>
          <w:lang w:eastAsia="zh-CN"/>
        </w:rPr>
        <w:t>********</w:t>
      </w:r>
      <w:r>
        <w:rPr>
          <w:rFonts w:hint="eastAsia" w:ascii="宋体" w:hAnsi="宋体"/>
          <w:sz w:val="24"/>
        </w:rPr>
        <w:t>安全生产监督管理局备案，如车辆伤害事故应急、边坡坍塌应急等，完善应急救援体系，确定事故或紧急状态下的避灾、救灾措施和处置程序，定期组织培训和演练。</w:t>
      </w:r>
    </w:p>
    <w:p>
      <w:pPr>
        <w:spacing w:line="360" w:lineRule="auto"/>
        <w:ind w:firstLine="482" w:firstLineChars="200"/>
        <w:rPr>
          <w:rFonts w:ascii="宋体" w:hAnsi="宋体"/>
          <w:b/>
          <w:bCs/>
          <w:sz w:val="24"/>
        </w:rPr>
      </w:pPr>
      <w:r>
        <w:rPr>
          <w:rFonts w:hint="eastAsia" w:ascii="宋体" w:hAnsi="宋体"/>
          <w:b/>
          <w:bCs/>
          <w:sz w:val="24"/>
        </w:rPr>
        <w:t>2、</w:t>
      </w:r>
      <w:r>
        <w:rPr>
          <w:rFonts w:ascii="宋体" w:hAnsi="宋体"/>
          <w:b/>
          <w:bCs/>
          <w:sz w:val="24"/>
        </w:rPr>
        <w:t>安全管理机构及人员配备</w:t>
      </w:r>
    </w:p>
    <w:p>
      <w:pPr>
        <w:spacing w:line="360" w:lineRule="auto"/>
        <w:ind w:firstLine="480" w:firstLineChars="200"/>
        <w:rPr>
          <w:rFonts w:ascii="宋体" w:hAnsi="宋体"/>
          <w:sz w:val="24"/>
        </w:rPr>
      </w:pPr>
      <w:r>
        <w:rPr>
          <w:rFonts w:ascii="宋体" w:hAnsi="宋体"/>
          <w:sz w:val="24"/>
        </w:rPr>
        <w:t>为贯彻安全生产和以预防为主的方针，矿山设1名专职安全员。</w:t>
      </w:r>
    </w:p>
    <w:p>
      <w:pPr>
        <w:spacing w:line="360" w:lineRule="auto"/>
        <w:ind w:firstLine="480" w:firstLineChars="200"/>
        <w:rPr>
          <w:rFonts w:ascii="宋体" w:hAnsi="宋体"/>
          <w:sz w:val="24"/>
        </w:rPr>
      </w:pPr>
      <w:r>
        <w:rPr>
          <w:rFonts w:ascii="宋体" w:hAnsi="宋体"/>
          <w:sz w:val="24"/>
        </w:rPr>
        <w:t>企业应经常对全体员工进行劳动安全与工业卫生教育，制定各工种安全操作规程，定期检查制度执行情况，确保安全生产。</w:t>
      </w:r>
    </w:p>
    <w:p>
      <w:pPr>
        <w:spacing w:line="360" w:lineRule="auto"/>
        <w:ind w:firstLine="464" w:firstLineChars="200"/>
        <w:rPr>
          <w:rFonts w:ascii="宋体" w:hAnsi="宋体"/>
          <w:spacing w:val="-4"/>
          <w:sz w:val="24"/>
        </w:rPr>
      </w:pPr>
      <w:r>
        <w:rPr>
          <w:rFonts w:ascii="宋体" w:hAnsi="宋体"/>
          <w:spacing w:val="-4"/>
          <w:sz w:val="24"/>
        </w:rPr>
        <w:t>矿山安全员检查、督促处理边坡上的松动岩石，以防砸伤人员和损坏设备。</w:t>
      </w:r>
    </w:p>
    <w:p>
      <w:pPr>
        <w:spacing w:line="360" w:lineRule="auto"/>
        <w:ind w:firstLine="480" w:firstLineChars="200"/>
        <w:rPr>
          <w:rFonts w:ascii="宋体" w:hAnsi="宋体"/>
          <w:sz w:val="24"/>
        </w:rPr>
      </w:pPr>
      <w:r>
        <w:rPr>
          <w:rFonts w:ascii="宋体" w:hAnsi="宋体"/>
          <w:sz w:val="24"/>
        </w:rPr>
        <w:t>矿山企业不安全因素较多，设立应急救护方案，可与医疗组织签订协议。</w:t>
      </w:r>
    </w:p>
    <w:p>
      <w:pPr>
        <w:spacing w:line="360" w:lineRule="auto"/>
        <w:ind w:firstLine="482" w:firstLineChars="200"/>
        <w:rPr>
          <w:rFonts w:ascii="宋体" w:hAnsi="宋体"/>
          <w:b/>
          <w:bCs/>
          <w:sz w:val="24"/>
        </w:rPr>
      </w:pPr>
      <w:r>
        <w:rPr>
          <w:rFonts w:hint="eastAsia" w:ascii="宋体" w:hAnsi="宋体"/>
          <w:b/>
          <w:bCs/>
          <w:sz w:val="24"/>
        </w:rPr>
        <w:t>3、</w:t>
      </w:r>
      <w:r>
        <w:rPr>
          <w:rFonts w:ascii="宋体" w:hAnsi="宋体"/>
          <w:b/>
          <w:bCs/>
          <w:sz w:val="24"/>
        </w:rPr>
        <w:t>从业人数及其安全教育培训工作</w:t>
      </w:r>
    </w:p>
    <w:p>
      <w:pPr>
        <w:spacing w:line="360" w:lineRule="auto"/>
        <w:ind w:firstLine="480" w:firstLineChars="200"/>
        <w:rPr>
          <w:rFonts w:ascii="宋体" w:hAnsi="宋体"/>
          <w:sz w:val="24"/>
        </w:rPr>
      </w:pPr>
      <w:r>
        <w:rPr>
          <w:rFonts w:ascii="宋体" w:hAnsi="宋体"/>
          <w:sz w:val="24"/>
        </w:rPr>
        <w:t>矿山全部在册人员</w:t>
      </w:r>
      <w:r>
        <w:rPr>
          <w:rFonts w:hint="eastAsia" w:ascii="宋体" w:hAnsi="宋体"/>
          <w:sz w:val="24"/>
        </w:rPr>
        <w:t>7</w:t>
      </w:r>
      <w:r>
        <w:rPr>
          <w:rFonts w:ascii="宋体" w:hAnsi="宋体"/>
          <w:sz w:val="24"/>
        </w:rPr>
        <w:t>人，其中矿山生产工人</w:t>
      </w:r>
      <w:r>
        <w:rPr>
          <w:rFonts w:hint="eastAsia" w:ascii="宋体" w:hAnsi="宋体"/>
          <w:sz w:val="24"/>
        </w:rPr>
        <w:t>5</w:t>
      </w:r>
      <w:r>
        <w:rPr>
          <w:rFonts w:ascii="宋体" w:hAnsi="宋体"/>
          <w:sz w:val="24"/>
        </w:rPr>
        <w:t>人，</w:t>
      </w:r>
      <w:r>
        <w:rPr>
          <w:rFonts w:ascii="宋体" w:hAnsi="宋体"/>
          <w:kern w:val="10"/>
          <w:sz w:val="24"/>
          <w:lang w:val="zh-CN"/>
        </w:rPr>
        <w:t>企业其他服务人员及管理人员</w:t>
      </w:r>
      <w:r>
        <w:rPr>
          <w:rFonts w:hint="eastAsia" w:ascii="宋体" w:hAnsi="宋体"/>
          <w:kern w:val="10"/>
          <w:sz w:val="24"/>
        </w:rPr>
        <w:t>2</w:t>
      </w:r>
      <w:r>
        <w:rPr>
          <w:rFonts w:ascii="宋体" w:hAnsi="宋体"/>
          <w:sz w:val="24"/>
        </w:rPr>
        <w:t>人。</w:t>
      </w:r>
    </w:p>
    <w:p>
      <w:pPr>
        <w:spacing w:line="360" w:lineRule="auto"/>
        <w:ind w:firstLine="480" w:firstLineChars="200"/>
        <w:rPr>
          <w:rFonts w:ascii="宋体" w:hAnsi="宋体"/>
          <w:sz w:val="24"/>
        </w:rPr>
      </w:pPr>
      <w:r>
        <w:rPr>
          <w:rFonts w:ascii="宋体" w:hAnsi="宋体"/>
          <w:sz w:val="24"/>
        </w:rPr>
        <w:t>矿山应对职工进行安全教育和培训，保证其具备必要的安全生产知识，熟悉有关的安全生产规章制度和安全操作规程，掌握本岗位的安全操作技能。未经安全生产教育和培训合格的，不应上岗作业；新进矿山的作业人员，应接受不小于40h的安全教育，经考试合格，方可上岗作业；所有生产作业人员，每年至少接受20h的在职安全教育；调换工种的人员，应进行新岗位安全操作的培训；采用新工艺、新技术、新设备、新材料时，应对有关人员进行专门培训；特种作业人员如挖掘机、汽车司机等，必须按照国家有关法律、法规的规定接受专门的安全培训，经考核合格，取得特种作业操作资格证书后，方可上岗作业；作业人员的安全教育培训情况和考核结果应记录存档。</w:t>
      </w:r>
    </w:p>
    <w:p>
      <w:pPr>
        <w:spacing w:line="360" w:lineRule="auto"/>
        <w:ind w:firstLine="480" w:firstLineChars="200"/>
        <w:rPr>
          <w:rFonts w:ascii="宋体" w:hAnsi="宋体"/>
          <w:sz w:val="24"/>
        </w:rPr>
      </w:pPr>
      <w:r>
        <w:rPr>
          <w:rFonts w:ascii="宋体" w:hAnsi="宋体"/>
          <w:sz w:val="24"/>
        </w:rPr>
        <w:t>矿山主要负责人和安全生产管理人员安全资格培训时间不得少于48学时，且每年再培训时间不得少于16学时。</w:t>
      </w:r>
    </w:p>
    <w:p>
      <w:pPr>
        <w:spacing w:line="360" w:lineRule="auto"/>
        <w:ind w:firstLine="482" w:firstLineChars="200"/>
        <w:rPr>
          <w:rFonts w:ascii="宋体" w:hAnsi="宋体"/>
          <w:b/>
          <w:bCs/>
          <w:sz w:val="24"/>
        </w:rPr>
      </w:pPr>
      <w:bookmarkStart w:id="276" w:name="_Toc219635654"/>
      <w:bookmarkStart w:id="277" w:name="_Toc213057618"/>
      <w:bookmarkStart w:id="278" w:name="_Toc364440468"/>
      <w:bookmarkStart w:id="279" w:name="_Toc235325081"/>
      <w:bookmarkStart w:id="280" w:name="_Toc235429141"/>
      <w:bookmarkStart w:id="281" w:name="_Toc456610973"/>
      <w:bookmarkStart w:id="282" w:name="_Toc18762"/>
      <w:bookmarkStart w:id="283" w:name="_Toc249115617"/>
      <w:r>
        <w:rPr>
          <w:rFonts w:hint="eastAsia" w:ascii="宋体" w:hAnsi="宋体"/>
          <w:b/>
          <w:bCs/>
          <w:sz w:val="24"/>
        </w:rPr>
        <w:t>4、安全</w:t>
      </w:r>
      <w:bookmarkEnd w:id="276"/>
      <w:bookmarkEnd w:id="277"/>
      <w:r>
        <w:rPr>
          <w:rFonts w:hint="eastAsia" w:ascii="宋体" w:hAnsi="宋体"/>
          <w:b/>
          <w:bCs/>
          <w:sz w:val="24"/>
        </w:rPr>
        <w:t>费用的提取</w:t>
      </w:r>
      <w:bookmarkEnd w:id="278"/>
      <w:bookmarkEnd w:id="279"/>
      <w:bookmarkEnd w:id="280"/>
      <w:bookmarkEnd w:id="281"/>
      <w:bookmarkEnd w:id="282"/>
      <w:bookmarkEnd w:id="283"/>
    </w:p>
    <w:p>
      <w:pPr>
        <w:pStyle w:val="78"/>
        <w:spacing w:line="360" w:lineRule="auto"/>
        <w:ind w:firstLine="480" w:firstLineChars="200"/>
        <w:rPr>
          <w:rFonts w:hAnsi="宋体"/>
          <w:sz w:val="24"/>
          <w:szCs w:val="24"/>
        </w:rPr>
      </w:pPr>
      <w:r>
        <w:rPr>
          <w:rFonts w:hint="eastAsia" w:hAnsi="宋体"/>
          <w:sz w:val="24"/>
          <w:szCs w:val="24"/>
        </w:rPr>
        <w:t>本项目为露天开采，设计选择了较为成熟的生产工艺和总体布局，主要危害在于 运输安全、采场边坡的稳定等方面，只要在生产过程中采取必要的安全技术措施和安全管理措施，能够符合劳动安全卫生的总体要求。</w:t>
      </w:r>
    </w:p>
    <w:p>
      <w:pPr>
        <w:pStyle w:val="78"/>
        <w:spacing w:line="360" w:lineRule="auto"/>
        <w:ind w:firstLine="480" w:firstLineChars="200"/>
        <w:rPr>
          <w:rFonts w:hAnsi="宋体"/>
          <w:sz w:val="24"/>
          <w:szCs w:val="24"/>
        </w:rPr>
      </w:pPr>
      <w:r>
        <w:rPr>
          <w:rFonts w:hint="eastAsia" w:hAnsi="宋体"/>
          <w:sz w:val="24"/>
          <w:szCs w:val="24"/>
        </w:rPr>
        <w:t>严格按照《中华人民共和国矿山安全法》第7条规定，矿山建设工程的安全设施 必须与主体工程同时设计、同时施工、同时投入生产与使用</w:t>
      </w:r>
      <w:r>
        <w:rPr>
          <w:rFonts w:hAnsi="宋体"/>
          <w:sz w:val="24"/>
          <w:szCs w:val="24"/>
        </w:rPr>
        <w:t>本项目工程生产环节的安全卫生设施应有专项费用</w:t>
      </w:r>
      <w:r>
        <w:rPr>
          <w:rFonts w:hint="eastAsia" w:hAnsi="宋体"/>
          <w:sz w:val="24"/>
          <w:szCs w:val="24"/>
        </w:rPr>
        <w:t>。</w:t>
      </w:r>
      <w:r>
        <w:rPr>
          <w:rFonts w:hAnsi="宋体"/>
          <w:sz w:val="24"/>
          <w:szCs w:val="24"/>
        </w:rPr>
        <w:t>根据《安全生产法》及《企业安全生产费用提取和使用管理办法》（财政部、安全生产监管总局联合制定，财企【2012】16号），提取原则如下：</w:t>
      </w:r>
    </w:p>
    <w:p>
      <w:pPr>
        <w:spacing w:line="360" w:lineRule="auto"/>
        <w:ind w:firstLine="480" w:firstLineChars="200"/>
        <w:rPr>
          <w:rFonts w:ascii="宋体" w:hAnsi="宋体"/>
          <w:sz w:val="24"/>
        </w:rPr>
      </w:pPr>
      <w:r>
        <w:rPr>
          <w:rFonts w:hint="eastAsia" w:ascii="宋体" w:hAnsi="宋体"/>
          <w:sz w:val="24"/>
        </w:rPr>
        <w:t>（1）企业按照规定标准提取安全费用在成本中列支，专门用于完善和改进企业或者项目安全生产条件的资金。</w:t>
      </w:r>
    </w:p>
    <w:p>
      <w:pPr>
        <w:spacing w:line="360" w:lineRule="auto"/>
        <w:ind w:firstLine="480" w:firstLineChars="200"/>
        <w:rPr>
          <w:rFonts w:ascii="宋体" w:hAnsi="宋体"/>
          <w:sz w:val="24"/>
        </w:rPr>
      </w:pPr>
      <w:r>
        <w:rPr>
          <w:rFonts w:hint="eastAsia" w:ascii="宋体" w:hAnsi="宋体"/>
          <w:sz w:val="24"/>
        </w:rPr>
        <w:t>（2）安全费用按照“企业提取、政府监管、确保需要、规范使用”的原则进行管理。</w:t>
      </w:r>
    </w:p>
    <w:p>
      <w:pPr>
        <w:spacing w:line="360" w:lineRule="auto"/>
        <w:ind w:firstLine="480" w:firstLineChars="200"/>
        <w:rPr>
          <w:rFonts w:ascii="宋体" w:hAnsi="宋体"/>
          <w:sz w:val="24"/>
        </w:rPr>
      </w:pPr>
      <w:r>
        <w:rPr>
          <w:rFonts w:hint="eastAsia" w:ascii="宋体" w:hAnsi="宋体"/>
          <w:sz w:val="24"/>
        </w:rPr>
        <w:t>（3）本矿山企业依据开采的原矿产量按年提取，提取标准为1元/m</w:t>
      </w:r>
      <w:r>
        <w:rPr>
          <w:rFonts w:hint="eastAsia" w:ascii="宋体" w:hAnsi="宋体"/>
          <w:sz w:val="24"/>
          <w:vertAlign w:val="superscript"/>
        </w:rPr>
        <w:t>3</w:t>
      </w:r>
      <w:r>
        <w:rPr>
          <w:rFonts w:hint="eastAsia" w:ascii="宋体" w:hAnsi="宋体"/>
          <w:sz w:val="24"/>
        </w:rPr>
        <w:t>，年提取3万元。</w:t>
      </w:r>
    </w:p>
    <w:p>
      <w:pPr>
        <w:spacing w:line="360" w:lineRule="auto"/>
        <w:ind w:firstLine="480" w:firstLineChars="200"/>
        <w:rPr>
          <w:rFonts w:ascii="宋体" w:hAnsi="宋体"/>
          <w:bCs/>
          <w:sz w:val="24"/>
        </w:rPr>
      </w:pPr>
      <w:r>
        <w:rPr>
          <w:rFonts w:hint="eastAsia" w:ascii="宋体" w:hAnsi="宋体"/>
          <w:sz w:val="24"/>
        </w:rPr>
        <w:t>（4）安全费用应当按照以下规定范围使用：</w:t>
      </w:r>
    </w:p>
    <w:p>
      <w:pPr>
        <w:numPr>
          <w:ilvl w:val="0"/>
          <w:numId w:val="14"/>
        </w:numPr>
        <w:spacing w:line="360" w:lineRule="auto"/>
        <w:ind w:firstLine="480" w:firstLineChars="200"/>
        <w:rPr>
          <w:rFonts w:ascii="宋体" w:hAnsi="宋体"/>
          <w:sz w:val="24"/>
        </w:rPr>
      </w:pPr>
      <w:r>
        <w:rPr>
          <w:rFonts w:ascii="宋体" w:hAnsi="宋体"/>
          <w:sz w:val="24"/>
        </w:rPr>
        <w:t>完善、改造和维护安全防护设施设备和</w:t>
      </w:r>
      <w:r>
        <w:fldChar w:fldCharType="begin"/>
      </w:r>
      <w:r>
        <w:instrText xml:space="preserve"> HYPERLINK "http://baike.baidu.com/view/2258012.htm" \t "_blank" </w:instrText>
      </w:r>
      <w:r>
        <w:fldChar w:fldCharType="separate"/>
      </w:r>
      <w:r>
        <w:rPr>
          <w:rFonts w:ascii="宋体" w:hAnsi="宋体"/>
          <w:sz w:val="24"/>
        </w:rPr>
        <w:t>重大安全隐患</w:t>
      </w:r>
      <w:r>
        <w:rPr>
          <w:rFonts w:ascii="宋体" w:hAnsi="宋体"/>
          <w:sz w:val="24"/>
        </w:rPr>
        <w:fldChar w:fldCharType="end"/>
      </w:r>
      <w:r>
        <w:rPr>
          <w:rFonts w:ascii="宋体" w:hAnsi="宋体"/>
          <w:sz w:val="24"/>
        </w:rPr>
        <w:t>治理支出，包括矿山综合防尘、防灭火、防治水、露天矿边坡治理等支出。</w:t>
      </w:r>
    </w:p>
    <w:p>
      <w:pPr>
        <w:numPr>
          <w:ilvl w:val="0"/>
          <w:numId w:val="14"/>
        </w:numPr>
        <w:spacing w:line="360" w:lineRule="auto"/>
        <w:ind w:firstLine="480" w:firstLineChars="200"/>
        <w:rPr>
          <w:rFonts w:ascii="宋体" w:hAnsi="宋体"/>
          <w:sz w:val="24"/>
        </w:rPr>
      </w:pPr>
      <w:r>
        <w:rPr>
          <w:rFonts w:ascii="宋体" w:hAnsi="宋体"/>
          <w:sz w:val="24"/>
        </w:rPr>
        <w:t>安全生产检查、评价（不包括新建、改建、扩建项目安全评价）、咨询、标准化建设支出。</w:t>
      </w:r>
    </w:p>
    <w:p>
      <w:pPr>
        <w:numPr>
          <w:ilvl w:val="0"/>
          <w:numId w:val="14"/>
        </w:numPr>
        <w:spacing w:line="360" w:lineRule="auto"/>
        <w:ind w:firstLine="480" w:firstLineChars="200"/>
        <w:rPr>
          <w:rFonts w:ascii="宋体" w:hAnsi="宋体"/>
          <w:sz w:val="24"/>
        </w:rPr>
      </w:pPr>
      <w:r>
        <w:rPr>
          <w:rFonts w:ascii="宋体" w:hAnsi="宋体"/>
          <w:sz w:val="24"/>
        </w:rPr>
        <w:t>配备和更新现场作业人员安全防护用品支出。</w:t>
      </w:r>
    </w:p>
    <w:p>
      <w:pPr>
        <w:numPr>
          <w:ilvl w:val="0"/>
          <w:numId w:val="14"/>
        </w:numPr>
        <w:spacing w:line="360" w:lineRule="auto"/>
        <w:ind w:firstLine="480" w:firstLineChars="200"/>
        <w:rPr>
          <w:rFonts w:ascii="宋体" w:hAnsi="宋体"/>
          <w:sz w:val="24"/>
        </w:rPr>
      </w:pPr>
      <w:r>
        <w:rPr>
          <w:rFonts w:ascii="宋体" w:hAnsi="宋体"/>
          <w:sz w:val="24"/>
        </w:rPr>
        <w:t>安全生产宣传、教育、培训支出。</w:t>
      </w:r>
    </w:p>
    <w:p>
      <w:pPr>
        <w:numPr>
          <w:ilvl w:val="0"/>
          <w:numId w:val="14"/>
        </w:numPr>
        <w:spacing w:line="360" w:lineRule="auto"/>
        <w:ind w:firstLine="480" w:firstLineChars="200"/>
        <w:rPr>
          <w:rFonts w:ascii="宋体" w:hAnsi="宋体"/>
          <w:sz w:val="24"/>
        </w:rPr>
      </w:pPr>
      <w:r>
        <w:rPr>
          <w:rFonts w:ascii="宋体" w:hAnsi="宋体"/>
          <w:sz w:val="24"/>
        </w:rPr>
        <w:t>企业应当及时</w:t>
      </w:r>
      <w:r>
        <w:rPr>
          <w:rFonts w:ascii="宋体" w:hAnsi="宋体"/>
          <w:bCs/>
          <w:sz w:val="24"/>
        </w:rPr>
        <w:t>、足额提取安全费用，并按规定使用</w:t>
      </w:r>
      <w:r>
        <w:rPr>
          <w:rFonts w:hint="eastAsia" w:ascii="宋体" w:hAnsi="宋体"/>
          <w:sz w:val="24"/>
        </w:rPr>
        <w:t>。</w:t>
      </w:r>
    </w:p>
    <w:p>
      <w:pPr>
        <w:spacing w:line="360" w:lineRule="auto"/>
        <w:ind w:firstLine="482" w:firstLineChars="200"/>
        <w:rPr>
          <w:rFonts w:ascii="宋体" w:hAnsi="宋体"/>
          <w:b/>
          <w:bCs/>
          <w:sz w:val="24"/>
        </w:rPr>
      </w:pPr>
      <w:r>
        <w:rPr>
          <w:rFonts w:hint="eastAsia" w:ascii="宋体" w:hAnsi="宋体"/>
          <w:b/>
          <w:bCs/>
          <w:sz w:val="24"/>
        </w:rPr>
        <w:t>5、社会工伤保险</w:t>
      </w:r>
    </w:p>
    <w:p>
      <w:pPr>
        <w:spacing w:line="360" w:lineRule="auto"/>
        <w:ind w:left="420" w:leftChars="200"/>
        <w:rPr>
          <w:b/>
          <w:bCs/>
          <w:sz w:val="28"/>
          <w:szCs w:val="28"/>
        </w:rPr>
      </w:pPr>
      <w:r>
        <w:rPr>
          <w:rFonts w:hint="eastAsia" w:ascii="宋体" w:hAnsi="宋体"/>
          <w:sz w:val="24"/>
        </w:rPr>
        <w:t>依据《劳动法》、《安全生产法》，企业依法参加工伤保险和安全责任险，为所有的从业人员缴纳工伤保险费。</w:t>
      </w:r>
    </w:p>
    <w:p>
      <w:pPr>
        <w:numPr>
          <w:ilvl w:val="1"/>
          <w:numId w:val="2"/>
        </w:numPr>
        <w:spacing w:line="360" w:lineRule="auto"/>
        <w:outlineLvl w:val="1"/>
        <w:rPr>
          <w:rFonts w:ascii="宋体" w:hAnsi="宋体" w:cs="宋体"/>
          <w:b/>
          <w:bCs/>
          <w:color w:val="000000"/>
          <w:sz w:val="30"/>
          <w:szCs w:val="30"/>
        </w:rPr>
      </w:pPr>
      <w:bookmarkStart w:id="284" w:name="_Toc12720"/>
      <w:r>
        <w:rPr>
          <w:rFonts w:hint="eastAsia" w:ascii="宋体" w:hAnsi="宋体" w:cs="宋体"/>
          <w:b/>
          <w:bCs/>
          <w:color w:val="000000"/>
          <w:sz w:val="30"/>
          <w:szCs w:val="30"/>
        </w:rPr>
        <w:t>职业健康</w:t>
      </w:r>
      <w:bookmarkEnd w:id="284"/>
    </w:p>
    <w:p>
      <w:pPr>
        <w:numPr>
          <w:ilvl w:val="2"/>
          <w:numId w:val="2"/>
        </w:numPr>
        <w:spacing w:line="360" w:lineRule="auto"/>
        <w:outlineLvl w:val="2"/>
        <w:rPr>
          <w:rFonts w:ascii="宋体"/>
          <w:b/>
          <w:bCs/>
          <w:sz w:val="28"/>
          <w:szCs w:val="28"/>
        </w:rPr>
      </w:pPr>
      <w:r>
        <w:rPr>
          <w:rFonts w:hint="eastAsia" w:ascii="宋体"/>
          <w:b/>
          <w:bCs/>
          <w:sz w:val="28"/>
          <w:szCs w:val="28"/>
        </w:rPr>
        <w:t>职业病危害因素分析</w:t>
      </w:r>
    </w:p>
    <w:p>
      <w:pPr>
        <w:spacing w:line="360" w:lineRule="auto"/>
        <w:ind w:firstLine="480" w:firstLineChars="200"/>
        <w:rPr>
          <w:sz w:val="24"/>
        </w:rPr>
      </w:pPr>
      <w:r>
        <w:rPr>
          <w:rFonts w:hint="eastAsia"/>
          <w:sz w:val="24"/>
        </w:rPr>
        <w:t>生产过程中的主要职业病危害因素有矿石挖掘、采装和运输等各个环节产生的烟 尘、粉尘；切割电锯、挖掘机等机械设备运转时产生的噪音。</w:t>
      </w:r>
    </w:p>
    <w:p>
      <w:pPr>
        <w:numPr>
          <w:ilvl w:val="2"/>
          <w:numId w:val="2"/>
        </w:numPr>
        <w:spacing w:line="360" w:lineRule="auto"/>
        <w:outlineLvl w:val="2"/>
        <w:rPr>
          <w:rFonts w:ascii="宋体"/>
          <w:b/>
          <w:bCs/>
          <w:sz w:val="28"/>
          <w:szCs w:val="28"/>
        </w:rPr>
      </w:pPr>
      <w:r>
        <w:rPr>
          <w:rFonts w:hint="eastAsia" w:ascii="宋体"/>
          <w:b/>
          <w:bCs/>
          <w:sz w:val="28"/>
          <w:szCs w:val="28"/>
        </w:rPr>
        <w:t>职业病危害因素的防治措施</w:t>
      </w:r>
    </w:p>
    <w:p>
      <w:pPr>
        <w:spacing w:line="360" w:lineRule="auto"/>
        <w:ind w:firstLine="482" w:firstLineChars="200"/>
        <w:rPr>
          <w:rFonts w:ascii="宋体" w:hAnsi="宋体"/>
          <w:b/>
          <w:bCs/>
          <w:sz w:val="24"/>
        </w:rPr>
      </w:pPr>
      <w:r>
        <w:rPr>
          <w:rFonts w:hint="eastAsia" w:ascii="宋体" w:hAnsi="宋体"/>
          <w:b/>
          <w:bCs/>
          <w:sz w:val="24"/>
        </w:rPr>
        <w:t>1、防尘</w:t>
      </w:r>
    </w:p>
    <w:p>
      <w:pPr>
        <w:spacing w:line="360" w:lineRule="auto"/>
        <w:ind w:left="400"/>
        <w:rPr>
          <w:sz w:val="24"/>
        </w:rPr>
      </w:pPr>
      <w:r>
        <w:rPr>
          <w:rFonts w:hint="eastAsia"/>
          <w:sz w:val="24"/>
        </w:rPr>
        <w:t>（1）道路采取洒水降尘措施，并经常进行清扫，减少二次扬尘。</w:t>
      </w:r>
    </w:p>
    <w:p>
      <w:pPr>
        <w:spacing w:line="360" w:lineRule="auto"/>
        <w:ind w:left="400"/>
        <w:rPr>
          <w:sz w:val="24"/>
        </w:rPr>
      </w:pPr>
      <w:r>
        <w:rPr>
          <w:rFonts w:hint="eastAsia"/>
          <w:sz w:val="24"/>
        </w:rPr>
        <w:t>（2）作业人员工作时必须佩带防尘口罩等个人防护用品。</w:t>
      </w:r>
    </w:p>
    <w:p>
      <w:pPr>
        <w:spacing w:line="360" w:lineRule="auto"/>
        <w:ind w:firstLine="482" w:firstLineChars="200"/>
        <w:rPr>
          <w:rFonts w:ascii="宋体" w:hAnsi="宋体"/>
          <w:b/>
          <w:bCs/>
          <w:sz w:val="24"/>
        </w:rPr>
      </w:pPr>
      <w:r>
        <w:rPr>
          <w:rFonts w:hint="eastAsia" w:ascii="宋体" w:hAnsi="宋体"/>
          <w:b/>
          <w:bCs/>
          <w:sz w:val="24"/>
        </w:rPr>
        <w:t>2、防噪声</w:t>
      </w:r>
    </w:p>
    <w:p>
      <w:pPr>
        <w:spacing w:line="360" w:lineRule="auto"/>
        <w:ind w:firstLine="480" w:firstLineChars="200"/>
        <w:rPr>
          <w:rFonts w:ascii="宋体" w:hAnsi="宋体"/>
          <w:sz w:val="24"/>
        </w:rPr>
      </w:pPr>
      <w:r>
        <w:rPr>
          <w:rFonts w:hint="eastAsia" w:ascii="宋体" w:hAnsi="宋体"/>
          <w:sz w:val="24"/>
        </w:rPr>
        <w:t>（1）设备选型时首先尽可能选择噪音低的设备。</w:t>
      </w:r>
    </w:p>
    <w:p>
      <w:pPr>
        <w:spacing w:line="360" w:lineRule="auto"/>
        <w:ind w:firstLine="480" w:firstLineChars="200"/>
        <w:rPr>
          <w:rFonts w:ascii="宋体" w:hAnsi="宋体"/>
          <w:sz w:val="24"/>
        </w:rPr>
      </w:pPr>
      <w:r>
        <w:rPr>
          <w:rFonts w:hint="eastAsia" w:ascii="宋体" w:hAnsi="宋体"/>
          <w:sz w:val="24"/>
        </w:rPr>
        <w:t>（2）对设备的高噪音部位釆取加装消音罩及对高噪音的设备间釆取综合隔音等措施。</w:t>
      </w:r>
    </w:p>
    <w:p>
      <w:pPr>
        <w:spacing w:line="360" w:lineRule="auto"/>
        <w:ind w:firstLine="480" w:firstLineChars="200"/>
        <w:rPr>
          <w:rFonts w:ascii="宋体" w:hAnsi="宋体"/>
          <w:sz w:val="24"/>
        </w:rPr>
      </w:pPr>
      <w:r>
        <w:rPr>
          <w:rFonts w:hint="eastAsia" w:ascii="宋体" w:hAnsi="宋体"/>
          <w:sz w:val="24"/>
        </w:rPr>
        <w:t>（3）为高噪音区作业人员配发防噪声耳塞等个人防护用品等。</w:t>
      </w:r>
    </w:p>
    <w:p>
      <w:pPr>
        <w:jc w:val="center"/>
        <w:rPr>
          <w:rFonts w:ascii="宋体" w:hAnsi="宋体" w:cs="宋体"/>
          <w:b/>
          <w:bCs/>
        </w:rPr>
      </w:pPr>
      <w:r>
        <w:rPr>
          <w:rFonts w:hint="eastAsia" w:ascii="宋体" w:hAnsi="宋体" w:cs="宋体"/>
          <w:b/>
          <w:bCs/>
        </w:rPr>
        <w:t>表9-3  个人防护用品配备表</w:t>
      </w:r>
    </w:p>
    <w:tbl>
      <w:tblPr>
        <w:tblStyle w:val="59"/>
        <w:tblW w:w="89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280"/>
        <w:gridCol w:w="4049"/>
        <w:gridCol w:w="180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vAlign w:val="center"/>
          </w:tcPr>
          <w:p>
            <w:pPr>
              <w:jc w:val="center"/>
            </w:pPr>
            <w:r>
              <w:rPr>
                <w:rFonts w:hint="eastAsia"/>
              </w:rPr>
              <w:t>序号</w:t>
            </w:r>
          </w:p>
        </w:tc>
        <w:tc>
          <w:tcPr>
            <w:tcW w:w="1280" w:type="dxa"/>
            <w:vAlign w:val="center"/>
          </w:tcPr>
          <w:p>
            <w:pPr>
              <w:jc w:val="center"/>
            </w:pPr>
            <w:r>
              <w:rPr>
                <w:rFonts w:hint="eastAsia"/>
              </w:rPr>
              <w:t>种类</w:t>
            </w:r>
          </w:p>
        </w:tc>
        <w:tc>
          <w:tcPr>
            <w:tcW w:w="4049" w:type="dxa"/>
            <w:vAlign w:val="center"/>
          </w:tcPr>
          <w:p>
            <w:pPr>
              <w:jc w:val="center"/>
            </w:pPr>
            <w:r>
              <w:rPr>
                <w:rFonts w:hint="eastAsia"/>
              </w:rPr>
              <w:t>用途</w:t>
            </w:r>
          </w:p>
        </w:tc>
        <w:tc>
          <w:tcPr>
            <w:tcW w:w="1805" w:type="dxa"/>
            <w:vAlign w:val="center"/>
          </w:tcPr>
          <w:p>
            <w:pPr>
              <w:jc w:val="center"/>
            </w:pPr>
            <w:r>
              <w:rPr>
                <w:rFonts w:hint="eastAsia"/>
              </w:rPr>
              <w:t>配备（数量）</w:t>
            </w:r>
          </w:p>
        </w:tc>
        <w:tc>
          <w:tcPr>
            <w:tcW w:w="1101" w:type="dxa"/>
            <w:vAlign w:val="center"/>
          </w:tcPr>
          <w:p>
            <w:pPr>
              <w:jc w:val="center"/>
            </w:pPr>
            <w:r>
              <w:rPr>
                <w:rFonts w:hint="eastAsia"/>
              </w:rPr>
              <w:t>时间（月）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vAlign w:val="center"/>
          </w:tcPr>
          <w:p>
            <w:pPr>
              <w:jc w:val="center"/>
            </w:pPr>
            <w:r>
              <w:rPr>
                <w:rFonts w:hint="eastAsia"/>
              </w:rPr>
              <w:t>1</w:t>
            </w:r>
          </w:p>
        </w:tc>
        <w:tc>
          <w:tcPr>
            <w:tcW w:w="1280" w:type="dxa"/>
            <w:vAlign w:val="center"/>
          </w:tcPr>
          <w:p>
            <w:pPr>
              <w:jc w:val="center"/>
            </w:pPr>
            <w:r>
              <w:rPr>
                <w:rFonts w:hint="eastAsia"/>
              </w:rPr>
              <w:t>安全帽</w:t>
            </w:r>
          </w:p>
        </w:tc>
        <w:tc>
          <w:tcPr>
            <w:tcW w:w="4049" w:type="dxa"/>
            <w:vAlign w:val="center"/>
          </w:tcPr>
          <w:p>
            <w:pPr>
              <w:jc w:val="center"/>
            </w:pPr>
            <w:r>
              <w:rPr>
                <w:rFonts w:hint="eastAsia"/>
              </w:rPr>
              <w:t>用于保护头部，防撞击、挤压伤害的护具</w:t>
            </w:r>
          </w:p>
        </w:tc>
        <w:tc>
          <w:tcPr>
            <w:tcW w:w="1805" w:type="dxa"/>
            <w:vAlign w:val="center"/>
          </w:tcPr>
          <w:p>
            <w:pPr>
              <w:jc w:val="center"/>
            </w:pPr>
            <w:r>
              <w:rPr>
                <w:rFonts w:hint="eastAsia"/>
              </w:rPr>
              <w:t>全员配备（9）</w:t>
            </w:r>
          </w:p>
        </w:tc>
        <w:tc>
          <w:tcPr>
            <w:tcW w:w="1101"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vAlign w:val="center"/>
          </w:tcPr>
          <w:p>
            <w:pPr>
              <w:jc w:val="center"/>
            </w:pPr>
            <w:r>
              <w:rPr>
                <w:rFonts w:hint="eastAsia"/>
              </w:rPr>
              <w:t>2</w:t>
            </w:r>
          </w:p>
        </w:tc>
        <w:tc>
          <w:tcPr>
            <w:tcW w:w="1280" w:type="dxa"/>
            <w:vAlign w:val="center"/>
          </w:tcPr>
          <w:p>
            <w:pPr>
              <w:jc w:val="center"/>
            </w:pPr>
            <w:r>
              <w:rPr>
                <w:rFonts w:hint="eastAsia"/>
              </w:rPr>
              <w:t>防尘口罩</w:t>
            </w:r>
          </w:p>
        </w:tc>
        <w:tc>
          <w:tcPr>
            <w:tcW w:w="4049" w:type="dxa"/>
            <w:vAlign w:val="center"/>
          </w:tcPr>
          <w:p>
            <w:pPr>
              <w:jc w:val="center"/>
            </w:pPr>
            <w:r>
              <w:rPr>
                <w:rFonts w:hint="eastAsia"/>
              </w:rPr>
              <w:t>防尘</w:t>
            </w:r>
          </w:p>
        </w:tc>
        <w:tc>
          <w:tcPr>
            <w:tcW w:w="1805" w:type="dxa"/>
            <w:vAlign w:val="center"/>
          </w:tcPr>
          <w:p>
            <w:pPr>
              <w:jc w:val="center"/>
            </w:pPr>
            <w:r>
              <w:rPr>
                <w:rFonts w:hint="eastAsia"/>
              </w:rPr>
              <w:t>全员配备（9）</w:t>
            </w:r>
          </w:p>
        </w:tc>
        <w:tc>
          <w:tcPr>
            <w:tcW w:w="1101" w:type="dxa"/>
            <w:vAlign w:val="center"/>
          </w:tcPr>
          <w:p>
            <w:pPr>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vAlign w:val="center"/>
          </w:tcPr>
          <w:p>
            <w:pPr>
              <w:jc w:val="center"/>
            </w:pPr>
            <w:r>
              <w:rPr>
                <w:rFonts w:hint="eastAsia"/>
              </w:rPr>
              <w:t>3</w:t>
            </w:r>
          </w:p>
        </w:tc>
        <w:tc>
          <w:tcPr>
            <w:tcW w:w="1280" w:type="dxa"/>
            <w:vAlign w:val="center"/>
          </w:tcPr>
          <w:p>
            <w:pPr>
              <w:jc w:val="center"/>
            </w:pPr>
            <w:r>
              <w:rPr>
                <w:rFonts w:hint="eastAsia"/>
              </w:rPr>
              <w:t>防尘护目镜</w:t>
            </w:r>
          </w:p>
        </w:tc>
        <w:tc>
          <w:tcPr>
            <w:tcW w:w="4049" w:type="dxa"/>
            <w:vAlign w:val="center"/>
          </w:tcPr>
          <w:p>
            <w:pPr>
              <w:jc w:val="center"/>
            </w:pPr>
            <w:r>
              <w:rPr>
                <w:rFonts w:hint="eastAsia"/>
              </w:rPr>
              <w:t>防尘</w:t>
            </w:r>
          </w:p>
        </w:tc>
        <w:tc>
          <w:tcPr>
            <w:tcW w:w="1805" w:type="dxa"/>
            <w:vAlign w:val="center"/>
          </w:tcPr>
          <w:p>
            <w:pPr>
              <w:jc w:val="center"/>
            </w:pPr>
            <w:r>
              <w:rPr>
                <w:rFonts w:hint="eastAsia"/>
              </w:rPr>
              <w:t>全员配备（9）</w:t>
            </w:r>
          </w:p>
        </w:tc>
        <w:tc>
          <w:tcPr>
            <w:tcW w:w="1101" w:type="dxa"/>
            <w:vAlign w:val="center"/>
          </w:tcPr>
          <w:p>
            <w:pPr>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vAlign w:val="center"/>
          </w:tcPr>
          <w:p>
            <w:pPr>
              <w:jc w:val="center"/>
            </w:pPr>
            <w:r>
              <w:rPr>
                <w:rFonts w:hint="eastAsia"/>
              </w:rPr>
              <w:t>4</w:t>
            </w:r>
          </w:p>
        </w:tc>
        <w:tc>
          <w:tcPr>
            <w:tcW w:w="1280" w:type="dxa"/>
            <w:vAlign w:val="center"/>
          </w:tcPr>
          <w:p>
            <w:pPr>
              <w:jc w:val="center"/>
            </w:pPr>
            <w:r>
              <w:rPr>
                <w:rFonts w:hint="eastAsia"/>
              </w:rPr>
              <w:t>耳塞</w:t>
            </w:r>
          </w:p>
        </w:tc>
        <w:tc>
          <w:tcPr>
            <w:tcW w:w="4049" w:type="dxa"/>
            <w:vAlign w:val="center"/>
          </w:tcPr>
          <w:p>
            <w:pPr>
              <w:jc w:val="center"/>
            </w:pPr>
            <w:r>
              <w:rPr>
                <w:rFonts w:hint="eastAsia"/>
              </w:rPr>
              <w:t>防噪音</w:t>
            </w:r>
          </w:p>
        </w:tc>
        <w:tc>
          <w:tcPr>
            <w:tcW w:w="1805" w:type="dxa"/>
            <w:vAlign w:val="center"/>
          </w:tcPr>
          <w:p>
            <w:pPr>
              <w:jc w:val="center"/>
            </w:pPr>
            <w:r>
              <w:rPr>
                <w:rFonts w:hint="eastAsia"/>
              </w:rPr>
              <w:t>筛分工人配备（6）</w:t>
            </w:r>
          </w:p>
        </w:tc>
        <w:tc>
          <w:tcPr>
            <w:tcW w:w="1101" w:type="dxa"/>
            <w:vAlign w:val="center"/>
          </w:tcPr>
          <w:p>
            <w:pPr>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vAlign w:val="center"/>
          </w:tcPr>
          <w:p>
            <w:pPr>
              <w:jc w:val="center"/>
            </w:pPr>
            <w:r>
              <w:rPr>
                <w:rFonts w:hint="eastAsia"/>
              </w:rPr>
              <w:t>5</w:t>
            </w:r>
          </w:p>
        </w:tc>
        <w:tc>
          <w:tcPr>
            <w:tcW w:w="1280" w:type="dxa"/>
            <w:vAlign w:val="center"/>
          </w:tcPr>
          <w:p>
            <w:pPr>
              <w:jc w:val="center"/>
            </w:pPr>
            <w:r>
              <w:rPr>
                <w:rFonts w:hint="eastAsia"/>
              </w:rPr>
              <w:t>防护鞋</w:t>
            </w:r>
          </w:p>
        </w:tc>
        <w:tc>
          <w:tcPr>
            <w:tcW w:w="4049" w:type="dxa"/>
            <w:vAlign w:val="center"/>
          </w:tcPr>
          <w:p>
            <w:pPr>
              <w:jc w:val="center"/>
            </w:pPr>
            <w:r>
              <w:rPr>
                <w:rFonts w:hint="eastAsia"/>
              </w:rPr>
              <w:t>防砸、防滑</w:t>
            </w:r>
          </w:p>
        </w:tc>
        <w:tc>
          <w:tcPr>
            <w:tcW w:w="1805" w:type="dxa"/>
            <w:vAlign w:val="center"/>
          </w:tcPr>
          <w:p>
            <w:pPr>
              <w:jc w:val="center"/>
            </w:pPr>
            <w:r>
              <w:rPr>
                <w:rFonts w:hint="eastAsia"/>
              </w:rPr>
              <w:t>全员配备（9）</w:t>
            </w:r>
          </w:p>
        </w:tc>
        <w:tc>
          <w:tcPr>
            <w:tcW w:w="1101" w:type="dxa"/>
            <w:vAlign w:val="center"/>
          </w:tcPr>
          <w:p>
            <w:pPr>
              <w:jc w:val="center"/>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vAlign w:val="center"/>
          </w:tcPr>
          <w:p>
            <w:pPr>
              <w:jc w:val="center"/>
            </w:pPr>
            <w:r>
              <w:rPr>
                <w:rFonts w:hint="eastAsia"/>
              </w:rPr>
              <w:t>6</w:t>
            </w:r>
          </w:p>
        </w:tc>
        <w:tc>
          <w:tcPr>
            <w:tcW w:w="1280" w:type="dxa"/>
            <w:vAlign w:val="center"/>
          </w:tcPr>
          <w:p>
            <w:pPr>
              <w:jc w:val="center"/>
            </w:pPr>
            <w:r>
              <w:rPr>
                <w:rFonts w:hint="eastAsia"/>
              </w:rPr>
              <w:t>防护手套</w:t>
            </w:r>
          </w:p>
        </w:tc>
        <w:tc>
          <w:tcPr>
            <w:tcW w:w="4049" w:type="dxa"/>
            <w:vAlign w:val="center"/>
          </w:tcPr>
          <w:p>
            <w:pPr>
              <w:jc w:val="center"/>
            </w:pPr>
            <w:r>
              <w:rPr>
                <w:rFonts w:hint="eastAsia"/>
              </w:rPr>
              <w:t>电工绝缘、普通棉线防护手套</w:t>
            </w:r>
          </w:p>
        </w:tc>
        <w:tc>
          <w:tcPr>
            <w:tcW w:w="1805" w:type="dxa"/>
            <w:vAlign w:val="center"/>
          </w:tcPr>
          <w:p>
            <w:pPr>
              <w:jc w:val="center"/>
            </w:pPr>
            <w:r>
              <w:rPr>
                <w:rFonts w:hint="eastAsia"/>
              </w:rPr>
              <w:t>全员配备（9）</w:t>
            </w:r>
          </w:p>
        </w:tc>
        <w:tc>
          <w:tcPr>
            <w:tcW w:w="1101" w:type="dxa"/>
            <w:vAlign w:val="center"/>
          </w:tcPr>
          <w:p>
            <w:pPr>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vAlign w:val="center"/>
          </w:tcPr>
          <w:p>
            <w:pPr>
              <w:jc w:val="center"/>
            </w:pPr>
            <w:r>
              <w:rPr>
                <w:rFonts w:hint="eastAsia"/>
              </w:rPr>
              <w:t>7</w:t>
            </w:r>
          </w:p>
        </w:tc>
        <w:tc>
          <w:tcPr>
            <w:tcW w:w="1280" w:type="dxa"/>
            <w:vAlign w:val="center"/>
          </w:tcPr>
          <w:p>
            <w:pPr>
              <w:jc w:val="center"/>
            </w:pPr>
            <w:r>
              <w:rPr>
                <w:rFonts w:hint="eastAsia"/>
              </w:rPr>
              <w:t>防护服</w:t>
            </w:r>
          </w:p>
        </w:tc>
        <w:tc>
          <w:tcPr>
            <w:tcW w:w="4049" w:type="dxa"/>
            <w:vAlign w:val="center"/>
          </w:tcPr>
          <w:p>
            <w:pPr>
              <w:jc w:val="center"/>
            </w:pPr>
            <w:r>
              <w:rPr>
                <w:rFonts w:hint="eastAsia"/>
              </w:rPr>
              <w:t>一般作业服</w:t>
            </w:r>
          </w:p>
        </w:tc>
        <w:tc>
          <w:tcPr>
            <w:tcW w:w="1805" w:type="dxa"/>
            <w:vAlign w:val="center"/>
          </w:tcPr>
          <w:p>
            <w:pPr>
              <w:jc w:val="center"/>
            </w:pPr>
            <w:r>
              <w:rPr>
                <w:rFonts w:hint="eastAsia"/>
              </w:rPr>
              <w:t>全员配备（9）</w:t>
            </w:r>
          </w:p>
        </w:tc>
        <w:tc>
          <w:tcPr>
            <w:tcW w:w="1101" w:type="dxa"/>
            <w:vAlign w:val="center"/>
          </w:tcPr>
          <w:p>
            <w:pPr>
              <w:jc w:val="center"/>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vAlign w:val="center"/>
          </w:tcPr>
          <w:p>
            <w:pPr>
              <w:jc w:val="center"/>
            </w:pPr>
            <w:r>
              <w:rPr>
                <w:rFonts w:hint="eastAsia"/>
              </w:rPr>
              <w:t>8</w:t>
            </w:r>
          </w:p>
        </w:tc>
        <w:tc>
          <w:tcPr>
            <w:tcW w:w="1280" w:type="dxa"/>
            <w:vAlign w:val="center"/>
          </w:tcPr>
          <w:p>
            <w:pPr>
              <w:jc w:val="center"/>
            </w:pPr>
            <w:r>
              <w:rPr>
                <w:rFonts w:hint="eastAsia"/>
              </w:rPr>
              <w:t>防坠落具</w:t>
            </w:r>
          </w:p>
        </w:tc>
        <w:tc>
          <w:tcPr>
            <w:tcW w:w="4049" w:type="dxa"/>
            <w:vAlign w:val="center"/>
          </w:tcPr>
          <w:p>
            <w:pPr>
              <w:jc w:val="center"/>
            </w:pPr>
            <w:r>
              <w:rPr>
                <w:rFonts w:hint="eastAsia"/>
              </w:rPr>
              <w:t>安全带、安全绳</w:t>
            </w:r>
          </w:p>
        </w:tc>
        <w:tc>
          <w:tcPr>
            <w:tcW w:w="1805" w:type="dxa"/>
            <w:vAlign w:val="center"/>
          </w:tcPr>
          <w:p>
            <w:pPr>
              <w:jc w:val="center"/>
            </w:pPr>
            <w:r>
              <w:rPr>
                <w:rFonts w:hint="eastAsia"/>
              </w:rPr>
              <w:t>采矿工人配备（6）</w:t>
            </w:r>
          </w:p>
        </w:tc>
        <w:tc>
          <w:tcPr>
            <w:tcW w:w="1101" w:type="dxa"/>
            <w:vAlign w:val="center"/>
          </w:tcPr>
          <w:p>
            <w:pPr>
              <w:jc w:val="center"/>
            </w:pPr>
            <w:r>
              <w:rPr>
                <w:rFonts w:hint="eastAsia"/>
              </w:rPr>
              <w:t>3</w:t>
            </w:r>
          </w:p>
        </w:tc>
      </w:tr>
    </w:tbl>
    <w:p/>
    <w:p>
      <w:pPr>
        <w:numPr>
          <w:ilvl w:val="2"/>
          <w:numId w:val="2"/>
        </w:numPr>
        <w:spacing w:line="360" w:lineRule="auto"/>
        <w:outlineLvl w:val="2"/>
        <w:rPr>
          <w:rFonts w:ascii="宋体"/>
          <w:b/>
          <w:bCs/>
          <w:sz w:val="28"/>
          <w:szCs w:val="28"/>
        </w:rPr>
      </w:pPr>
      <w:r>
        <w:rPr>
          <w:rFonts w:hint="eastAsia" w:ascii="宋体"/>
          <w:b/>
          <w:bCs/>
          <w:sz w:val="28"/>
          <w:szCs w:val="28"/>
        </w:rPr>
        <w:t>职业健康管理</w:t>
      </w:r>
    </w:p>
    <w:p>
      <w:pPr>
        <w:spacing w:line="360" w:lineRule="auto"/>
        <w:rPr>
          <w:rFonts w:ascii="宋体" w:hAnsi="宋体"/>
          <w:sz w:val="24"/>
        </w:rPr>
      </w:pPr>
      <w:r>
        <w:rPr>
          <w:rFonts w:hint="eastAsia" w:ascii="宋体" w:hAnsi="宋体"/>
          <w:sz w:val="24"/>
          <w:lang w:val="zh-TW"/>
        </w:rPr>
        <w:t>（</w:t>
      </w:r>
      <w:r>
        <w:rPr>
          <w:rFonts w:hint="eastAsia" w:ascii="宋体" w:hAnsi="宋体"/>
          <w:sz w:val="24"/>
        </w:rPr>
        <w:t>1</w:t>
      </w:r>
      <w:r>
        <w:rPr>
          <w:rFonts w:hint="eastAsia" w:ascii="宋体" w:hAnsi="宋体"/>
          <w:sz w:val="24"/>
          <w:lang w:val="zh-TW"/>
        </w:rPr>
        <w:t>）工人入矿前，必须经过健康检查，不适合从事矿山作业者不得录用。</w:t>
      </w:r>
    </w:p>
    <w:p>
      <w:pPr>
        <w:spacing w:line="360" w:lineRule="auto"/>
        <w:rPr>
          <w:rFonts w:ascii="宋体" w:hAnsi="宋体"/>
          <w:sz w:val="24"/>
        </w:rPr>
      </w:pPr>
      <w:r>
        <w:rPr>
          <w:rFonts w:hint="eastAsia" w:ascii="宋体" w:hAnsi="宋体"/>
          <w:sz w:val="24"/>
        </w:rPr>
        <w:t>（2）采矿工作人员，每年必须体检一次，并建立员工健康档案，防止尘肺职业病。</w:t>
      </w:r>
    </w:p>
    <w:p>
      <w:pPr>
        <w:spacing w:line="360" w:lineRule="auto"/>
        <w:rPr>
          <w:rFonts w:ascii="宋体" w:hAnsi="宋体"/>
          <w:sz w:val="24"/>
        </w:rPr>
      </w:pPr>
      <w:r>
        <w:rPr>
          <w:rFonts w:hint="eastAsia" w:ascii="宋体" w:hAnsi="宋体"/>
          <w:sz w:val="24"/>
        </w:rPr>
        <w:t>（3）对矿山职工应定期组织体检，发现不适应其所从事的岗位或工种的应及时调离。</w:t>
      </w:r>
    </w:p>
    <w:p>
      <w:pPr>
        <w:spacing w:line="360" w:lineRule="auto"/>
        <w:rPr>
          <w:rFonts w:ascii="宋体" w:hAnsi="宋体"/>
          <w:sz w:val="24"/>
        </w:rPr>
      </w:pPr>
      <w:r>
        <w:rPr>
          <w:rFonts w:hint="eastAsia" w:ascii="宋体" w:hAnsi="宋体"/>
          <w:sz w:val="24"/>
        </w:rPr>
        <w:t>（4）工人进矿、离矿时，都必须进行体检，以了解职工的健康状况。</w:t>
      </w:r>
    </w:p>
    <w:p>
      <w:pPr>
        <w:spacing w:line="360" w:lineRule="auto"/>
        <w:rPr>
          <w:rFonts w:ascii="宋体" w:hAnsi="宋体"/>
          <w:sz w:val="24"/>
        </w:rPr>
      </w:pPr>
      <w:r>
        <w:rPr>
          <w:rFonts w:hint="eastAsia" w:ascii="宋体" w:hAnsi="宋体"/>
          <w:sz w:val="24"/>
        </w:rPr>
        <w:t>（5）按照《作业场所职业健康监督管理暂行规定》国家安全生产监督管理局（第23号）的要求，矿山必须为从业人员提供符合国家标准、行业标准的职业危害防护用品，并督促、教育、指导从业人员按照使用规则正确佩戴、使用。</w:t>
      </w:r>
    </w:p>
    <w:p>
      <w:pPr>
        <w:spacing w:line="360" w:lineRule="auto"/>
        <w:rPr>
          <w:rFonts w:ascii="宋体" w:hAnsi="宋体"/>
          <w:sz w:val="24"/>
        </w:rPr>
      </w:pPr>
      <w:r>
        <w:rPr>
          <w:rFonts w:hint="eastAsia" w:ascii="宋体" w:hAnsi="宋体"/>
          <w:sz w:val="24"/>
        </w:rPr>
        <w:t>（6）凡在噪声80dB以上环境中作业人员，必须佩戴耳塞或隔声罩。</w:t>
      </w:r>
    </w:p>
    <w:p>
      <w:pPr>
        <w:spacing w:line="360" w:lineRule="auto"/>
        <w:rPr>
          <w:rFonts w:ascii="宋体" w:hAnsi="宋体"/>
          <w:sz w:val="24"/>
        </w:rPr>
      </w:pPr>
      <w:r>
        <w:rPr>
          <w:rFonts w:hint="eastAsia" w:ascii="宋体" w:hAnsi="宋体"/>
          <w:sz w:val="24"/>
          <w:lang w:val="zh-TW"/>
        </w:rPr>
        <w:t>（</w:t>
      </w:r>
      <w:r>
        <w:rPr>
          <w:rFonts w:hint="eastAsia" w:ascii="宋体" w:hAnsi="宋体"/>
          <w:sz w:val="24"/>
        </w:rPr>
        <w:t>7</w:t>
      </w:r>
      <w:r>
        <w:rPr>
          <w:rFonts w:hint="eastAsia" w:ascii="宋体" w:hAnsi="宋体"/>
          <w:sz w:val="24"/>
          <w:lang w:val="zh-TW"/>
        </w:rPr>
        <w:t>）对职业病患者，应及时调离和治疗。</w:t>
      </w:r>
    </w:p>
    <w:p>
      <w:pPr>
        <w:numPr>
          <w:ilvl w:val="2"/>
          <w:numId w:val="2"/>
        </w:numPr>
        <w:spacing w:line="360" w:lineRule="auto"/>
        <w:outlineLvl w:val="2"/>
        <w:rPr>
          <w:rFonts w:ascii="宋体"/>
          <w:b/>
          <w:bCs/>
          <w:sz w:val="28"/>
          <w:szCs w:val="28"/>
        </w:rPr>
      </w:pPr>
      <w:bookmarkStart w:id="285" w:name="_Toc85536336"/>
      <w:bookmarkStart w:id="286" w:name="_Toc85536459"/>
      <w:bookmarkStart w:id="287" w:name="_Toc85158869"/>
      <w:bookmarkStart w:id="288" w:name="_Toc91643012"/>
      <w:r>
        <w:rPr>
          <w:rFonts w:ascii="宋体"/>
          <w:b/>
          <w:bCs/>
          <w:sz w:val="28"/>
          <w:szCs w:val="28"/>
        </w:rPr>
        <w:t>其它措施</w:t>
      </w:r>
      <w:bookmarkEnd w:id="285"/>
      <w:bookmarkEnd w:id="286"/>
      <w:bookmarkEnd w:id="287"/>
      <w:bookmarkEnd w:id="288"/>
    </w:p>
    <w:p>
      <w:pPr>
        <w:pStyle w:val="78"/>
        <w:tabs>
          <w:tab w:val="left" w:pos="780"/>
          <w:tab w:val="left" w:pos="851"/>
        </w:tabs>
        <w:spacing w:line="360" w:lineRule="auto"/>
        <w:ind w:firstLine="0"/>
        <w:textAlignment w:val="baseline"/>
        <w:rPr>
          <w:rFonts w:hAnsi="宋体"/>
          <w:kern w:val="10"/>
          <w:sz w:val="24"/>
          <w:szCs w:val="24"/>
        </w:rPr>
      </w:pPr>
      <w:r>
        <w:rPr>
          <w:rFonts w:hint="eastAsia" w:hAnsi="宋体"/>
          <w:kern w:val="10"/>
          <w:sz w:val="24"/>
          <w:szCs w:val="24"/>
        </w:rPr>
        <w:t>（1）</w:t>
      </w:r>
      <w:r>
        <w:rPr>
          <w:rFonts w:hAnsi="宋体"/>
          <w:kern w:val="10"/>
          <w:sz w:val="24"/>
          <w:szCs w:val="24"/>
        </w:rPr>
        <w:t>根据工业企业卫生标准，饮用水水质必须符合生活用水标准；</w:t>
      </w:r>
    </w:p>
    <w:p>
      <w:pPr>
        <w:pStyle w:val="78"/>
        <w:tabs>
          <w:tab w:val="left" w:pos="780"/>
          <w:tab w:val="left" w:pos="851"/>
        </w:tabs>
        <w:spacing w:line="360" w:lineRule="auto"/>
        <w:ind w:firstLine="0"/>
        <w:textAlignment w:val="baseline"/>
        <w:rPr>
          <w:b/>
          <w:bCs/>
          <w:szCs w:val="28"/>
        </w:rPr>
      </w:pPr>
      <w:r>
        <w:rPr>
          <w:rFonts w:hint="eastAsia" w:hAnsi="宋体"/>
          <w:kern w:val="10"/>
          <w:sz w:val="24"/>
          <w:szCs w:val="24"/>
        </w:rPr>
        <w:t>（2）</w:t>
      </w:r>
      <w:r>
        <w:rPr>
          <w:rFonts w:hAnsi="宋体"/>
          <w:kern w:val="10"/>
          <w:sz w:val="24"/>
          <w:szCs w:val="24"/>
        </w:rPr>
        <w:t>矿山应配备电话或对讲机等。</w:t>
      </w:r>
    </w:p>
    <w:p>
      <w:pPr>
        <w:numPr>
          <w:ilvl w:val="2"/>
          <w:numId w:val="2"/>
        </w:numPr>
        <w:spacing w:line="360" w:lineRule="auto"/>
        <w:outlineLvl w:val="2"/>
        <w:rPr>
          <w:rFonts w:ascii="宋体"/>
          <w:b/>
          <w:bCs/>
          <w:sz w:val="28"/>
          <w:szCs w:val="28"/>
        </w:rPr>
      </w:pPr>
      <w:r>
        <w:rPr>
          <w:rFonts w:hint="eastAsia" w:ascii="宋体"/>
          <w:b/>
          <w:bCs/>
          <w:sz w:val="28"/>
          <w:szCs w:val="28"/>
        </w:rPr>
        <w:t>应急救援</w:t>
      </w:r>
    </w:p>
    <w:p>
      <w:pPr>
        <w:spacing w:line="360" w:lineRule="auto"/>
        <w:ind w:firstLine="480" w:firstLineChars="200"/>
        <w:rPr>
          <w:rFonts w:ascii="宋体" w:hAnsi="宋体"/>
          <w:sz w:val="24"/>
        </w:rPr>
      </w:pPr>
      <w:r>
        <w:rPr>
          <w:rFonts w:hint="eastAsia" w:ascii="宋体" w:hAnsi="宋体"/>
          <w:sz w:val="24"/>
        </w:rPr>
        <w:t>制定矿山生产安全事故应急救援预案，建立事故应急救援小组，成立安全领导小组，配备所需人员及必要的救护装备（包括设备和车辆），并与就近矿山应急救组织签定救护协议。</w:t>
      </w:r>
    </w:p>
    <w:p>
      <w:pPr>
        <w:spacing w:line="360" w:lineRule="auto"/>
        <w:ind w:firstLine="480" w:firstLineChars="200"/>
        <w:rPr>
          <w:rFonts w:ascii="宋体" w:hAnsi="宋体"/>
          <w:sz w:val="24"/>
        </w:rPr>
      </w:pPr>
      <w:r>
        <w:rPr>
          <w:rFonts w:hint="eastAsia" w:ascii="宋体" w:hAnsi="宋体"/>
          <w:sz w:val="24"/>
        </w:rPr>
        <w:t>矿山应急救援由矿长担任总指挥，安全员担任队长，技术员、挖掘机司机、装在司机各一人。应急救援队配备设配、器材见表9-4。</w:t>
      </w:r>
    </w:p>
    <w:p>
      <w:pPr>
        <w:jc w:val="center"/>
        <w:rPr>
          <w:rFonts w:ascii="宋体" w:hAnsi="宋体"/>
          <w:bCs/>
          <w:sz w:val="24"/>
        </w:rPr>
      </w:pPr>
      <w:r>
        <w:rPr>
          <w:rFonts w:hint="eastAsia"/>
          <w:b/>
          <w:bCs/>
        </w:rPr>
        <w:t>表9-4  现场应急救援设备、器材表</w:t>
      </w:r>
    </w:p>
    <w:tbl>
      <w:tblPr>
        <w:tblStyle w:val="59"/>
        <w:tblW w:w="87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2265"/>
        <w:gridCol w:w="2265"/>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5" w:type="dxa"/>
            <w:vAlign w:val="center"/>
          </w:tcPr>
          <w:p>
            <w:pPr>
              <w:jc w:val="center"/>
            </w:pPr>
            <w:r>
              <w:rPr>
                <w:rFonts w:hint="eastAsia"/>
              </w:rPr>
              <w:t>设备、器材名称</w:t>
            </w:r>
          </w:p>
        </w:tc>
        <w:tc>
          <w:tcPr>
            <w:tcW w:w="2265" w:type="dxa"/>
            <w:vAlign w:val="center"/>
          </w:tcPr>
          <w:p>
            <w:pPr>
              <w:jc w:val="center"/>
            </w:pPr>
            <w:r>
              <w:rPr>
                <w:rFonts w:hint="eastAsia"/>
              </w:rPr>
              <w:t>数量</w:t>
            </w:r>
          </w:p>
        </w:tc>
        <w:tc>
          <w:tcPr>
            <w:tcW w:w="2265" w:type="dxa"/>
            <w:vAlign w:val="center"/>
          </w:tcPr>
          <w:p>
            <w:pPr>
              <w:jc w:val="center"/>
            </w:pPr>
            <w:r>
              <w:rPr>
                <w:rFonts w:hint="eastAsia"/>
              </w:rPr>
              <w:t>设备、器材名称</w:t>
            </w:r>
          </w:p>
        </w:tc>
        <w:tc>
          <w:tcPr>
            <w:tcW w:w="1952" w:type="dxa"/>
            <w:vAlign w:val="center"/>
          </w:tcPr>
          <w:p>
            <w:pPr>
              <w:jc w:val="center"/>
            </w:pPr>
            <w:r>
              <w:rPr>
                <w:rFonts w:hint="eastAsi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5" w:type="dxa"/>
            <w:vAlign w:val="center"/>
          </w:tcPr>
          <w:p>
            <w:pPr>
              <w:jc w:val="center"/>
            </w:pPr>
            <w:r>
              <w:rPr>
                <w:rFonts w:hint="eastAsia"/>
              </w:rPr>
              <w:t>生活用车兼应急用车</w:t>
            </w:r>
          </w:p>
        </w:tc>
        <w:tc>
          <w:tcPr>
            <w:tcW w:w="2265" w:type="dxa"/>
            <w:vAlign w:val="center"/>
          </w:tcPr>
          <w:p>
            <w:pPr>
              <w:jc w:val="center"/>
            </w:pPr>
            <w:r>
              <w:rPr>
                <w:rFonts w:hint="eastAsia"/>
              </w:rPr>
              <w:t>1辆</w:t>
            </w:r>
          </w:p>
        </w:tc>
        <w:tc>
          <w:tcPr>
            <w:tcW w:w="2265" w:type="dxa"/>
            <w:vAlign w:val="center"/>
          </w:tcPr>
          <w:p>
            <w:pPr>
              <w:jc w:val="center"/>
            </w:pPr>
            <w:r>
              <w:rPr>
                <w:rFonts w:hint="eastAsia"/>
              </w:rPr>
              <w:t>钢管支架</w:t>
            </w:r>
          </w:p>
        </w:tc>
        <w:tc>
          <w:tcPr>
            <w:tcW w:w="1952" w:type="dxa"/>
            <w:vAlign w:val="center"/>
          </w:tcPr>
          <w:p>
            <w:pPr>
              <w:jc w:val="center"/>
            </w:pPr>
            <w:r>
              <w:rPr>
                <w:rFonts w:hint="eastAsi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5" w:type="dxa"/>
            <w:vAlign w:val="center"/>
          </w:tcPr>
          <w:p>
            <w:pPr>
              <w:jc w:val="center"/>
            </w:pPr>
            <w:r>
              <w:rPr>
                <w:rFonts w:hint="eastAsia"/>
              </w:rPr>
              <w:t>救护担架</w:t>
            </w:r>
          </w:p>
        </w:tc>
        <w:tc>
          <w:tcPr>
            <w:tcW w:w="2265" w:type="dxa"/>
            <w:vAlign w:val="center"/>
          </w:tcPr>
          <w:p>
            <w:pPr>
              <w:jc w:val="center"/>
            </w:pPr>
            <w:r>
              <w:rPr>
                <w:rFonts w:hint="eastAsia"/>
              </w:rPr>
              <w:t>1付</w:t>
            </w:r>
          </w:p>
        </w:tc>
        <w:tc>
          <w:tcPr>
            <w:tcW w:w="2265" w:type="dxa"/>
            <w:vAlign w:val="center"/>
          </w:tcPr>
          <w:p>
            <w:pPr>
              <w:jc w:val="center"/>
            </w:pPr>
            <w:r>
              <w:rPr>
                <w:rFonts w:hint="eastAsia"/>
              </w:rPr>
              <w:t>撬棍</w:t>
            </w:r>
          </w:p>
        </w:tc>
        <w:tc>
          <w:tcPr>
            <w:tcW w:w="1952" w:type="dxa"/>
            <w:vAlign w:val="center"/>
          </w:tcPr>
          <w:p>
            <w:pPr>
              <w:jc w:val="center"/>
            </w:pPr>
            <w:r>
              <w:rPr>
                <w:rFonts w:hint="eastAsia"/>
              </w:rPr>
              <w:t>3</w:t>
            </w:r>
            <w:r>
              <w:rPr>
                <w:rFonts w:hint="eastAsia" w:ascii="宋体" w:hAnsi="宋体" w:cs="宋体"/>
                <w:sz w:val="24"/>
              </w:rPr>
              <w:t>〜</w:t>
            </w:r>
            <w:r>
              <w:rPr>
                <w:rFonts w:hint="eastAsia"/>
              </w:rPr>
              <w:t>5条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5" w:type="dxa"/>
            <w:vAlign w:val="center"/>
          </w:tcPr>
          <w:p>
            <w:pPr>
              <w:jc w:val="center"/>
            </w:pPr>
            <w:r>
              <w:rPr>
                <w:rFonts w:hint="eastAsia"/>
              </w:rPr>
              <w:t>被褥</w:t>
            </w:r>
          </w:p>
        </w:tc>
        <w:tc>
          <w:tcPr>
            <w:tcW w:w="2265" w:type="dxa"/>
            <w:vAlign w:val="center"/>
          </w:tcPr>
          <w:p>
            <w:pPr>
              <w:jc w:val="center"/>
            </w:pPr>
            <w:r>
              <w:rPr>
                <w:rFonts w:hint="eastAsia"/>
              </w:rPr>
              <w:t>1套</w:t>
            </w:r>
          </w:p>
        </w:tc>
        <w:tc>
          <w:tcPr>
            <w:tcW w:w="2265" w:type="dxa"/>
            <w:vAlign w:val="center"/>
          </w:tcPr>
          <w:p>
            <w:pPr>
              <w:jc w:val="center"/>
            </w:pPr>
            <w:r>
              <w:rPr>
                <w:rFonts w:hint="eastAsia"/>
              </w:rPr>
              <w:t>干粉灭火器</w:t>
            </w:r>
          </w:p>
        </w:tc>
        <w:tc>
          <w:tcPr>
            <w:tcW w:w="1952" w:type="dxa"/>
            <w:vAlign w:val="center"/>
          </w:tcPr>
          <w:p>
            <w:pPr>
              <w:jc w:val="center"/>
            </w:pPr>
            <w:r>
              <w:rPr>
                <w:rFonts w:hint="eastAsia"/>
              </w:rPr>
              <w:t>5</w:t>
            </w:r>
            <w:r>
              <w:rPr>
                <w:rFonts w:hint="eastAsia" w:ascii="宋体" w:hAnsi="宋体" w:cs="宋体"/>
                <w:sz w:val="24"/>
              </w:rPr>
              <w:t>〜</w:t>
            </w:r>
            <w:r>
              <w:rPr>
                <w:rFonts w:hint="eastAsia"/>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5" w:type="dxa"/>
            <w:vAlign w:val="center"/>
          </w:tcPr>
          <w:p>
            <w:pPr>
              <w:jc w:val="center"/>
            </w:pPr>
            <w:r>
              <w:rPr>
                <w:rFonts w:hint="eastAsia"/>
              </w:rPr>
              <w:t>救护药箱</w:t>
            </w:r>
          </w:p>
        </w:tc>
        <w:tc>
          <w:tcPr>
            <w:tcW w:w="2265" w:type="dxa"/>
            <w:vAlign w:val="center"/>
          </w:tcPr>
          <w:p>
            <w:pPr>
              <w:jc w:val="center"/>
            </w:pPr>
            <w:r>
              <w:rPr>
                <w:rFonts w:hint="eastAsia"/>
              </w:rPr>
              <w:t>1个</w:t>
            </w:r>
          </w:p>
        </w:tc>
        <w:tc>
          <w:tcPr>
            <w:tcW w:w="2265" w:type="dxa"/>
            <w:vAlign w:val="center"/>
          </w:tcPr>
          <w:p>
            <w:pPr>
              <w:jc w:val="center"/>
            </w:pPr>
            <w:r>
              <w:rPr>
                <w:rFonts w:hint="eastAsia"/>
              </w:rPr>
              <w:t>千斤顶</w:t>
            </w:r>
          </w:p>
        </w:tc>
        <w:tc>
          <w:tcPr>
            <w:tcW w:w="1952" w:type="dxa"/>
            <w:vAlign w:val="center"/>
          </w:tcPr>
          <w:p>
            <w:pPr>
              <w:jc w:val="center"/>
            </w:pPr>
            <w:r>
              <w:rPr>
                <w:rFonts w:hint="eastAsia"/>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5" w:type="dxa"/>
            <w:vAlign w:val="center"/>
          </w:tcPr>
          <w:p>
            <w:pPr>
              <w:jc w:val="center"/>
            </w:pPr>
            <w:r>
              <w:rPr>
                <w:rFonts w:hint="eastAsia"/>
              </w:rPr>
              <w:t>安全带</w:t>
            </w:r>
          </w:p>
        </w:tc>
        <w:tc>
          <w:tcPr>
            <w:tcW w:w="2265" w:type="dxa"/>
            <w:vAlign w:val="center"/>
          </w:tcPr>
          <w:p>
            <w:pPr>
              <w:jc w:val="center"/>
            </w:pPr>
            <w:r>
              <w:rPr>
                <w:rFonts w:hint="eastAsia"/>
              </w:rPr>
              <w:t>3套</w:t>
            </w:r>
          </w:p>
        </w:tc>
        <w:tc>
          <w:tcPr>
            <w:tcW w:w="2265" w:type="dxa"/>
            <w:vAlign w:val="center"/>
          </w:tcPr>
          <w:p>
            <w:pPr>
              <w:jc w:val="center"/>
            </w:pPr>
            <w:r>
              <w:rPr>
                <w:rFonts w:hint="eastAsia"/>
              </w:rPr>
              <w:t>通讯联络电话</w:t>
            </w:r>
          </w:p>
        </w:tc>
        <w:tc>
          <w:tcPr>
            <w:tcW w:w="1952" w:type="dxa"/>
            <w:vAlign w:val="center"/>
          </w:tcPr>
          <w:p>
            <w:pPr>
              <w:jc w:val="center"/>
            </w:pPr>
            <w:r>
              <w:rPr>
                <w:rFonts w:hint="eastAsia"/>
              </w:rPr>
              <w:t>2</w:t>
            </w:r>
            <w:r>
              <w:rPr>
                <w:rFonts w:hint="eastAsia" w:ascii="宋体" w:hAnsi="宋体" w:cs="宋体"/>
                <w:sz w:val="24"/>
              </w:rPr>
              <w:t>〜</w:t>
            </w:r>
            <w:r>
              <w:rPr>
                <w:rFonts w:hint="eastAsia"/>
              </w:rPr>
              <w:t>3台</w:t>
            </w:r>
          </w:p>
        </w:tc>
      </w:tr>
    </w:tbl>
    <w:p/>
    <w:p>
      <w:pPr>
        <w:spacing w:line="360" w:lineRule="auto"/>
        <w:ind w:firstLine="480" w:firstLineChars="200"/>
        <w:rPr>
          <w:rFonts w:ascii="宋体" w:hAnsi="宋体"/>
          <w:sz w:val="24"/>
        </w:rPr>
      </w:pPr>
      <w:r>
        <w:rPr>
          <w:rFonts w:hint="eastAsia" w:ascii="宋体" w:hAnsi="宋体"/>
          <w:sz w:val="24"/>
        </w:rPr>
        <w:t>矿山应制定的危险事故应急救援预案见表9-5。</w:t>
      </w:r>
    </w:p>
    <w:p>
      <w:pPr>
        <w:jc w:val="center"/>
        <w:rPr>
          <w:rFonts w:ascii="宋体" w:hAnsi="宋体" w:cs="宋体"/>
          <w:b/>
          <w:bCs/>
        </w:rPr>
      </w:pPr>
      <w:r>
        <w:rPr>
          <w:rFonts w:hint="eastAsia" w:ascii="宋体" w:hAnsi="宋体" w:cs="宋体"/>
          <w:b/>
          <w:bCs/>
        </w:rPr>
        <w:t>表9-5  应急救援预案表</w:t>
      </w:r>
    </w:p>
    <w:tbl>
      <w:tblPr>
        <w:tblStyle w:val="59"/>
        <w:tblW w:w="87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6707"/>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5" w:type="dxa"/>
            <w:vAlign w:val="center"/>
          </w:tcPr>
          <w:p>
            <w:pPr>
              <w:jc w:val="center"/>
              <w:rPr>
                <w:rFonts w:ascii="宋体" w:hAnsi="宋体" w:cs="宋体"/>
                <w:szCs w:val="21"/>
              </w:rPr>
            </w:pPr>
            <w:r>
              <w:rPr>
                <w:rFonts w:hint="eastAsia" w:ascii="宋体" w:hAnsi="宋体" w:cs="宋体"/>
                <w:szCs w:val="21"/>
              </w:rPr>
              <w:t>序号</w:t>
            </w:r>
          </w:p>
        </w:tc>
        <w:tc>
          <w:tcPr>
            <w:tcW w:w="6707" w:type="dxa"/>
            <w:vAlign w:val="center"/>
          </w:tcPr>
          <w:p>
            <w:pPr>
              <w:jc w:val="center"/>
              <w:rPr>
                <w:rFonts w:ascii="宋体" w:hAnsi="宋体" w:cs="宋体"/>
                <w:szCs w:val="21"/>
              </w:rPr>
            </w:pPr>
            <w:r>
              <w:rPr>
                <w:rFonts w:hint="eastAsia" w:ascii="宋体" w:hAnsi="宋体" w:cs="宋体"/>
                <w:szCs w:val="21"/>
              </w:rPr>
              <w:t>应急救援预案</w:t>
            </w:r>
          </w:p>
        </w:tc>
        <w:tc>
          <w:tcPr>
            <w:tcW w:w="1159" w:type="dxa"/>
            <w:vAlign w:val="center"/>
          </w:tcPr>
          <w:p>
            <w:pPr>
              <w:jc w:val="center"/>
              <w:rPr>
                <w:rFonts w:ascii="宋体" w:hAns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5" w:type="dxa"/>
            <w:vAlign w:val="center"/>
          </w:tcPr>
          <w:p>
            <w:pPr>
              <w:jc w:val="center"/>
              <w:rPr>
                <w:rFonts w:ascii="宋体" w:hAnsi="宋体" w:cs="宋体"/>
                <w:szCs w:val="21"/>
              </w:rPr>
            </w:pPr>
            <w:r>
              <w:rPr>
                <w:rFonts w:hint="eastAsia" w:ascii="宋体" w:hAnsi="宋体" w:cs="宋体"/>
                <w:szCs w:val="21"/>
              </w:rPr>
              <w:t>一</w:t>
            </w:r>
          </w:p>
        </w:tc>
        <w:tc>
          <w:tcPr>
            <w:tcW w:w="6707" w:type="dxa"/>
            <w:vAlign w:val="center"/>
          </w:tcPr>
          <w:p>
            <w:pPr>
              <w:jc w:val="center"/>
              <w:rPr>
                <w:rFonts w:ascii="宋体" w:hAnsi="宋体" w:cs="宋体"/>
                <w:szCs w:val="21"/>
              </w:rPr>
            </w:pPr>
            <w:r>
              <w:rPr>
                <w:rFonts w:hint="eastAsia" w:ascii="宋体" w:hAnsi="宋体" w:cs="宋体"/>
                <w:szCs w:val="21"/>
              </w:rPr>
              <w:t>应急综合预案</w:t>
            </w:r>
          </w:p>
        </w:tc>
        <w:tc>
          <w:tcPr>
            <w:tcW w:w="115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5" w:type="dxa"/>
            <w:vAlign w:val="center"/>
          </w:tcPr>
          <w:p>
            <w:pPr>
              <w:jc w:val="center"/>
              <w:rPr>
                <w:rFonts w:ascii="宋体" w:hAnsi="宋体" w:cs="宋体"/>
                <w:szCs w:val="21"/>
              </w:rPr>
            </w:pPr>
            <w:r>
              <w:rPr>
                <w:rFonts w:hint="eastAsia" w:ascii="宋体" w:hAnsi="宋体" w:cs="宋体"/>
                <w:szCs w:val="21"/>
              </w:rPr>
              <w:t>二</w:t>
            </w:r>
          </w:p>
        </w:tc>
        <w:tc>
          <w:tcPr>
            <w:tcW w:w="6707" w:type="dxa"/>
            <w:vAlign w:val="center"/>
          </w:tcPr>
          <w:p>
            <w:pPr>
              <w:jc w:val="center"/>
              <w:rPr>
                <w:rFonts w:ascii="宋体" w:hAnsi="宋体" w:cs="宋体"/>
                <w:szCs w:val="21"/>
              </w:rPr>
            </w:pPr>
            <w:r>
              <w:rPr>
                <w:rFonts w:hint="eastAsia" w:ascii="宋体" w:hAnsi="宋体" w:cs="宋体"/>
                <w:szCs w:val="21"/>
              </w:rPr>
              <w:t>应急专项预案</w:t>
            </w:r>
          </w:p>
        </w:tc>
        <w:tc>
          <w:tcPr>
            <w:tcW w:w="115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5" w:type="dxa"/>
            <w:vAlign w:val="center"/>
          </w:tcPr>
          <w:p>
            <w:pPr>
              <w:jc w:val="center"/>
              <w:rPr>
                <w:rFonts w:ascii="宋体" w:hAnsi="宋体" w:cs="宋体"/>
                <w:szCs w:val="21"/>
              </w:rPr>
            </w:pPr>
            <w:r>
              <w:rPr>
                <w:rFonts w:hint="eastAsia" w:ascii="宋体" w:hAnsi="宋体" w:cs="宋体"/>
                <w:szCs w:val="21"/>
              </w:rPr>
              <w:t>1</w:t>
            </w:r>
          </w:p>
        </w:tc>
        <w:tc>
          <w:tcPr>
            <w:tcW w:w="6707" w:type="dxa"/>
            <w:vAlign w:val="center"/>
          </w:tcPr>
          <w:p>
            <w:pPr>
              <w:jc w:val="center"/>
              <w:rPr>
                <w:rFonts w:ascii="宋体" w:hAnsi="宋体" w:cs="宋体"/>
                <w:szCs w:val="21"/>
              </w:rPr>
            </w:pPr>
            <w:r>
              <w:rPr>
                <w:rFonts w:hint="eastAsia" w:ascii="宋体" w:hAnsi="宋体" w:cs="宋体"/>
                <w:szCs w:val="21"/>
              </w:rPr>
              <w:t>采场边坡坍塌事故专项预案</w:t>
            </w:r>
          </w:p>
        </w:tc>
        <w:tc>
          <w:tcPr>
            <w:tcW w:w="115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5" w:type="dxa"/>
            <w:vAlign w:val="center"/>
          </w:tcPr>
          <w:p>
            <w:pPr>
              <w:jc w:val="center"/>
              <w:rPr>
                <w:rFonts w:ascii="宋体" w:hAnsi="宋体" w:cs="宋体"/>
                <w:szCs w:val="21"/>
              </w:rPr>
            </w:pPr>
            <w:r>
              <w:rPr>
                <w:rFonts w:hint="eastAsia" w:ascii="宋体" w:hAnsi="宋体" w:cs="宋体"/>
                <w:szCs w:val="21"/>
              </w:rPr>
              <w:t>2</w:t>
            </w:r>
          </w:p>
        </w:tc>
        <w:tc>
          <w:tcPr>
            <w:tcW w:w="6707" w:type="dxa"/>
            <w:vAlign w:val="center"/>
          </w:tcPr>
          <w:p>
            <w:pPr>
              <w:jc w:val="center"/>
              <w:rPr>
                <w:rFonts w:ascii="宋体" w:hAnsi="宋体" w:cs="宋体"/>
                <w:szCs w:val="21"/>
              </w:rPr>
            </w:pPr>
            <w:r>
              <w:rPr>
                <w:rFonts w:hint="eastAsia" w:ascii="宋体" w:hAnsi="宋体" w:cs="宋体"/>
                <w:szCs w:val="21"/>
              </w:rPr>
              <w:t>排土场事故专项预案</w:t>
            </w:r>
          </w:p>
        </w:tc>
        <w:tc>
          <w:tcPr>
            <w:tcW w:w="115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5" w:type="dxa"/>
            <w:vAlign w:val="center"/>
          </w:tcPr>
          <w:p>
            <w:pPr>
              <w:jc w:val="center"/>
              <w:rPr>
                <w:rFonts w:ascii="宋体" w:hAnsi="宋体" w:cs="宋体"/>
                <w:szCs w:val="21"/>
              </w:rPr>
            </w:pPr>
            <w:r>
              <w:rPr>
                <w:rFonts w:hint="eastAsia" w:ascii="宋体" w:hAnsi="宋体" w:cs="宋体"/>
                <w:szCs w:val="21"/>
              </w:rPr>
              <w:t>3</w:t>
            </w:r>
          </w:p>
        </w:tc>
        <w:tc>
          <w:tcPr>
            <w:tcW w:w="6707" w:type="dxa"/>
            <w:vAlign w:val="center"/>
          </w:tcPr>
          <w:p>
            <w:pPr>
              <w:jc w:val="center"/>
              <w:rPr>
                <w:rFonts w:ascii="宋体" w:hAnsi="宋体" w:cs="宋体"/>
                <w:szCs w:val="21"/>
              </w:rPr>
            </w:pPr>
            <w:r>
              <w:rPr>
                <w:rFonts w:hint="eastAsia" w:ascii="宋体" w:hAnsi="宋体" w:cs="宋体"/>
                <w:szCs w:val="21"/>
              </w:rPr>
              <w:t>机械事故专项预案</w:t>
            </w:r>
          </w:p>
        </w:tc>
        <w:tc>
          <w:tcPr>
            <w:tcW w:w="115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5" w:type="dxa"/>
            <w:vAlign w:val="center"/>
          </w:tcPr>
          <w:p>
            <w:pPr>
              <w:jc w:val="center"/>
              <w:rPr>
                <w:rFonts w:ascii="宋体" w:hAnsi="宋体" w:cs="宋体"/>
                <w:szCs w:val="21"/>
              </w:rPr>
            </w:pPr>
            <w:r>
              <w:rPr>
                <w:rFonts w:hint="eastAsia" w:ascii="宋体" w:hAnsi="宋体" w:cs="宋体"/>
                <w:szCs w:val="21"/>
              </w:rPr>
              <w:t>三</w:t>
            </w:r>
          </w:p>
        </w:tc>
        <w:tc>
          <w:tcPr>
            <w:tcW w:w="6707" w:type="dxa"/>
            <w:vAlign w:val="center"/>
          </w:tcPr>
          <w:p>
            <w:pPr>
              <w:jc w:val="center"/>
              <w:rPr>
                <w:rFonts w:ascii="宋体" w:hAnsi="宋体" w:cs="宋体"/>
                <w:szCs w:val="21"/>
              </w:rPr>
            </w:pPr>
            <w:r>
              <w:rPr>
                <w:rFonts w:hint="eastAsia" w:ascii="宋体" w:hAnsi="宋体" w:cs="宋体"/>
                <w:szCs w:val="21"/>
              </w:rPr>
              <w:t>现场处置方案</w:t>
            </w:r>
          </w:p>
        </w:tc>
        <w:tc>
          <w:tcPr>
            <w:tcW w:w="115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5" w:type="dxa"/>
            <w:vAlign w:val="center"/>
          </w:tcPr>
          <w:p>
            <w:pPr>
              <w:jc w:val="center"/>
              <w:rPr>
                <w:rFonts w:ascii="宋体" w:hAnsi="宋体" w:cs="宋体"/>
                <w:szCs w:val="21"/>
              </w:rPr>
            </w:pPr>
            <w:r>
              <w:rPr>
                <w:rFonts w:hint="eastAsia" w:ascii="宋体" w:hAnsi="宋体" w:cs="宋体"/>
                <w:szCs w:val="21"/>
              </w:rPr>
              <w:t>1</w:t>
            </w:r>
          </w:p>
        </w:tc>
        <w:tc>
          <w:tcPr>
            <w:tcW w:w="6707" w:type="dxa"/>
            <w:vAlign w:val="center"/>
          </w:tcPr>
          <w:p>
            <w:pPr>
              <w:jc w:val="center"/>
              <w:rPr>
                <w:rFonts w:ascii="宋体" w:hAnsi="宋体" w:cs="宋体"/>
                <w:szCs w:val="21"/>
              </w:rPr>
            </w:pPr>
            <w:r>
              <w:rPr>
                <w:rFonts w:hint="eastAsia" w:ascii="宋体" w:hAnsi="宋体" w:cs="宋体"/>
                <w:szCs w:val="21"/>
              </w:rPr>
              <w:t>物体打击事故现场处置方案</w:t>
            </w:r>
          </w:p>
        </w:tc>
        <w:tc>
          <w:tcPr>
            <w:tcW w:w="115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5" w:type="dxa"/>
            <w:vAlign w:val="center"/>
          </w:tcPr>
          <w:p>
            <w:pPr>
              <w:jc w:val="center"/>
              <w:rPr>
                <w:rFonts w:ascii="宋体" w:hAnsi="宋体" w:cs="宋体"/>
                <w:szCs w:val="21"/>
              </w:rPr>
            </w:pPr>
            <w:r>
              <w:rPr>
                <w:rFonts w:hint="eastAsia" w:ascii="宋体" w:hAnsi="宋体" w:cs="宋体"/>
                <w:szCs w:val="21"/>
              </w:rPr>
              <w:t>2</w:t>
            </w:r>
          </w:p>
        </w:tc>
        <w:tc>
          <w:tcPr>
            <w:tcW w:w="6707" w:type="dxa"/>
            <w:vAlign w:val="center"/>
          </w:tcPr>
          <w:p>
            <w:pPr>
              <w:jc w:val="center"/>
              <w:rPr>
                <w:rFonts w:ascii="宋体" w:hAnsi="宋体" w:cs="宋体"/>
                <w:szCs w:val="21"/>
              </w:rPr>
            </w:pPr>
            <w:r>
              <w:rPr>
                <w:rFonts w:hint="eastAsia" w:ascii="宋体" w:hAnsi="宋体" w:cs="宋体"/>
                <w:szCs w:val="21"/>
              </w:rPr>
              <w:t>高处坠落事故现场处置方案</w:t>
            </w:r>
          </w:p>
        </w:tc>
        <w:tc>
          <w:tcPr>
            <w:tcW w:w="115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5" w:type="dxa"/>
            <w:vAlign w:val="center"/>
          </w:tcPr>
          <w:p>
            <w:pPr>
              <w:jc w:val="center"/>
              <w:rPr>
                <w:rFonts w:ascii="宋体" w:hAnsi="宋体" w:cs="宋体"/>
                <w:szCs w:val="21"/>
              </w:rPr>
            </w:pPr>
            <w:r>
              <w:rPr>
                <w:rFonts w:hint="eastAsia" w:ascii="宋体" w:hAnsi="宋体" w:cs="宋体"/>
                <w:szCs w:val="21"/>
              </w:rPr>
              <w:t>3</w:t>
            </w:r>
          </w:p>
        </w:tc>
        <w:tc>
          <w:tcPr>
            <w:tcW w:w="6707" w:type="dxa"/>
            <w:vAlign w:val="center"/>
          </w:tcPr>
          <w:p>
            <w:pPr>
              <w:jc w:val="center"/>
              <w:rPr>
                <w:rFonts w:ascii="宋体" w:hAnsi="宋体" w:cs="宋体"/>
                <w:szCs w:val="21"/>
              </w:rPr>
            </w:pPr>
            <w:r>
              <w:rPr>
                <w:rFonts w:hint="eastAsia" w:ascii="宋体" w:hAnsi="宋体" w:cs="宋体"/>
                <w:szCs w:val="21"/>
              </w:rPr>
              <w:t>车辆伤害事故现场处置方案</w:t>
            </w:r>
          </w:p>
        </w:tc>
        <w:tc>
          <w:tcPr>
            <w:tcW w:w="115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5" w:type="dxa"/>
            <w:vAlign w:val="center"/>
          </w:tcPr>
          <w:p>
            <w:pPr>
              <w:jc w:val="center"/>
              <w:rPr>
                <w:rFonts w:ascii="宋体" w:hAnsi="宋体" w:cs="宋体"/>
                <w:szCs w:val="21"/>
              </w:rPr>
            </w:pPr>
            <w:r>
              <w:rPr>
                <w:rFonts w:hint="eastAsia" w:ascii="宋体" w:hAnsi="宋体" w:cs="宋体"/>
                <w:szCs w:val="21"/>
              </w:rPr>
              <w:t>4</w:t>
            </w:r>
          </w:p>
        </w:tc>
        <w:tc>
          <w:tcPr>
            <w:tcW w:w="6707" w:type="dxa"/>
            <w:vAlign w:val="center"/>
          </w:tcPr>
          <w:p>
            <w:pPr>
              <w:jc w:val="center"/>
              <w:rPr>
                <w:rFonts w:ascii="宋体" w:hAnsi="宋体" w:cs="宋体"/>
                <w:szCs w:val="21"/>
              </w:rPr>
            </w:pPr>
            <w:r>
              <w:rPr>
                <w:rFonts w:hint="eastAsia" w:ascii="宋体" w:hAnsi="宋体" w:cs="宋体"/>
                <w:szCs w:val="21"/>
              </w:rPr>
              <w:t>触电事故现场处置方案</w:t>
            </w:r>
          </w:p>
        </w:tc>
        <w:tc>
          <w:tcPr>
            <w:tcW w:w="115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5" w:type="dxa"/>
            <w:vAlign w:val="center"/>
          </w:tcPr>
          <w:p>
            <w:pPr>
              <w:jc w:val="center"/>
              <w:rPr>
                <w:rFonts w:ascii="宋体" w:hAnsi="宋体" w:cs="宋体"/>
                <w:szCs w:val="21"/>
              </w:rPr>
            </w:pPr>
            <w:r>
              <w:rPr>
                <w:rFonts w:hint="eastAsia" w:ascii="宋体" w:hAnsi="宋体" w:cs="宋体"/>
                <w:szCs w:val="21"/>
              </w:rPr>
              <w:t>5</w:t>
            </w:r>
          </w:p>
        </w:tc>
        <w:tc>
          <w:tcPr>
            <w:tcW w:w="6707" w:type="dxa"/>
            <w:vAlign w:val="center"/>
          </w:tcPr>
          <w:p>
            <w:pPr>
              <w:jc w:val="center"/>
              <w:rPr>
                <w:rFonts w:ascii="宋体" w:hAnsi="宋体" w:cs="宋体"/>
                <w:szCs w:val="21"/>
              </w:rPr>
            </w:pPr>
            <w:r>
              <w:rPr>
                <w:rFonts w:hint="eastAsia" w:ascii="宋体" w:hAnsi="宋体" w:cs="宋体"/>
                <w:szCs w:val="21"/>
              </w:rPr>
              <w:t>水灾事故现场处置方案</w:t>
            </w:r>
          </w:p>
        </w:tc>
        <w:tc>
          <w:tcPr>
            <w:tcW w:w="1159" w:type="dxa"/>
            <w:vAlign w:val="center"/>
          </w:tcPr>
          <w:p>
            <w:pPr>
              <w:jc w:val="center"/>
              <w:rPr>
                <w:rFonts w:ascii="宋体" w:hAnsi="宋体" w:cs="宋体"/>
                <w:szCs w:val="21"/>
              </w:rPr>
            </w:pPr>
          </w:p>
        </w:tc>
      </w:tr>
    </w:tbl>
    <w:p>
      <w:pPr>
        <w:spacing w:line="360" w:lineRule="auto"/>
        <w:ind w:firstLine="480" w:firstLineChars="200"/>
        <w:rPr>
          <w:rFonts w:ascii="宋体" w:hAnsi="宋体"/>
          <w:sz w:val="24"/>
        </w:rPr>
        <w:sectPr>
          <w:pgSz w:w="11906" w:h="16838"/>
          <w:pgMar w:top="1474" w:right="1474" w:bottom="1474" w:left="1588" w:header="964" w:footer="1021" w:gutter="0"/>
          <w:cols w:space="720" w:num="1"/>
          <w:docGrid w:linePitch="326" w:charSpace="0"/>
        </w:sectPr>
      </w:pPr>
    </w:p>
    <w:p>
      <w:pPr>
        <w:pStyle w:val="2"/>
        <w:numPr>
          <w:ilvl w:val="0"/>
          <w:numId w:val="2"/>
        </w:numPr>
        <w:snapToGrid w:val="0"/>
        <w:spacing w:before="0" w:after="240" w:line="360" w:lineRule="auto"/>
        <w:jc w:val="center"/>
        <w:rPr>
          <w:color w:val="000000"/>
          <w:sz w:val="32"/>
          <w:szCs w:val="32"/>
        </w:rPr>
      </w:pPr>
      <w:bookmarkStart w:id="289" w:name="_Toc18146"/>
      <w:bookmarkStart w:id="290" w:name="_Toc456610974"/>
      <w:r>
        <w:rPr>
          <w:rFonts w:hint="eastAsia"/>
          <w:color w:val="000000"/>
          <w:sz w:val="32"/>
          <w:szCs w:val="32"/>
        </w:rPr>
        <w:t>劳动定员、投资估算及经济评价</w:t>
      </w:r>
      <w:bookmarkEnd w:id="289"/>
      <w:bookmarkEnd w:id="290"/>
    </w:p>
    <w:p>
      <w:pPr>
        <w:numPr>
          <w:ilvl w:val="1"/>
          <w:numId w:val="2"/>
        </w:numPr>
        <w:spacing w:line="360" w:lineRule="auto"/>
        <w:outlineLvl w:val="1"/>
        <w:rPr>
          <w:rFonts w:ascii="宋体" w:hAnsi="宋体" w:cs="宋体"/>
          <w:b/>
          <w:bCs/>
          <w:color w:val="000000"/>
          <w:sz w:val="30"/>
          <w:szCs w:val="30"/>
        </w:rPr>
      </w:pPr>
      <w:bookmarkStart w:id="291" w:name="_Toc364440470"/>
      <w:bookmarkStart w:id="292" w:name="_Toc456525714"/>
      <w:bookmarkStart w:id="293" w:name="_Toc456610975"/>
      <w:bookmarkStart w:id="294" w:name="_Toc9292"/>
      <w:bookmarkStart w:id="295" w:name="_Toc249115619"/>
      <w:bookmarkStart w:id="296" w:name="_Toc21622"/>
      <w:r>
        <w:rPr>
          <w:rFonts w:hint="eastAsia" w:ascii="宋体" w:hAnsi="宋体" w:cs="宋体"/>
          <w:b/>
          <w:bCs/>
          <w:color w:val="000000"/>
          <w:sz w:val="30"/>
          <w:szCs w:val="30"/>
        </w:rPr>
        <w:t>劳动定员</w:t>
      </w:r>
      <w:bookmarkEnd w:id="291"/>
      <w:bookmarkEnd w:id="292"/>
      <w:bookmarkEnd w:id="293"/>
      <w:bookmarkEnd w:id="294"/>
      <w:bookmarkEnd w:id="295"/>
      <w:r>
        <w:rPr>
          <w:rFonts w:hint="eastAsia" w:ascii="宋体" w:hAnsi="宋体" w:cs="宋体"/>
          <w:b/>
          <w:bCs/>
          <w:color w:val="000000"/>
          <w:sz w:val="30"/>
          <w:szCs w:val="30"/>
        </w:rPr>
        <w:t>与工作制度</w:t>
      </w:r>
      <w:bookmarkEnd w:id="296"/>
    </w:p>
    <w:p>
      <w:pPr>
        <w:adjustRightInd w:val="0"/>
        <w:snapToGrid w:val="0"/>
        <w:spacing w:line="360" w:lineRule="auto"/>
        <w:ind w:firstLine="480" w:firstLineChars="200"/>
        <w:rPr>
          <w:rFonts w:ascii="宋体" w:hAnsi="宋体"/>
          <w:sz w:val="24"/>
        </w:rPr>
      </w:pPr>
      <w:bookmarkStart w:id="297" w:name="OLE_LINK247"/>
      <w:bookmarkStart w:id="298" w:name="OLE_LINK214"/>
      <w:bookmarkStart w:id="299" w:name="OLE_LINK222"/>
      <w:bookmarkStart w:id="300" w:name="OLE_LINK248"/>
      <w:bookmarkStart w:id="301" w:name="OLE_LINK249"/>
      <w:bookmarkStart w:id="302" w:name="OLE_LINK223"/>
      <w:r>
        <w:rPr>
          <w:rFonts w:hint="eastAsia" w:ascii="宋体" w:hAnsi="宋体"/>
          <w:sz w:val="24"/>
        </w:rPr>
        <w:t>劳动组织釆用矿长负责制，主管矿山安全及生产。</w:t>
      </w:r>
    </w:p>
    <w:p>
      <w:pPr>
        <w:adjustRightInd w:val="0"/>
        <w:snapToGrid w:val="0"/>
        <w:spacing w:line="360" w:lineRule="auto"/>
        <w:ind w:firstLine="480" w:firstLineChars="200"/>
        <w:rPr>
          <w:rFonts w:ascii="宋体" w:hAnsi="宋体"/>
          <w:sz w:val="24"/>
        </w:rPr>
      </w:pPr>
      <w:r>
        <w:rPr>
          <w:rFonts w:hint="eastAsia" w:ascii="宋体" w:hAnsi="宋体"/>
          <w:sz w:val="24"/>
        </w:rPr>
        <w:t>矿山采用间断工作制，年工作250天，矿山开采、加工每天1班，开采每班6h， 破碎生产生产每班6h。矿山开釆按岗位配置劳动定员。矿山全部在册人员7名，其中 矿山生产工人5名，企业其他服务人员及管理人员2名。</w:t>
      </w:r>
      <w:r>
        <w:rPr>
          <w:rFonts w:ascii="宋体" w:hAnsi="宋体"/>
          <w:sz w:val="24"/>
        </w:rPr>
        <w:t>劳动定员明细表见表</w:t>
      </w:r>
      <w:r>
        <w:rPr>
          <w:rFonts w:hint="eastAsia" w:ascii="宋体" w:hAnsi="宋体"/>
          <w:sz w:val="24"/>
        </w:rPr>
        <w:t>10-</w:t>
      </w:r>
      <w:r>
        <w:rPr>
          <w:rFonts w:ascii="宋体" w:hAnsi="宋体"/>
          <w:sz w:val="24"/>
        </w:rPr>
        <w:t>1</w:t>
      </w:r>
      <w:bookmarkEnd w:id="297"/>
      <w:r>
        <w:rPr>
          <w:rFonts w:ascii="宋体" w:hAnsi="宋体"/>
          <w:sz w:val="24"/>
        </w:rPr>
        <w:t>。</w:t>
      </w:r>
      <w:bookmarkEnd w:id="298"/>
      <w:bookmarkEnd w:id="299"/>
    </w:p>
    <w:p>
      <w:pPr>
        <w:spacing w:line="240" w:lineRule="atLeast"/>
        <w:jc w:val="center"/>
        <w:rPr>
          <w:rFonts w:ascii="宋体" w:hAnsi="宋体"/>
          <w:b/>
          <w:bCs/>
          <w:szCs w:val="21"/>
        </w:rPr>
      </w:pPr>
      <w:r>
        <w:rPr>
          <w:rFonts w:hint="eastAsia" w:ascii="宋体" w:hAnsi="宋体"/>
          <w:b/>
          <w:bCs/>
          <w:szCs w:val="21"/>
        </w:rPr>
        <w:t>表10-1   劳动定员明细表</w:t>
      </w:r>
      <w:bookmarkEnd w:id="300"/>
      <w:bookmarkEnd w:id="301"/>
    </w:p>
    <w:tbl>
      <w:tblPr>
        <w:tblStyle w:val="59"/>
        <w:tblW w:w="9060" w:type="dxa"/>
        <w:jc w:val="center"/>
        <w:tblInd w:w="0" w:type="dxa"/>
        <w:tblLayout w:type="fixed"/>
        <w:tblCellMar>
          <w:top w:w="0" w:type="dxa"/>
          <w:left w:w="108" w:type="dxa"/>
          <w:bottom w:w="0" w:type="dxa"/>
          <w:right w:w="108" w:type="dxa"/>
        </w:tblCellMar>
      </w:tblPr>
      <w:tblGrid>
        <w:gridCol w:w="1053"/>
        <w:gridCol w:w="2339"/>
        <w:gridCol w:w="1295"/>
        <w:gridCol w:w="1295"/>
        <w:gridCol w:w="3078"/>
      </w:tblGrid>
      <w:tr>
        <w:tblPrEx>
          <w:tblLayout w:type="fixed"/>
          <w:tblCellMar>
            <w:top w:w="0" w:type="dxa"/>
            <w:left w:w="108" w:type="dxa"/>
            <w:bottom w:w="0" w:type="dxa"/>
            <w:right w:w="108" w:type="dxa"/>
          </w:tblCellMar>
        </w:tblPrEx>
        <w:trPr>
          <w:trHeight w:val="392" w:hRule="exact"/>
          <w:jc w:val="center"/>
        </w:trPr>
        <w:tc>
          <w:tcPr>
            <w:tcW w:w="1053" w:type="dxa"/>
            <w:tcBorders>
              <w:top w:val="single" w:color="auto" w:sz="4" w:space="0"/>
              <w:left w:val="single" w:color="auto" w:sz="4" w:space="0"/>
            </w:tcBorders>
            <w:shd w:val="clear" w:color="auto" w:fill="FFFFFF"/>
            <w:vAlign w:val="center"/>
          </w:tcPr>
          <w:p>
            <w:pPr>
              <w:jc w:val="center"/>
              <w:rPr>
                <w:szCs w:val="21"/>
              </w:rPr>
            </w:pPr>
            <w:r>
              <w:rPr>
                <w:rFonts w:hint="eastAsia"/>
                <w:szCs w:val="21"/>
              </w:rPr>
              <w:t>序号</w:t>
            </w:r>
          </w:p>
        </w:tc>
        <w:tc>
          <w:tcPr>
            <w:tcW w:w="2339" w:type="dxa"/>
            <w:tcBorders>
              <w:top w:val="single" w:color="auto" w:sz="4" w:space="0"/>
              <w:left w:val="single" w:color="auto" w:sz="4" w:space="0"/>
            </w:tcBorders>
            <w:shd w:val="clear" w:color="auto" w:fill="FFFFFF"/>
            <w:vAlign w:val="center"/>
          </w:tcPr>
          <w:p>
            <w:pPr>
              <w:jc w:val="center"/>
              <w:rPr>
                <w:szCs w:val="21"/>
              </w:rPr>
            </w:pPr>
            <w:r>
              <w:rPr>
                <w:rFonts w:hint="eastAsia"/>
                <w:szCs w:val="21"/>
              </w:rPr>
              <w:t>单位及职别名称</w:t>
            </w:r>
          </w:p>
        </w:tc>
        <w:tc>
          <w:tcPr>
            <w:tcW w:w="1295" w:type="dxa"/>
            <w:tcBorders>
              <w:top w:val="single" w:color="auto" w:sz="4" w:space="0"/>
              <w:left w:val="single" w:color="auto" w:sz="4" w:space="0"/>
            </w:tcBorders>
            <w:shd w:val="clear" w:color="auto" w:fill="FFFFFF"/>
            <w:vAlign w:val="center"/>
          </w:tcPr>
          <w:p>
            <w:pPr>
              <w:jc w:val="center"/>
              <w:rPr>
                <w:szCs w:val="21"/>
              </w:rPr>
            </w:pPr>
            <w:r>
              <w:rPr>
                <w:rFonts w:hint="eastAsia"/>
                <w:szCs w:val="21"/>
              </w:rPr>
              <w:t>一班</w:t>
            </w:r>
          </w:p>
        </w:tc>
        <w:tc>
          <w:tcPr>
            <w:tcW w:w="1295" w:type="dxa"/>
            <w:tcBorders>
              <w:top w:val="single" w:color="auto" w:sz="4" w:space="0"/>
              <w:left w:val="single" w:color="auto" w:sz="4" w:space="0"/>
            </w:tcBorders>
            <w:shd w:val="clear" w:color="auto" w:fill="FFFFFF"/>
            <w:vAlign w:val="center"/>
          </w:tcPr>
          <w:p>
            <w:pPr>
              <w:jc w:val="center"/>
              <w:rPr>
                <w:szCs w:val="21"/>
              </w:rPr>
            </w:pPr>
            <w:r>
              <w:rPr>
                <w:rFonts w:hint="eastAsia"/>
                <w:szCs w:val="21"/>
              </w:rPr>
              <w:t>在册人员</w:t>
            </w:r>
          </w:p>
        </w:tc>
        <w:tc>
          <w:tcPr>
            <w:tcW w:w="3078" w:type="dxa"/>
            <w:tcBorders>
              <w:top w:val="single" w:color="auto" w:sz="4" w:space="0"/>
              <w:left w:val="single" w:color="auto" w:sz="4" w:space="0"/>
              <w:right w:val="single" w:color="auto" w:sz="4" w:space="0"/>
            </w:tcBorders>
            <w:shd w:val="clear" w:color="auto" w:fill="FFFFFF"/>
            <w:vAlign w:val="center"/>
          </w:tcPr>
          <w:p>
            <w:pPr>
              <w:jc w:val="center"/>
              <w:rPr>
                <w:szCs w:val="21"/>
              </w:rPr>
            </w:pPr>
            <w:r>
              <w:rPr>
                <w:rFonts w:hint="eastAsia"/>
                <w:szCs w:val="21"/>
              </w:rPr>
              <w:t>备注</w:t>
            </w:r>
          </w:p>
        </w:tc>
      </w:tr>
      <w:tr>
        <w:tblPrEx>
          <w:tblLayout w:type="fixed"/>
          <w:tblCellMar>
            <w:top w:w="0" w:type="dxa"/>
            <w:left w:w="108" w:type="dxa"/>
            <w:bottom w:w="0" w:type="dxa"/>
            <w:right w:w="108" w:type="dxa"/>
          </w:tblCellMar>
        </w:tblPrEx>
        <w:trPr>
          <w:trHeight w:val="382" w:hRule="exact"/>
          <w:jc w:val="center"/>
        </w:trPr>
        <w:tc>
          <w:tcPr>
            <w:tcW w:w="1053"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一</w:t>
            </w:r>
          </w:p>
        </w:tc>
        <w:tc>
          <w:tcPr>
            <w:tcW w:w="2339" w:type="dxa"/>
            <w:tcBorders>
              <w:top w:val="single" w:color="auto" w:sz="4" w:space="0"/>
              <w:left w:val="single" w:color="auto" w:sz="4" w:space="0"/>
            </w:tcBorders>
            <w:shd w:val="clear" w:color="auto" w:fill="FFFFFF"/>
            <w:vAlign w:val="center"/>
          </w:tcPr>
          <w:p>
            <w:pPr>
              <w:jc w:val="center"/>
              <w:rPr>
                <w:szCs w:val="21"/>
              </w:rPr>
            </w:pPr>
            <w:r>
              <w:rPr>
                <w:rFonts w:hint="eastAsia"/>
                <w:szCs w:val="21"/>
              </w:rPr>
              <w:t>生产工人</w:t>
            </w:r>
          </w:p>
        </w:tc>
        <w:tc>
          <w:tcPr>
            <w:tcW w:w="1295"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5</w:t>
            </w:r>
          </w:p>
        </w:tc>
        <w:tc>
          <w:tcPr>
            <w:tcW w:w="1295"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5</w:t>
            </w:r>
          </w:p>
        </w:tc>
        <w:tc>
          <w:tcPr>
            <w:tcW w:w="3078" w:type="dxa"/>
            <w:tcBorders>
              <w:top w:val="single" w:color="auto" w:sz="4" w:space="0"/>
              <w:left w:val="single" w:color="auto" w:sz="4" w:space="0"/>
              <w:right w:val="single" w:color="auto" w:sz="4" w:space="0"/>
            </w:tcBorders>
            <w:shd w:val="clear" w:color="auto" w:fill="FFFFFF"/>
            <w:vAlign w:val="center"/>
          </w:tcPr>
          <w:p>
            <w:pPr>
              <w:jc w:val="center"/>
              <w:rPr>
                <w:szCs w:val="21"/>
              </w:rPr>
            </w:pPr>
          </w:p>
        </w:tc>
      </w:tr>
      <w:tr>
        <w:tblPrEx>
          <w:tblLayout w:type="fixed"/>
          <w:tblCellMar>
            <w:top w:w="0" w:type="dxa"/>
            <w:left w:w="108" w:type="dxa"/>
            <w:bottom w:w="0" w:type="dxa"/>
            <w:right w:w="108" w:type="dxa"/>
          </w:tblCellMar>
        </w:tblPrEx>
        <w:trPr>
          <w:trHeight w:val="374" w:hRule="exact"/>
          <w:jc w:val="center"/>
        </w:trPr>
        <w:tc>
          <w:tcPr>
            <w:tcW w:w="1053"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1</w:t>
            </w:r>
          </w:p>
        </w:tc>
        <w:tc>
          <w:tcPr>
            <w:tcW w:w="2339" w:type="dxa"/>
            <w:tcBorders>
              <w:top w:val="single" w:color="auto" w:sz="4" w:space="0"/>
              <w:left w:val="single" w:color="auto" w:sz="4" w:space="0"/>
            </w:tcBorders>
            <w:shd w:val="clear" w:color="auto" w:fill="FFFFFF"/>
            <w:vAlign w:val="center"/>
          </w:tcPr>
          <w:p>
            <w:pPr>
              <w:jc w:val="center"/>
              <w:rPr>
                <w:szCs w:val="21"/>
              </w:rPr>
            </w:pPr>
            <w:r>
              <w:rPr>
                <w:rFonts w:hint="eastAsia"/>
                <w:szCs w:val="21"/>
              </w:rPr>
              <w:t>挖掘机</w:t>
            </w:r>
          </w:p>
        </w:tc>
        <w:tc>
          <w:tcPr>
            <w:tcW w:w="1295" w:type="dxa"/>
            <w:tcBorders>
              <w:top w:val="single" w:color="auto" w:sz="4" w:space="0"/>
              <w:left w:val="single" w:color="auto" w:sz="4" w:space="0"/>
            </w:tcBorders>
            <w:shd w:val="clear" w:color="auto" w:fill="FFFFFF"/>
            <w:vAlign w:val="center"/>
          </w:tcPr>
          <w:p>
            <w:pPr>
              <w:jc w:val="center"/>
              <w:rPr>
                <w:szCs w:val="21"/>
              </w:rPr>
            </w:pPr>
          </w:p>
        </w:tc>
        <w:tc>
          <w:tcPr>
            <w:tcW w:w="1295" w:type="dxa"/>
            <w:tcBorders>
              <w:top w:val="single" w:color="auto" w:sz="4" w:space="0"/>
              <w:left w:val="single" w:color="auto" w:sz="4" w:space="0"/>
            </w:tcBorders>
            <w:shd w:val="clear" w:color="auto" w:fill="FFFFFF"/>
            <w:vAlign w:val="center"/>
          </w:tcPr>
          <w:p>
            <w:pPr>
              <w:jc w:val="center"/>
              <w:rPr>
                <w:szCs w:val="21"/>
              </w:rPr>
            </w:pPr>
          </w:p>
        </w:tc>
        <w:tc>
          <w:tcPr>
            <w:tcW w:w="3078" w:type="dxa"/>
            <w:tcBorders>
              <w:top w:val="single" w:color="auto" w:sz="4" w:space="0"/>
              <w:left w:val="single" w:color="auto" w:sz="4" w:space="0"/>
              <w:right w:val="single" w:color="auto" w:sz="4" w:space="0"/>
            </w:tcBorders>
            <w:shd w:val="clear" w:color="auto" w:fill="FFFFFF"/>
            <w:vAlign w:val="center"/>
          </w:tcPr>
          <w:p>
            <w:pPr>
              <w:jc w:val="center"/>
              <w:rPr>
                <w:szCs w:val="21"/>
              </w:rPr>
            </w:pPr>
            <w:r>
              <w:rPr>
                <w:rFonts w:hint="eastAsia"/>
                <w:szCs w:val="21"/>
              </w:rPr>
              <w:t>外协</w:t>
            </w:r>
          </w:p>
        </w:tc>
      </w:tr>
      <w:tr>
        <w:tblPrEx>
          <w:tblLayout w:type="fixed"/>
          <w:tblCellMar>
            <w:top w:w="0" w:type="dxa"/>
            <w:left w:w="108" w:type="dxa"/>
            <w:bottom w:w="0" w:type="dxa"/>
            <w:right w:w="108" w:type="dxa"/>
          </w:tblCellMar>
        </w:tblPrEx>
        <w:trPr>
          <w:trHeight w:val="378" w:hRule="exact"/>
          <w:jc w:val="center"/>
        </w:trPr>
        <w:tc>
          <w:tcPr>
            <w:tcW w:w="1053"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2</w:t>
            </w:r>
          </w:p>
        </w:tc>
        <w:tc>
          <w:tcPr>
            <w:tcW w:w="2339" w:type="dxa"/>
            <w:tcBorders>
              <w:top w:val="single" w:color="auto" w:sz="4" w:space="0"/>
              <w:left w:val="single" w:color="auto" w:sz="4" w:space="0"/>
            </w:tcBorders>
            <w:shd w:val="clear" w:color="auto" w:fill="FFFFFF"/>
            <w:vAlign w:val="center"/>
          </w:tcPr>
          <w:p>
            <w:pPr>
              <w:jc w:val="center"/>
              <w:rPr>
                <w:szCs w:val="21"/>
              </w:rPr>
            </w:pPr>
            <w:r>
              <w:rPr>
                <w:rFonts w:hint="eastAsia"/>
                <w:szCs w:val="21"/>
              </w:rPr>
              <w:t>装载机</w:t>
            </w:r>
          </w:p>
        </w:tc>
        <w:tc>
          <w:tcPr>
            <w:tcW w:w="1295"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1</w:t>
            </w:r>
          </w:p>
        </w:tc>
        <w:tc>
          <w:tcPr>
            <w:tcW w:w="1295"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1</w:t>
            </w:r>
          </w:p>
        </w:tc>
        <w:tc>
          <w:tcPr>
            <w:tcW w:w="3078" w:type="dxa"/>
            <w:tcBorders>
              <w:top w:val="single" w:color="auto" w:sz="4" w:space="0"/>
              <w:left w:val="single" w:color="auto" w:sz="4" w:space="0"/>
              <w:right w:val="single" w:color="auto" w:sz="4" w:space="0"/>
            </w:tcBorders>
            <w:shd w:val="clear" w:color="auto" w:fill="FFFFFF"/>
            <w:vAlign w:val="center"/>
          </w:tcPr>
          <w:p>
            <w:pPr>
              <w:jc w:val="center"/>
              <w:rPr>
                <w:szCs w:val="21"/>
              </w:rPr>
            </w:pPr>
          </w:p>
        </w:tc>
      </w:tr>
      <w:tr>
        <w:tblPrEx>
          <w:tblLayout w:type="fixed"/>
          <w:tblCellMar>
            <w:top w:w="0" w:type="dxa"/>
            <w:left w:w="108" w:type="dxa"/>
            <w:bottom w:w="0" w:type="dxa"/>
            <w:right w:w="108" w:type="dxa"/>
          </w:tblCellMar>
        </w:tblPrEx>
        <w:trPr>
          <w:trHeight w:val="378" w:hRule="exact"/>
          <w:jc w:val="center"/>
        </w:trPr>
        <w:tc>
          <w:tcPr>
            <w:tcW w:w="1053"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3</w:t>
            </w:r>
          </w:p>
        </w:tc>
        <w:tc>
          <w:tcPr>
            <w:tcW w:w="2339" w:type="dxa"/>
            <w:tcBorders>
              <w:top w:val="single" w:color="auto" w:sz="4" w:space="0"/>
              <w:left w:val="single" w:color="auto" w:sz="4" w:space="0"/>
            </w:tcBorders>
            <w:shd w:val="clear" w:color="auto" w:fill="FFFFFF"/>
            <w:vAlign w:val="center"/>
          </w:tcPr>
          <w:p>
            <w:pPr>
              <w:jc w:val="center"/>
              <w:rPr>
                <w:szCs w:val="21"/>
              </w:rPr>
            </w:pPr>
            <w:r>
              <w:rPr>
                <w:rFonts w:hint="eastAsia"/>
                <w:szCs w:val="21"/>
              </w:rPr>
              <w:t>汽车司机</w:t>
            </w:r>
          </w:p>
        </w:tc>
        <w:tc>
          <w:tcPr>
            <w:tcW w:w="1295"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1</w:t>
            </w:r>
          </w:p>
        </w:tc>
        <w:tc>
          <w:tcPr>
            <w:tcW w:w="1295"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2</w:t>
            </w:r>
          </w:p>
        </w:tc>
        <w:tc>
          <w:tcPr>
            <w:tcW w:w="3078" w:type="dxa"/>
            <w:tcBorders>
              <w:top w:val="single" w:color="auto" w:sz="4" w:space="0"/>
              <w:left w:val="single" w:color="auto" w:sz="4" w:space="0"/>
              <w:right w:val="single" w:color="auto" w:sz="4" w:space="0"/>
            </w:tcBorders>
            <w:shd w:val="clear" w:color="auto" w:fill="FFFFFF"/>
            <w:vAlign w:val="center"/>
          </w:tcPr>
          <w:p>
            <w:pPr>
              <w:jc w:val="center"/>
              <w:rPr>
                <w:szCs w:val="21"/>
              </w:rPr>
            </w:pPr>
          </w:p>
        </w:tc>
      </w:tr>
      <w:tr>
        <w:tblPrEx>
          <w:tblLayout w:type="fixed"/>
          <w:tblCellMar>
            <w:top w:w="0" w:type="dxa"/>
            <w:left w:w="108" w:type="dxa"/>
            <w:bottom w:w="0" w:type="dxa"/>
            <w:right w:w="108" w:type="dxa"/>
          </w:tblCellMar>
        </w:tblPrEx>
        <w:trPr>
          <w:trHeight w:val="378" w:hRule="exact"/>
          <w:jc w:val="center"/>
        </w:trPr>
        <w:tc>
          <w:tcPr>
            <w:tcW w:w="1053"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4</w:t>
            </w:r>
          </w:p>
        </w:tc>
        <w:tc>
          <w:tcPr>
            <w:tcW w:w="2339" w:type="dxa"/>
            <w:tcBorders>
              <w:top w:val="single" w:color="auto" w:sz="4" w:space="0"/>
              <w:left w:val="single" w:color="auto" w:sz="4" w:space="0"/>
            </w:tcBorders>
            <w:shd w:val="clear" w:color="auto" w:fill="FFFFFF"/>
            <w:vAlign w:val="center"/>
          </w:tcPr>
          <w:p>
            <w:pPr>
              <w:jc w:val="center"/>
              <w:rPr>
                <w:szCs w:val="21"/>
              </w:rPr>
            </w:pPr>
            <w:r>
              <w:rPr>
                <w:rFonts w:hint="eastAsia"/>
                <w:szCs w:val="21"/>
              </w:rPr>
              <w:t>破碎生产线工人</w:t>
            </w:r>
          </w:p>
        </w:tc>
        <w:tc>
          <w:tcPr>
            <w:tcW w:w="1295"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3</w:t>
            </w:r>
          </w:p>
        </w:tc>
        <w:tc>
          <w:tcPr>
            <w:tcW w:w="1295"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3</w:t>
            </w:r>
          </w:p>
        </w:tc>
        <w:tc>
          <w:tcPr>
            <w:tcW w:w="3078" w:type="dxa"/>
            <w:tcBorders>
              <w:top w:val="single" w:color="auto" w:sz="4" w:space="0"/>
              <w:left w:val="single" w:color="auto" w:sz="4" w:space="0"/>
              <w:right w:val="single" w:color="auto" w:sz="4" w:space="0"/>
            </w:tcBorders>
            <w:shd w:val="clear" w:color="auto" w:fill="FFFFFF"/>
            <w:vAlign w:val="center"/>
          </w:tcPr>
          <w:p>
            <w:pPr>
              <w:jc w:val="center"/>
              <w:rPr>
                <w:szCs w:val="21"/>
              </w:rPr>
            </w:pPr>
          </w:p>
        </w:tc>
      </w:tr>
      <w:tr>
        <w:tblPrEx>
          <w:tblLayout w:type="fixed"/>
          <w:tblCellMar>
            <w:top w:w="0" w:type="dxa"/>
            <w:left w:w="108" w:type="dxa"/>
            <w:bottom w:w="0" w:type="dxa"/>
            <w:right w:w="108" w:type="dxa"/>
          </w:tblCellMar>
        </w:tblPrEx>
        <w:trPr>
          <w:trHeight w:val="713" w:hRule="exact"/>
          <w:jc w:val="center"/>
        </w:trPr>
        <w:tc>
          <w:tcPr>
            <w:tcW w:w="1053" w:type="dxa"/>
            <w:tcBorders>
              <w:top w:val="single" w:color="auto" w:sz="4" w:space="0"/>
              <w:left w:val="single" w:color="auto" w:sz="4" w:space="0"/>
            </w:tcBorders>
            <w:shd w:val="clear" w:color="auto" w:fill="FFFFFF"/>
            <w:vAlign w:val="center"/>
          </w:tcPr>
          <w:p>
            <w:pPr>
              <w:jc w:val="center"/>
              <w:rPr>
                <w:szCs w:val="21"/>
              </w:rPr>
            </w:pPr>
            <w:r>
              <w:rPr>
                <w:rFonts w:hint="eastAsia"/>
                <w:szCs w:val="21"/>
              </w:rPr>
              <w:t>二</w:t>
            </w:r>
          </w:p>
        </w:tc>
        <w:tc>
          <w:tcPr>
            <w:tcW w:w="2339" w:type="dxa"/>
            <w:tcBorders>
              <w:top w:val="single" w:color="auto" w:sz="4" w:space="0"/>
              <w:left w:val="single" w:color="auto" w:sz="4" w:space="0"/>
            </w:tcBorders>
            <w:shd w:val="clear" w:color="auto" w:fill="FFFFFF"/>
            <w:vAlign w:val="center"/>
          </w:tcPr>
          <w:p>
            <w:pPr>
              <w:jc w:val="center"/>
              <w:rPr>
                <w:szCs w:val="21"/>
              </w:rPr>
            </w:pPr>
            <w:r>
              <w:rPr>
                <w:rFonts w:hint="eastAsia"/>
                <w:szCs w:val="21"/>
              </w:rPr>
              <w:t>管理人员</w:t>
            </w:r>
          </w:p>
        </w:tc>
        <w:tc>
          <w:tcPr>
            <w:tcW w:w="1295"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2</w:t>
            </w:r>
          </w:p>
        </w:tc>
        <w:tc>
          <w:tcPr>
            <w:tcW w:w="1295" w:type="dxa"/>
            <w:tcBorders>
              <w:top w:val="single" w:color="auto" w:sz="4" w:space="0"/>
              <w:left w:val="single" w:color="auto" w:sz="4" w:space="0"/>
            </w:tcBorders>
            <w:shd w:val="clear" w:color="auto" w:fill="FFFFFF"/>
            <w:vAlign w:val="center"/>
          </w:tcPr>
          <w:p>
            <w:pPr>
              <w:jc w:val="center"/>
              <w:rPr>
                <w:szCs w:val="21"/>
              </w:rPr>
            </w:pPr>
            <w:r>
              <w:rPr>
                <w:rFonts w:hint="eastAsia"/>
                <w:szCs w:val="21"/>
                <w:lang w:val="zh-TW"/>
              </w:rPr>
              <w:t>2</w:t>
            </w:r>
          </w:p>
        </w:tc>
        <w:tc>
          <w:tcPr>
            <w:tcW w:w="3078" w:type="dxa"/>
            <w:tcBorders>
              <w:top w:val="single" w:color="auto" w:sz="4" w:space="0"/>
              <w:left w:val="single" w:color="auto" w:sz="4" w:space="0"/>
              <w:right w:val="single" w:color="auto" w:sz="4" w:space="0"/>
            </w:tcBorders>
            <w:shd w:val="clear" w:color="auto" w:fill="FFFFFF"/>
            <w:vAlign w:val="center"/>
          </w:tcPr>
          <w:p>
            <w:pPr>
              <w:jc w:val="center"/>
              <w:rPr>
                <w:szCs w:val="21"/>
              </w:rPr>
            </w:pPr>
            <w:r>
              <w:rPr>
                <w:rFonts w:hint="eastAsia"/>
                <w:szCs w:val="21"/>
              </w:rPr>
              <w:t>包括主要负责人（兼安全员）</w:t>
            </w:r>
          </w:p>
          <w:p>
            <w:pPr>
              <w:jc w:val="center"/>
              <w:rPr>
                <w:szCs w:val="21"/>
              </w:rPr>
            </w:pPr>
            <w:r>
              <w:rPr>
                <w:rFonts w:hint="eastAsia"/>
                <w:szCs w:val="21"/>
                <w:lang w:val="zh-TW"/>
              </w:rPr>
              <w:t xml:space="preserve">1 </w:t>
            </w:r>
            <w:r>
              <w:rPr>
                <w:rFonts w:hint="eastAsia"/>
                <w:szCs w:val="21"/>
              </w:rPr>
              <w:t>名、专业技术人员</w:t>
            </w:r>
            <w:r>
              <w:rPr>
                <w:rFonts w:hint="eastAsia"/>
                <w:szCs w:val="21"/>
                <w:lang w:val="zh-TW"/>
              </w:rPr>
              <w:t>1</w:t>
            </w:r>
            <w:r>
              <w:rPr>
                <w:rFonts w:hint="eastAsia"/>
                <w:szCs w:val="21"/>
              </w:rPr>
              <w:t>名</w:t>
            </w:r>
          </w:p>
        </w:tc>
      </w:tr>
      <w:tr>
        <w:tblPrEx>
          <w:tblLayout w:type="fixed"/>
          <w:tblCellMar>
            <w:top w:w="0" w:type="dxa"/>
            <w:left w:w="108" w:type="dxa"/>
            <w:bottom w:w="0" w:type="dxa"/>
            <w:right w:w="108" w:type="dxa"/>
          </w:tblCellMar>
        </w:tblPrEx>
        <w:trPr>
          <w:trHeight w:val="392" w:hRule="exact"/>
          <w:jc w:val="center"/>
        </w:trPr>
        <w:tc>
          <w:tcPr>
            <w:tcW w:w="1053" w:type="dxa"/>
            <w:tcBorders>
              <w:top w:val="single" w:color="auto" w:sz="4" w:space="0"/>
              <w:left w:val="single" w:color="auto" w:sz="4" w:space="0"/>
              <w:bottom w:val="single" w:color="auto" w:sz="4" w:space="0"/>
            </w:tcBorders>
            <w:shd w:val="clear" w:color="auto" w:fill="FFFFFF"/>
            <w:vAlign w:val="center"/>
          </w:tcPr>
          <w:p>
            <w:pPr>
              <w:jc w:val="center"/>
              <w:rPr>
                <w:szCs w:val="21"/>
              </w:rPr>
            </w:pPr>
            <w:r>
              <w:rPr>
                <w:rFonts w:hint="eastAsia"/>
                <w:szCs w:val="21"/>
              </w:rPr>
              <w:t>三</w:t>
            </w:r>
          </w:p>
        </w:tc>
        <w:tc>
          <w:tcPr>
            <w:tcW w:w="2339" w:type="dxa"/>
            <w:tcBorders>
              <w:top w:val="single" w:color="auto" w:sz="4" w:space="0"/>
              <w:left w:val="single" w:color="auto" w:sz="4" w:space="0"/>
              <w:bottom w:val="single" w:color="auto" w:sz="4" w:space="0"/>
            </w:tcBorders>
            <w:shd w:val="clear" w:color="auto" w:fill="FFFFFF"/>
            <w:vAlign w:val="center"/>
          </w:tcPr>
          <w:p>
            <w:pPr>
              <w:jc w:val="center"/>
              <w:rPr>
                <w:szCs w:val="21"/>
              </w:rPr>
            </w:pPr>
            <w:r>
              <w:rPr>
                <w:rFonts w:hint="eastAsia"/>
                <w:szCs w:val="21"/>
              </w:rPr>
              <w:t>全部人员</w:t>
            </w:r>
          </w:p>
        </w:tc>
        <w:tc>
          <w:tcPr>
            <w:tcW w:w="1295" w:type="dxa"/>
            <w:tcBorders>
              <w:top w:val="single" w:color="auto" w:sz="4" w:space="0"/>
              <w:left w:val="single" w:color="auto" w:sz="4" w:space="0"/>
              <w:bottom w:val="single" w:color="auto" w:sz="4" w:space="0"/>
            </w:tcBorders>
            <w:shd w:val="clear" w:color="auto" w:fill="FFFFFF"/>
            <w:vAlign w:val="center"/>
          </w:tcPr>
          <w:p>
            <w:pPr>
              <w:jc w:val="center"/>
              <w:rPr>
                <w:szCs w:val="21"/>
              </w:rPr>
            </w:pPr>
            <w:r>
              <w:rPr>
                <w:rFonts w:hint="eastAsia"/>
                <w:szCs w:val="21"/>
                <w:lang w:val="zh-TW"/>
              </w:rPr>
              <w:t>7</w:t>
            </w:r>
          </w:p>
        </w:tc>
        <w:tc>
          <w:tcPr>
            <w:tcW w:w="1295" w:type="dxa"/>
            <w:tcBorders>
              <w:top w:val="single" w:color="auto" w:sz="4" w:space="0"/>
              <w:left w:val="single" w:color="auto" w:sz="4" w:space="0"/>
              <w:bottom w:val="single" w:color="auto" w:sz="4" w:space="0"/>
            </w:tcBorders>
            <w:shd w:val="clear" w:color="auto" w:fill="FFFFFF"/>
            <w:vAlign w:val="center"/>
          </w:tcPr>
          <w:p>
            <w:pPr>
              <w:jc w:val="center"/>
              <w:rPr>
                <w:szCs w:val="21"/>
              </w:rPr>
            </w:pPr>
            <w:r>
              <w:rPr>
                <w:rFonts w:hint="eastAsia"/>
                <w:szCs w:val="21"/>
                <w:lang w:val="zh-TW"/>
              </w:rPr>
              <w:t>7</w:t>
            </w:r>
          </w:p>
        </w:tc>
        <w:tc>
          <w:tcPr>
            <w:tcW w:w="3078"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Cs w:val="21"/>
              </w:rPr>
            </w:pPr>
          </w:p>
        </w:tc>
      </w:tr>
    </w:tbl>
    <w:p>
      <w:pPr>
        <w:spacing w:line="240" w:lineRule="atLeast"/>
        <w:jc w:val="center"/>
        <w:rPr>
          <w:rFonts w:ascii="宋体" w:hAnsi="宋体"/>
          <w:b/>
          <w:bCs/>
          <w:szCs w:val="21"/>
        </w:rPr>
      </w:pPr>
    </w:p>
    <w:bookmarkEnd w:id="302"/>
    <w:p>
      <w:pPr>
        <w:numPr>
          <w:ilvl w:val="1"/>
          <w:numId w:val="2"/>
        </w:numPr>
        <w:spacing w:line="360" w:lineRule="auto"/>
        <w:outlineLvl w:val="1"/>
        <w:rPr>
          <w:rFonts w:ascii="宋体" w:hAnsi="宋体" w:cs="宋体"/>
          <w:b/>
          <w:bCs/>
          <w:color w:val="000000"/>
          <w:sz w:val="30"/>
          <w:szCs w:val="30"/>
        </w:rPr>
      </w:pPr>
      <w:bookmarkStart w:id="303" w:name="_Toc8121"/>
      <w:bookmarkStart w:id="304" w:name="_Toc456610976"/>
      <w:bookmarkStart w:id="305" w:name="_Toc236030654"/>
      <w:bookmarkStart w:id="306" w:name="_Toc249115620"/>
      <w:bookmarkStart w:id="307" w:name="_Toc456525715"/>
      <w:bookmarkStart w:id="308" w:name="_Toc364440471"/>
      <w:bookmarkStart w:id="309" w:name="_Toc30382"/>
      <w:r>
        <w:rPr>
          <w:rFonts w:hint="eastAsia" w:ascii="宋体" w:hAnsi="宋体" w:cs="宋体"/>
          <w:b/>
          <w:bCs/>
          <w:color w:val="000000"/>
          <w:sz w:val="30"/>
          <w:szCs w:val="30"/>
        </w:rPr>
        <w:t>项目</w:t>
      </w:r>
      <w:bookmarkEnd w:id="303"/>
      <w:bookmarkEnd w:id="304"/>
      <w:bookmarkEnd w:id="305"/>
      <w:bookmarkEnd w:id="306"/>
      <w:bookmarkEnd w:id="307"/>
      <w:bookmarkEnd w:id="308"/>
      <w:r>
        <w:rPr>
          <w:rFonts w:hint="eastAsia" w:ascii="宋体" w:hAnsi="宋体" w:cs="宋体"/>
          <w:b/>
          <w:bCs/>
          <w:color w:val="000000"/>
          <w:sz w:val="30"/>
          <w:szCs w:val="30"/>
        </w:rPr>
        <w:t>投资概算</w:t>
      </w:r>
      <w:bookmarkEnd w:id="309"/>
    </w:p>
    <w:p>
      <w:pPr>
        <w:pStyle w:val="78"/>
        <w:spacing w:line="360" w:lineRule="auto"/>
        <w:ind w:firstLine="480" w:firstLineChars="200"/>
        <w:textAlignment w:val="baseline"/>
        <w:rPr>
          <w:rFonts w:hAnsi="宋体"/>
          <w:sz w:val="24"/>
          <w:szCs w:val="24"/>
        </w:rPr>
      </w:pPr>
      <w:r>
        <w:rPr>
          <w:rFonts w:hint="eastAsia" w:hAnsi="宋体"/>
          <w:sz w:val="24"/>
          <w:szCs w:val="24"/>
        </w:rPr>
        <w:t>项目总投资121.50万元，其中建设投资106.50万元，流动资金15.00万元。全部为自筹资金，</w:t>
      </w:r>
      <w:r>
        <w:rPr>
          <w:rFonts w:hAnsi="宋体"/>
          <w:sz w:val="24"/>
          <w:szCs w:val="24"/>
        </w:rPr>
        <w:t>见</w:t>
      </w:r>
      <w:r>
        <w:rPr>
          <w:rFonts w:hint="eastAsia" w:hAnsi="宋体"/>
          <w:sz w:val="24"/>
          <w:szCs w:val="24"/>
        </w:rPr>
        <w:t>表10-2</w:t>
      </w:r>
      <w:r>
        <w:rPr>
          <w:rFonts w:hAnsi="宋体"/>
          <w:sz w:val="24"/>
          <w:szCs w:val="24"/>
        </w:rPr>
        <w:t>。</w:t>
      </w:r>
    </w:p>
    <w:p>
      <w:pPr>
        <w:spacing w:line="240" w:lineRule="atLeast"/>
        <w:jc w:val="center"/>
        <w:rPr>
          <w:b/>
        </w:rPr>
      </w:pPr>
      <w:r>
        <w:rPr>
          <w:rFonts w:hint="eastAsia"/>
          <w:b/>
        </w:rPr>
        <w:t xml:space="preserve">表10-2   </w:t>
      </w:r>
      <w:r>
        <w:rPr>
          <w:b/>
        </w:rPr>
        <w:t>项目</w:t>
      </w:r>
      <w:r>
        <w:rPr>
          <w:rFonts w:hint="eastAsia"/>
          <w:b/>
        </w:rPr>
        <w:t>新增投资</w:t>
      </w:r>
      <w:r>
        <w:rPr>
          <w:b/>
        </w:rPr>
        <w:t>估算表</w:t>
      </w:r>
    </w:p>
    <w:tbl>
      <w:tblPr>
        <w:tblStyle w:val="59"/>
        <w:tblW w:w="88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2476"/>
        <w:gridCol w:w="1124"/>
        <w:gridCol w:w="1128"/>
        <w:gridCol w:w="1138"/>
        <w:gridCol w:w="1116"/>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vMerge w:val="restart"/>
            <w:shd w:val="clear" w:color="auto" w:fill="FFFFFF"/>
            <w:vAlign w:val="center"/>
          </w:tcPr>
          <w:p>
            <w:pPr>
              <w:jc w:val="center"/>
            </w:pPr>
            <w:r>
              <w:rPr>
                <w:rFonts w:hint="eastAsia"/>
              </w:rPr>
              <w:t>序号</w:t>
            </w:r>
          </w:p>
        </w:tc>
        <w:tc>
          <w:tcPr>
            <w:tcW w:w="2476" w:type="dxa"/>
            <w:vMerge w:val="restart"/>
            <w:shd w:val="clear" w:color="auto" w:fill="FFFFFF"/>
            <w:vAlign w:val="center"/>
          </w:tcPr>
          <w:p>
            <w:pPr>
              <w:jc w:val="center"/>
            </w:pPr>
            <w:r>
              <w:rPr>
                <w:rFonts w:hint="eastAsia"/>
              </w:rPr>
              <w:t>工程或费用名称</w:t>
            </w:r>
          </w:p>
        </w:tc>
        <w:tc>
          <w:tcPr>
            <w:tcW w:w="5548" w:type="dxa"/>
            <w:gridSpan w:val="5"/>
            <w:shd w:val="clear" w:color="auto" w:fill="FFFFFF"/>
            <w:vAlign w:val="center"/>
          </w:tcPr>
          <w:p>
            <w:pPr>
              <w:jc w:val="center"/>
            </w:pPr>
            <w:r>
              <w:rPr>
                <w:rFonts w:hint="eastAsia"/>
              </w:rPr>
              <w:t>估算价值（万元）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vMerge w:val="continue"/>
            <w:shd w:val="clear" w:color="auto" w:fill="FFFFFF"/>
            <w:vAlign w:val="center"/>
          </w:tcPr>
          <w:p>
            <w:pPr>
              <w:jc w:val="center"/>
            </w:pPr>
          </w:p>
        </w:tc>
        <w:tc>
          <w:tcPr>
            <w:tcW w:w="2476" w:type="dxa"/>
            <w:vMerge w:val="continue"/>
            <w:shd w:val="clear" w:color="auto" w:fill="FFFFFF"/>
            <w:vAlign w:val="center"/>
          </w:tcPr>
          <w:p>
            <w:pPr>
              <w:jc w:val="center"/>
            </w:pPr>
          </w:p>
        </w:tc>
        <w:tc>
          <w:tcPr>
            <w:tcW w:w="1124" w:type="dxa"/>
            <w:shd w:val="clear" w:color="auto" w:fill="FFFFFF"/>
            <w:vAlign w:val="center"/>
          </w:tcPr>
          <w:p>
            <w:pPr>
              <w:jc w:val="center"/>
            </w:pPr>
            <w:r>
              <w:rPr>
                <w:rFonts w:hint="eastAsia"/>
              </w:rPr>
              <w:t>建筑工程</w:t>
            </w:r>
          </w:p>
        </w:tc>
        <w:tc>
          <w:tcPr>
            <w:tcW w:w="1128" w:type="dxa"/>
            <w:shd w:val="clear" w:color="auto" w:fill="FFFFFF"/>
            <w:vAlign w:val="center"/>
          </w:tcPr>
          <w:p>
            <w:pPr>
              <w:jc w:val="center"/>
            </w:pPr>
            <w:r>
              <w:rPr>
                <w:rFonts w:hint="eastAsia"/>
              </w:rPr>
              <w:t>设备购置</w:t>
            </w:r>
          </w:p>
        </w:tc>
        <w:tc>
          <w:tcPr>
            <w:tcW w:w="1138" w:type="dxa"/>
            <w:shd w:val="clear" w:color="auto" w:fill="FFFFFF"/>
            <w:vAlign w:val="center"/>
          </w:tcPr>
          <w:p>
            <w:pPr>
              <w:jc w:val="center"/>
            </w:pPr>
            <w:r>
              <w:rPr>
                <w:rFonts w:hint="eastAsia"/>
              </w:rPr>
              <w:t>安装费用</w:t>
            </w:r>
          </w:p>
        </w:tc>
        <w:tc>
          <w:tcPr>
            <w:tcW w:w="1116" w:type="dxa"/>
            <w:shd w:val="clear" w:color="auto" w:fill="FFFFFF"/>
            <w:vAlign w:val="center"/>
          </w:tcPr>
          <w:p>
            <w:pPr>
              <w:jc w:val="center"/>
            </w:pPr>
            <w:r>
              <w:rPr>
                <w:rFonts w:hint="eastAsia"/>
              </w:rPr>
              <w:t>其他费用</w:t>
            </w:r>
          </w:p>
        </w:tc>
        <w:tc>
          <w:tcPr>
            <w:tcW w:w="1042" w:type="dxa"/>
            <w:shd w:val="clear" w:color="auto" w:fill="FFFFFF"/>
            <w:vAlign w:val="center"/>
          </w:tcPr>
          <w:p>
            <w:pPr>
              <w:jc w:val="center"/>
            </w:pPr>
            <w:r>
              <w:rPr>
                <w:rFonts w:hint="eastAsia"/>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exact"/>
          <w:jc w:val="center"/>
        </w:trPr>
        <w:tc>
          <w:tcPr>
            <w:tcW w:w="776" w:type="dxa"/>
            <w:shd w:val="clear" w:color="auto" w:fill="FFFFFF"/>
            <w:vAlign w:val="center"/>
          </w:tcPr>
          <w:p>
            <w:pPr>
              <w:jc w:val="center"/>
            </w:pPr>
            <w:r>
              <w:rPr>
                <w:rFonts w:hint="eastAsia" w:ascii="宋体" w:hAnsi="宋体" w:cs="宋体"/>
                <w:b/>
                <w:bCs/>
              </w:rPr>
              <w:t>Ⅰ</w:t>
            </w:r>
          </w:p>
        </w:tc>
        <w:tc>
          <w:tcPr>
            <w:tcW w:w="2476" w:type="dxa"/>
            <w:shd w:val="clear" w:color="auto" w:fill="FFFFFF"/>
            <w:vAlign w:val="center"/>
          </w:tcPr>
          <w:p>
            <w:pPr>
              <w:jc w:val="center"/>
            </w:pPr>
            <w:r>
              <w:rPr>
                <w:rFonts w:hint="eastAsia"/>
              </w:rPr>
              <w:t>第一部分工程费用</w:t>
            </w:r>
          </w:p>
        </w:tc>
        <w:tc>
          <w:tcPr>
            <w:tcW w:w="1124" w:type="dxa"/>
            <w:shd w:val="clear" w:color="auto" w:fill="FFFFFF"/>
            <w:vAlign w:val="center"/>
          </w:tcPr>
          <w:p>
            <w:pPr>
              <w:jc w:val="center"/>
            </w:pP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exact"/>
          <w:jc w:val="center"/>
        </w:trPr>
        <w:tc>
          <w:tcPr>
            <w:tcW w:w="776" w:type="dxa"/>
            <w:shd w:val="clear" w:color="auto" w:fill="FFFFFF"/>
            <w:vAlign w:val="center"/>
          </w:tcPr>
          <w:p>
            <w:pPr>
              <w:jc w:val="center"/>
            </w:pPr>
            <w:r>
              <w:rPr>
                <w:rFonts w:hint="eastAsia"/>
              </w:rPr>
              <w:t>一</w:t>
            </w:r>
          </w:p>
        </w:tc>
        <w:tc>
          <w:tcPr>
            <w:tcW w:w="2476" w:type="dxa"/>
            <w:shd w:val="clear" w:color="auto" w:fill="FFFFFF"/>
            <w:vAlign w:val="center"/>
          </w:tcPr>
          <w:p>
            <w:pPr>
              <w:jc w:val="center"/>
            </w:pPr>
            <w:r>
              <w:rPr>
                <w:rFonts w:hint="eastAsia"/>
              </w:rPr>
              <w:t>矿山开采</w:t>
            </w:r>
          </w:p>
        </w:tc>
        <w:tc>
          <w:tcPr>
            <w:tcW w:w="1124" w:type="dxa"/>
            <w:shd w:val="clear" w:color="auto" w:fill="FFFFFF"/>
            <w:vAlign w:val="center"/>
          </w:tcPr>
          <w:p>
            <w:pPr>
              <w:jc w:val="center"/>
            </w:pP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r>
              <w:rPr>
                <w:rFonts w:hint="eastAsia"/>
                <w:lang w:val="zh-TW"/>
              </w:rPr>
              <w:t>1</w:t>
            </w:r>
          </w:p>
        </w:tc>
        <w:tc>
          <w:tcPr>
            <w:tcW w:w="2476" w:type="dxa"/>
            <w:shd w:val="clear" w:color="auto" w:fill="FFFFFF"/>
            <w:vAlign w:val="center"/>
          </w:tcPr>
          <w:p>
            <w:pPr>
              <w:jc w:val="center"/>
            </w:pPr>
            <w:r>
              <w:rPr>
                <w:rFonts w:hint="eastAsia"/>
              </w:rPr>
              <w:t>基建剥离</w:t>
            </w:r>
          </w:p>
        </w:tc>
        <w:tc>
          <w:tcPr>
            <w:tcW w:w="1124" w:type="dxa"/>
            <w:shd w:val="clear" w:color="auto" w:fill="FFFFFF"/>
            <w:vAlign w:val="center"/>
          </w:tcPr>
          <w:p>
            <w:pPr>
              <w:jc w:val="center"/>
            </w:pPr>
            <w:r>
              <w:rPr>
                <w:rFonts w:hint="eastAsia"/>
              </w:rPr>
              <w:t>30.00</w:t>
            </w: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r>
              <w:rPr>
                <w:rFonts w:hint="eastAsia"/>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exact"/>
          <w:jc w:val="center"/>
        </w:trPr>
        <w:tc>
          <w:tcPr>
            <w:tcW w:w="776" w:type="dxa"/>
            <w:shd w:val="clear" w:color="auto" w:fill="FFFFFF"/>
            <w:vAlign w:val="center"/>
          </w:tcPr>
          <w:p>
            <w:pPr>
              <w:jc w:val="center"/>
            </w:pPr>
          </w:p>
        </w:tc>
        <w:tc>
          <w:tcPr>
            <w:tcW w:w="2476" w:type="dxa"/>
            <w:shd w:val="clear" w:color="auto" w:fill="FFFFFF"/>
            <w:vAlign w:val="center"/>
          </w:tcPr>
          <w:p>
            <w:pPr>
              <w:jc w:val="center"/>
            </w:pPr>
            <w:r>
              <w:rPr>
                <w:rFonts w:hint="eastAsia"/>
              </w:rPr>
              <w:t>小</w:t>
            </w:r>
            <w:r>
              <w:rPr>
                <w:rFonts w:hint="eastAsia"/>
                <w:lang w:val="zh-TW"/>
              </w:rPr>
              <w:t xml:space="preserve"> </w:t>
            </w:r>
            <w:r>
              <w:rPr>
                <w:rFonts w:hint="eastAsia"/>
              </w:rPr>
              <w:t>计</w:t>
            </w:r>
          </w:p>
        </w:tc>
        <w:tc>
          <w:tcPr>
            <w:tcW w:w="1124" w:type="dxa"/>
            <w:shd w:val="clear" w:color="auto" w:fill="FFFFFF"/>
            <w:vAlign w:val="center"/>
          </w:tcPr>
          <w:p>
            <w:pPr>
              <w:jc w:val="center"/>
            </w:pPr>
            <w:r>
              <w:rPr>
                <w:rFonts w:hint="eastAsia"/>
              </w:rPr>
              <w:t>30.00</w:t>
            </w: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r>
              <w:rPr>
                <w:rFonts w:hint="eastAsia"/>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exact"/>
          <w:jc w:val="center"/>
        </w:trPr>
        <w:tc>
          <w:tcPr>
            <w:tcW w:w="776" w:type="dxa"/>
            <w:shd w:val="clear" w:color="auto" w:fill="FFFFFF"/>
            <w:vAlign w:val="center"/>
          </w:tcPr>
          <w:p>
            <w:pPr>
              <w:jc w:val="center"/>
            </w:pPr>
            <w:r>
              <w:rPr>
                <w:rFonts w:hint="eastAsia"/>
              </w:rPr>
              <w:t>二</w:t>
            </w:r>
          </w:p>
        </w:tc>
        <w:tc>
          <w:tcPr>
            <w:tcW w:w="2476" w:type="dxa"/>
            <w:shd w:val="clear" w:color="auto" w:fill="FFFFFF"/>
            <w:vAlign w:val="center"/>
          </w:tcPr>
          <w:p>
            <w:pPr>
              <w:jc w:val="center"/>
            </w:pPr>
            <w:r>
              <w:rPr>
                <w:rFonts w:hint="eastAsia"/>
              </w:rPr>
              <w:t>通信工程</w:t>
            </w:r>
          </w:p>
        </w:tc>
        <w:tc>
          <w:tcPr>
            <w:tcW w:w="1124" w:type="dxa"/>
            <w:shd w:val="clear" w:color="auto" w:fill="FFFFFF"/>
            <w:vAlign w:val="center"/>
          </w:tcPr>
          <w:p>
            <w:pPr>
              <w:jc w:val="center"/>
            </w:pP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exact"/>
          <w:jc w:val="center"/>
        </w:trPr>
        <w:tc>
          <w:tcPr>
            <w:tcW w:w="776" w:type="dxa"/>
            <w:shd w:val="clear" w:color="auto" w:fill="FFFFFF"/>
            <w:vAlign w:val="center"/>
          </w:tcPr>
          <w:p>
            <w:pPr>
              <w:jc w:val="center"/>
            </w:pPr>
            <w:r>
              <w:rPr>
                <w:rFonts w:hint="eastAsia"/>
                <w:lang w:val="zh-TW"/>
              </w:rPr>
              <w:t>1</w:t>
            </w:r>
          </w:p>
        </w:tc>
        <w:tc>
          <w:tcPr>
            <w:tcW w:w="2476" w:type="dxa"/>
            <w:shd w:val="clear" w:color="auto" w:fill="FFFFFF"/>
            <w:vAlign w:val="center"/>
          </w:tcPr>
          <w:p>
            <w:pPr>
              <w:jc w:val="center"/>
            </w:pPr>
            <w:r>
              <w:rPr>
                <w:rFonts w:hint="eastAsia"/>
              </w:rPr>
              <w:t>矿山通讯</w:t>
            </w:r>
          </w:p>
        </w:tc>
        <w:tc>
          <w:tcPr>
            <w:tcW w:w="1124" w:type="dxa"/>
            <w:shd w:val="clear" w:color="auto" w:fill="FFFFFF"/>
            <w:vAlign w:val="center"/>
          </w:tcPr>
          <w:p>
            <w:pPr>
              <w:jc w:val="center"/>
            </w:pPr>
          </w:p>
        </w:tc>
        <w:tc>
          <w:tcPr>
            <w:tcW w:w="1128" w:type="dxa"/>
            <w:shd w:val="clear" w:color="auto" w:fill="FFFFFF"/>
            <w:vAlign w:val="center"/>
          </w:tcPr>
          <w:p>
            <w:pPr>
              <w:jc w:val="center"/>
            </w:pPr>
            <w:r>
              <w:rPr>
                <w:rFonts w:hint="eastAsia"/>
              </w:rPr>
              <w:t>0.50</w:t>
            </w: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r>
              <w:rPr>
                <w:rFonts w:hint="eastAsia"/>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exact"/>
          <w:jc w:val="center"/>
        </w:trPr>
        <w:tc>
          <w:tcPr>
            <w:tcW w:w="776" w:type="dxa"/>
            <w:shd w:val="clear" w:color="auto" w:fill="FFFFFF"/>
            <w:vAlign w:val="center"/>
          </w:tcPr>
          <w:p>
            <w:pPr>
              <w:jc w:val="center"/>
            </w:pPr>
          </w:p>
        </w:tc>
        <w:tc>
          <w:tcPr>
            <w:tcW w:w="2476" w:type="dxa"/>
            <w:shd w:val="clear" w:color="auto" w:fill="FFFFFF"/>
            <w:vAlign w:val="center"/>
          </w:tcPr>
          <w:p>
            <w:pPr>
              <w:jc w:val="center"/>
            </w:pPr>
            <w:r>
              <w:rPr>
                <w:rFonts w:hint="eastAsia"/>
              </w:rPr>
              <w:t>小计</w:t>
            </w:r>
          </w:p>
        </w:tc>
        <w:tc>
          <w:tcPr>
            <w:tcW w:w="1124" w:type="dxa"/>
            <w:shd w:val="clear" w:color="auto" w:fill="FFFFFF"/>
            <w:vAlign w:val="center"/>
          </w:tcPr>
          <w:p>
            <w:pPr>
              <w:jc w:val="center"/>
            </w:pPr>
          </w:p>
        </w:tc>
        <w:tc>
          <w:tcPr>
            <w:tcW w:w="1128" w:type="dxa"/>
            <w:shd w:val="clear" w:color="auto" w:fill="FFFFFF"/>
            <w:vAlign w:val="center"/>
          </w:tcPr>
          <w:p>
            <w:pPr>
              <w:jc w:val="center"/>
            </w:pPr>
            <w:r>
              <w:rPr>
                <w:rFonts w:hint="eastAsia"/>
              </w:rPr>
              <w:t>0.50</w:t>
            </w: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r>
              <w:rPr>
                <w:rFonts w:hint="eastAsia"/>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exact"/>
          <w:jc w:val="center"/>
        </w:trPr>
        <w:tc>
          <w:tcPr>
            <w:tcW w:w="776" w:type="dxa"/>
            <w:shd w:val="clear" w:color="auto" w:fill="FFFFFF"/>
            <w:vAlign w:val="center"/>
          </w:tcPr>
          <w:p>
            <w:pPr>
              <w:jc w:val="center"/>
            </w:pPr>
            <w:r>
              <w:rPr>
                <w:rFonts w:hint="eastAsia"/>
              </w:rPr>
              <w:t>—</w:t>
            </w:r>
          </w:p>
        </w:tc>
        <w:tc>
          <w:tcPr>
            <w:tcW w:w="2476" w:type="dxa"/>
            <w:shd w:val="clear" w:color="auto" w:fill="FFFFFF"/>
            <w:vAlign w:val="center"/>
          </w:tcPr>
          <w:p>
            <w:pPr>
              <w:jc w:val="center"/>
            </w:pPr>
            <w:r>
              <w:rPr>
                <w:rFonts w:hint="eastAsia"/>
              </w:rPr>
              <w:t>供排水工程</w:t>
            </w:r>
          </w:p>
        </w:tc>
        <w:tc>
          <w:tcPr>
            <w:tcW w:w="1124" w:type="dxa"/>
            <w:shd w:val="clear" w:color="auto" w:fill="FFFFFF"/>
            <w:vAlign w:val="center"/>
          </w:tcPr>
          <w:p>
            <w:pPr>
              <w:jc w:val="center"/>
            </w:pP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exact"/>
          <w:jc w:val="center"/>
        </w:trPr>
        <w:tc>
          <w:tcPr>
            <w:tcW w:w="776" w:type="dxa"/>
            <w:shd w:val="clear" w:color="auto" w:fill="FFFFFF"/>
            <w:vAlign w:val="center"/>
          </w:tcPr>
          <w:p>
            <w:pPr>
              <w:jc w:val="center"/>
            </w:pPr>
            <w:r>
              <w:rPr>
                <w:rFonts w:hint="eastAsia"/>
                <w:lang w:val="zh-TW"/>
              </w:rPr>
              <w:t>1</w:t>
            </w:r>
          </w:p>
        </w:tc>
        <w:tc>
          <w:tcPr>
            <w:tcW w:w="2476" w:type="dxa"/>
            <w:shd w:val="clear" w:color="auto" w:fill="FFFFFF"/>
            <w:vAlign w:val="center"/>
          </w:tcPr>
          <w:p>
            <w:pPr>
              <w:jc w:val="center"/>
            </w:pPr>
            <w:r>
              <w:rPr>
                <w:rFonts w:hint="eastAsia"/>
              </w:rPr>
              <w:t>给排水设备</w:t>
            </w:r>
          </w:p>
        </w:tc>
        <w:tc>
          <w:tcPr>
            <w:tcW w:w="1124" w:type="dxa"/>
            <w:shd w:val="clear" w:color="auto" w:fill="FFFFFF"/>
            <w:vAlign w:val="center"/>
          </w:tcPr>
          <w:p>
            <w:pPr>
              <w:jc w:val="center"/>
            </w:pPr>
            <w:r>
              <w:rPr>
                <w:rFonts w:hint="eastAsia"/>
              </w:rPr>
              <w:t>1.00</w:t>
            </w: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r>
              <w:rPr>
                <w:rFonts w:hint="eastAsi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exact"/>
          <w:jc w:val="center"/>
        </w:trPr>
        <w:tc>
          <w:tcPr>
            <w:tcW w:w="776" w:type="dxa"/>
            <w:shd w:val="clear" w:color="auto" w:fill="FFFFFF"/>
            <w:vAlign w:val="center"/>
          </w:tcPr>
          <w:p>
            <w:pPr>
              <w:jc w:val="center"/>
            </w:pPr>
          </w:p>
        </w:tc>
        <w:tc>
          <w:tcPr>
            <w:tcW w:w="2476" w:type="dxa"/>
            <w:shd w:val="clear" w:color="auto" w:fill="FFFFFF"/>
            <w:vAlign w:val="center"/>
          </w:tcPr>
          <w:p>
            <w:pPr>
              <w:jc w:val="center"/>
            </w:pPr>
            <w:r>
              <w:rPr>
                <w:rFonts w:hint="eastAsia"/>
              </w:rPr>
              <w:t>小计</w:t>
            </w:r>
          </w:p>
        </w:tc>
        <w:tc>
          <w:tcPr>
            <w:tcW w:w="1124" w:type="dxa"/>
            <w:shd w:val="clear" w:color="auto" w:fill="FFFFFF"/>
            <w:vAlign w:val="center"/>
          </w:tcPr>
          <w:p>
            <w:pPr>
              <w:jc w:val="center"/>
            </w:pPr>
            <w:r>
              <w:rPr>
                <w:rFonts w:hint="eastAsia"/>
              </w:rPr>
              <w:t>1.00</w:t>
            </w: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r>
              <w:rPr>
                <w:rFonts w:hint="eastAsi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r>
              <w:rPr>
                <w:rFonts w:hint="eastAsia"/>
              </w:rPr>
              <w:t>四</w:t>
            </w:r>
          </w:p>
        </w:tc>
        <w:tc>
          <w:tcPr>
            <w:tcW w:w="2476" w:type="dxa"/>
            <w:shd w:val="clear" w:color="auto" w:fill="FFFFFF"/>
            <w:vAlign w:val="center"/>
          </w:tcPr>
          <w:p>
            <w:pPr>
              <w:jc w:val="center"/>
            </w:pPr>
            <w:r>
              <w:rPr>
                <w:rFonts w:hint="eastAsia"/>
              </w:rPr>
              <w:t>总平面及运输</w:t>
            </w:r>
          </w:p>
        </w:tc>
        <w:tc>
          <w:tcPr>
            <w:tcW w:w="1124" w:type="dxa"/>
            <w:shd w:val="clear" w:color="auto" w:fill="FFFFFF"/>
            <w:vAlign w:val="center"/>
          </w:tcPr>
          <w:p>
            <w:pPr>
              <w:jc w:val="center"/>
            </w:pP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r>
              <w:rPr>
                <w:rFonts w:hint="eastAsia"/>
                <w:lang w:val="zh-TW"/>
              </w:rPr>
              <w:t>1</w:t>
            </w:r>
          </w:p>
        </w:tc>
        <w:tc>
          <w:tcPr>
            <w:tcW w:w="2476" w:type="dxa"/>
            <w:shd w:val="clear" w:color="auto" w:fill="FFFFFF"/>
            <w:vAlign w:val="center"/>
          </w:tcPr>
          <w:p>
            <w:pPr>
              <w:jc w:val="center"/>
            </w:pPr>
            <w:r>
              <w:rPr>
                <w:rFonts w:hint="eastAsia"/>
              </w:rPr>
              <w:t>道路</w:t>
            </w:r>
          </w:p>
        </w:tc>
        <w:tc>
          <w:tcPr>
            <w:tcW w:w="1124" w:type="dxa"/>
            <w:shd w:val="clear" w:color="auto" w:fill="FFFFFF"/>
            <w:vAlign w:val="center"/>
          </w:tcPr>
          <w:p>
            <w:pPr>
              <w:jc w:val="center"/>
            </w:pPr>
            <w:r>
              <w:rPr>
                <w:rFonts w:hint="eastAsia"/>
              </w:rPr>
              <w:t>30.00</w:t>
            </w: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r>
              <w:rPr>
                <w:rFonts w:hint="eastAsia"/>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r>
              <w:rPr>
                <w:rFonts w:hint="eastAsia"/>
                <w:lang w:val="zh-TW"/>
              </w:rPr>
              <w:t>2</w:t>
            </w:r>
          </w:p>
        </w:tc>
        <w:tc>
          <w:tcPr>
            <w:tcW w:w="2476" w:type="dxa"/>
            <w:shd w:val="clear" w:color="auto" w:fill="FFFFFF"/>
            <w:vAlign w:val="center"/>
          </w:tcPr>
          <w:p>
            <w:pPr>
              <w:jc w:val="center"/>
            </w:pPr>
            <w:r>
              <w:rPr>
                <w:rFonts w:hint="eastAsia"/>
              </w:rPr>
              <w:t>水土保持与绿化</w:t>
            </w:r>
          </w:p>
        </w:tc>
        <w:tc>
          <w:tcPr>
            <w:tcW w:w="1124" w:type="dxa"/>
            <w:shd w:val="clear" w:color="auto" w:fill="FFFFFF"/>
            <w:vAlign w:val="center"/>
          </w:tcPr>
          <w:p>
            <w:pPr>
              <w:jc w:val="center"/>
            </w:pP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r>
              <w:rPr>
                <w:rFonts w:hint="eastAsia"/>
              </w:rPr>
              <w:t>25.00</w:t>
            </w:r>
          </w:p>
        </w:tc>
        <w:tc>
          <w:tcPr>
            <w:tcW w:w="1042" w:type="dxa"/>
            <w:shd w:val="clear" w:color="auto" w:fill="FFFFFF"/>
            <w:vAlign w:val="center"/>
          </w:tcPr>
          <w:p>
            <w:pPr>
              <w:jc w:val="center"/>
            </w:pPr>
            <w:r>
              <w:rPr>
                <w:rFonts w:hint="eastAsia"/>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r>
              <w:rPr>
                <w:rFonts w:hint="eastAsia"/>
                <w:lang w:val="zh-TW"/>
              </w:rPr>
              <w:t>3</w:t>
            </w:r>
          </w:p>
        </w:tc>
        <w:tc>
          <w:tcPr>
            <w:tcW w:w="2476" w:type="dxa"/>
            <w:shd w:val="clear" w:color="auto" w:fill="FFFFFF"/>
            <w:vAlign w:val="center"/>
          </w:tcPr>
          <w:p>
            <w:pPr>
              <w:jc w:val="center"/>
            </w:pPr>
            <w:r>
              <w:rPr>
                <w:rFonts w:hint="eastAsia"/>
              </w:rPr>
              <w:t>截水沟</w:t>
            </w:r>
          </w:p>
        </w:tc>
        <w:tc>
          <w:tcPr>
            <w:tcW w:w="1124" w:type="dxa"/>
            <w:shd w:val="clear" w:color="auto" w:fill="FFFFFF"/>
            <w:vAlign w:val="center"/>
          </w:tcPr>
          <w:p>
            <w:pPr>
              <w:jc w:val="center"/>
            </w:pPr>
            <w:r>
              <w:rPr>
                <w:rFonts w:hint="eastAsia"/>
              </w:rPr>
              <w:t>1.00</w:t>
            </w: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r>
              <w:rPr>
                <w:rFonts w:hint="eastAsi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p>
        </w:tc>
        <w:tc>
          <w:tcPr>
            <w:tcW w:w="2476" w:type="dxa"/>
            <w:shd w:val="clear" w:color="auto" w:fill="FFFFFF"/>
            <w:vAlign w:val="center"/>
          </w:tcPr>
          <w:p>
            <w:pPr>
              <w:jc w:val="center"/>
            </w:pPr>
            <w:r>
              <w:rPr>
                <w:rFonts w:hint="eastAsia"/>
              </w:rPr>
              <w:t>小计</w:t>
            </w:r>
          </w:p>
        </w:tc>
        <w:tc>
          <w:tcPr>
            <w:tcW w:w="1124" w:type="dxa"/>
            <w:shd w:val="clear" w:color="auto" w:fill="FFFFFF"/>
            <w:vAlign w:val="center"/>
          </w:tcPr>
          <w:p>
            <w:pPr>
              <w:jc w:val="center"/>
            </w:pPr>
            <w:r>
              <w:rPr>
                <w:rFonts w:hint="eastAsia"/>
              </w:rPr>
              <w:t>31.00</w:t>
            </w: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r>
              <w:rPr>
                <w:rFonts w:hint="eastAsia"/>
              </w:rPr>
              <w:t>25.00</w:t>
            </w:r>
          </w:p>
        </w:tc>
        <w:tc>
          <w:tcPr>
            <w:tcW w:w="1042" w:type="dxa"/>
            <w:shd w:val="clear" w:color="auto" w:fill="FFFFFF"/>
            <w:vAlign w:val="center"/>
          </w:tcPr>
          <w:p>
            <w:pPr>
              <w:jc w:val="center"/>
            </w:pPr>
            <w:r>
              <w:rPr>
                <w:rFonts w:hint="eastAsia"/>
              </w:rPr>
              <w:t>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p>
        </w:tc>
        <w:tc>
          <w:tcPr>
            <w:tcW w:w="2476" w:type="dxa"/>
            <w:shd w:val="clear" w:color="auto" w:fill="FFFFFF"/>
            <w:vAlign w:val="center"/>
          </w:tcPr>
          <w:p>
            <w:pPr>
              <w:jc w:val="center"/>
            </w:pPr>
            <w:r>
              <w:rPr>
                <w:rFonts w:hint="eastAsia"/>
              </w:rPr>
              <w:t>第一部分工程费用合计</w:t>
            </w:r>
          </w:p>
        </w:tc>
        <w:tc>
          <w:tcPr>
            <w:tcW w:w="1124" w:type="dxa"/>
            <w:shd w:val="clear" w:color="auto" w:fill="FFFFFF"/>
            <w:vAlign w:val="center"/>
          </w:tcPr>
          <w:p>
            <w:pPr>
              <w:jc w:val="center"/>
            </w:pPr>
            <w:r>
              <w:rPr>
                <w:rFonts w:hint="eastAsia"/>
              </w:rPr>
              <w:t>62.00</w:t>
            </w:r>
          </w:p>
        </w:tc>
        <w:tc>
          <w:tcPr>
            <w:tcW w:w="1128" w:type="dxa"/>
            <w:shd w:val="clear" w:color="auto" w:fill="FFFFFF"/>
            <w:vAlign w:val="center"/>
          </w:tcPr>
          <w:p>
            <w:pPr>
              <w:jc w:val="center"/>
            </w:pPr>
            <w:r>
              <w:rPr>
                <w:rFonts w:hint="eastAsia"/>
              </w:rPr>
              <w:t>0.50</w:t>
            </w:r>
          </w:p>
        </w:tc>
        <w:tc>
          <w:tcPr>
            <w:tcW w:w="1138" w:type="dxa"/>
            <w:shd w:val="clear" w:color="auto" w:fill="FFFFFF"/>
            <w:vAlign w:val="center"/>
          </w:tcPr>
          <w:p>
            <w:pPr>
              <w:jc w:val="center"/>
            </w:pPr>
          </w:p>
        </w:tc>
        <w:tc>
          <w:tcPr>
            <w:tcW w:w="1116" w:type="dxa"/>
            <w:shd w:val="clear" w:color="auto" w:fill="FFFFFF"/>
            <w:vAlign w:val="center"/>
          </w:tcPr>
          <w:p>
            <w:pPr>
              <w:jc w:val="center"/>
            </w:pPr>
            <w:r>
              <w:rPr>
                <w:rFonts w:hint="eastAsia"/>
              </w:rPr>
              <w:t>25.00</w:t>
            </w:r>
          </w:p>
        </w:tc>
        <w:tc>
          <w:tcPr>
            <w:tcW w:w="1042" w:type="dxa"/>
            <w:shd w:val="clear" w:color="auto" w:fill="FFFFFF"/>
            <w:vAlign w:val="center"/>
          </w:tcPr>
          <w:p>
            <w:pPr>
              <w:jc w:val="center"/>
            </w:pPr>
            <w:r>
              <w:rPr>
                <w:rFonts w:hint="eastAsia"/>
              </w:rPr>
              <w:t>87.50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r>
              <w:rPr>
                <w:rFonts w:hint="eastAsia" w:ascii="宋体" w:hAnsi="宋体" w:cs="宋体"/>
                <w:b/>
                <w:bCs/>
              </w:rPr>
              <w:t>Ⅱ</w:t>
            </w:r>
          </w:p>
        </w:tc>
        <w:tc>
          <w:tcPr>
            <w:tcW w:w="2476" w:type="dxa"/>
            <w:shd w:val="clear" w:color="auto" w:fill="FFFFFF"/>
            <w:vAlign w:val="center"/>
          </w:tcPr>
          <w:p>
            <w:pPr>
              <w:jc w:val="center"/>
            </w:pPr>
            <w:r>
              <w:rPr>
                <w:rFonts w:hint="eastAsia"/>
              </w:rPr>
              <w:t>第二部分其他费用</w:t>
            </w:r>
          </w:p>
        </w:tc>
        <w:tc>
          <w:tcPr>
            <w:tcW w:w="1124" w:type="dxa"/>
            <w:shd w:val="clear" w:color="auto" w:fill="FFFFFF"/>
            <w:vAlign w:val="center"/>
          </w:tcPr>
          <w:p>
            <w:pPr>
              <w:jc w:val="center"/>
            </w:pP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p>
        </w:tc>
        <w:tc>
          <w:tcPr>
            <w:tcW w:w="1042" w:type="dxa"/>
            <w:shd w:val="clear" w:color="auto" w:fill="FFFFFF"/>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r>
              <w:rPr>
                <w:rFonts w:hint="eastAsia"/>
                <w:lang w:val="zh-TW"/>
              </w:rPr>
              <w:t>1</w:t>
            </w:r>
          </w:p>
        </w:tc>
        <w:tc>
          <w:tcPr>
            <w:tcW w:w="2476" w:type="dxa"/>
            <w:shd w:val="clear" w:color="auto" w:fill="FFFFFF"/>
            <w:vAlign w:val="center"/>
          </w:tcPr>
          <w:p>
            <w:pPr>
              <w:jc w:val="center"/>
            </w:pPr>
            <w:r>
              <w:rPr>
                <w:rFonts w:hint="eastAsia"/>
              </w:rPr>
              <w:t>地勘、设计等费用</w:t>
            </w:r>
          </w:p>
        </w:tc>
        <w:tc>
          <w:tcPr>
            <w:tcW w:w="1124" w:type="dxa"/>
            <w:shd w:val="clear" w:color="auto" w:fill="FFFFFF"/>
            <w:vAlign w:val="center"/>
          </w:tcPr>
          <w:p>
            <w:pPr>
              <w:jc w:val="center"/>
            </w:pP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r>
              <w:rPr>
                <w:rFonts w:hint="eastAsia"/>
              </w:rPr>
              <w:t>10.00</w:t>
            </w:r>
          </w:p>
        </w:tc>
        <w:tc>
          <w:tcPr>
            <w:tcW w:w="1042" w:type="dxa"/>
            <w:shd w:val="clear" w:color="auto" w:fill="FFFFFF"/>
            <w:vAlign w:val="center"/>
          </w:tcPr>
          <w:p>
            <w:pPr>
              <w:jc w:val="center"/>
            </w:pPr>
            <w:r>
              <w:rPr>
                <w:rFonts w:hint="eastAsia"/>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r>
              <w:rPr>
                <w:rFonts w:hint="eastAsia"/>
                <w:lang w:val="zh-TW"/>
              </w:rPr>
              <w:t>2</w:t>
            </w:r>
          </w:p>
        </w:tc>
        <w:tc>
          <w:tcPr>
            <w:tcW w:w="2476" w:type="dxa"/>
            <w:shd w:val="clear" w:color="auto" w:fill="FFFFFF"/>
            <w:vAlign w:val="center"/>
          </w:tcPr>
          <w:p>
            <w:pPr>
              <w:jc w:val="center"/>
            </w:pPr>
            <w:r>
              <w:rPr>
                <w:rFonts w:hint="eastAsia"/>
              </w:rPr>
              <w:t>安全投入</w:t>
            </w:r>
          </w:p>
        </w:tc>
        <w:tc>
          <w:tcPr>
            <w:tcW w:w="1124" w:type="dxa"/>
            <w:shd w:val="clear" w:color="auto" w:fill="FFFFFF"/>
            <w:vAlign w:val="center"/>
          </w:tcPr>
          <w:p>
            <w:pPr>
              <w:jc w:val="center"/>
            </w:pP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r>
              <w:rPr>
                <w:rFonts w:hint="eastAsia"/>
              </w:rPr>
              <w:t>3.00</w:t>
            </w:r>
          </w:p>
        </w:tc>
        <w:tc>
          <w:tcPr>
            <w:tcW w:w="1042" w:type="dxa"/>
            <w:shd w:val="clear" w:color="auto" w:fill="FFFFFF"/>
            <w:vAlign w:val="center"/>
          </w:tcPr>
          <w:p>
            <w:pPr>
              <w:jc w:val="center"/>
            </w:pPr>
            <w:r>
              <w:rPr>
                <w:rFonts w:hint="eastAsia"/>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r>
              <w:rPr>
                <w:rFonts w:hint="eastAsia"/>
                <w:lang w:val="zh-TW"/>
              </w:rPr>
              <w:t>3</w:t>
            </w:r>
          </w:p>
        </w:tc>
        <w:tc>
          <w:tcPr>
            <w:tcW w:w="2476" w:type="dxa"/>
            <w:shd w:val="clear" w:color="auto" w:fill="FFFFFF"/>
            <w:vAlign w:val="center"/>
          </w:tcPr>
          <w:p>
            <w:pPr>
              <w:jc w:val="center"/>
            </w:pPr>
            <w:r>
              <w:rPr>
                <w:rFonts w:hint="eastAsia"/>
              </w:rPr>
              <w:t>采矿权价款及其他费用</w:t>
            </w:r>
          </w:p>
        </w:tc>
        <w:tc>
          <w:tcPr>
            <w:tcW w:w="1124" w:type="dxa"/>
            <w:shd w:val="clear" w:color="auto" w:fill="FFFFFF"/>
            <w:vAlign w:val="center"/>
          </w:tcPr>
          <w:p>
            <w:pPr>
              <w:jc w:val="center"/>
            </w:pP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r>
              <w:rPr>
                <w:rFonts w:hint="eastAsia"/>
              </w:rPr>
              <w:t>6.00</w:t>
            </w:r>
          </w:p>
        </w:tc>
        <w:tc>
          <w:tcPr>
            <w:tcW w:w="1042" w:type="dxa"/>
            <w:shd w:val="clear" w:color="auto" w:fill="FFFFFF"/>
            <w:vAlign w:val="center"/>
          </w:tcPr>
          <w:p>
            <w:pPr>
              <w:jc w:val="center"/>
            </w:pPr>
            <w:r>
              <w:rPr>
                <w:rFonts w:hint="eastAsia"/>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p>
        </w:tc>
        <w:tc>
          <w:tcPr>
            <w:tcW w:w="2476" w:type="dxa"/>
            <w:shd w:val="clear" w:color="auto" w:fill="FFFFFF"/>
            <w:vAlign w:val="center"/>
          </w:tcPr>
          <w:p>
            <w:pPr>
              <w:jc w:val="center"/>
            </w:pPr>
            <w:r>
              <w:rPr>
                <w:rFonts w:hint="eastAsia"/>
              </w:rPr>
              <w:t>第二部分其他费用合计</w:t>
            </w:r>
          </w:p>
        </w:tc>
        <w:tc>
          <w:tcPr>
            <w:tcW w:w="1124" w:type="dxa"/>
            <w:shd w:val="clear" w:color="auto" w:fill="FFFFFF"/>
            <w:vAlign w:val="center"/>
          </w:tcPr>
          <w:p>
            <w:pPr>
              <w:jc w:val="center"/>
            </w:pP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r>
              <w:rPr>
                <w:rFonts w:hint="eastAsia"/>
              </w:rPr>
              <w:t>24.00</w:t>
            </w:r>
          </w:p>
        </w:tc>
        <w:tc>
          <w:tcPr>
            <w:tcW w:w="1042" w:type="dxa"/>
            <w:shd w:val="clear" w:color="auto" w:fill="FFFFFF"/>
            <w:vAlign w:val="center"/>
          </w:tcPr>
          <w:p>
            <w:pPr>
              <w:jc w:val="center"/>
            </w:pPr>
            <w:r>
              <w:rPr>
                <w:rFonts w:hint="eastAsia"/>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p>
        </w:tc>
        <w:tc>
          <w:tcPr>
            <w:tcW w:w="2476" w:type="dxa"/>
            <w:shd w:val="clear" w:color="auto" w:fill="FFFFFF"/>
            <w:vAlign w:val="center"/>
          </w:tcPr>
          <w:p>
            <w:pPr>
              <w:jc w:val="center"/>
            </w:pPr>
            <w:r>
              <w:rPr>
                <w:rFonts w:hint="eastAsia"/>
              </w:rPr>
              <w:t>第一、二部分费用合计</w:t>
            </w:r>
          </w:p>
        </w:tc>
        <w:tc>
          <w:tcPr>
            <w:tcW w:w="1124" w:type="dxa"/>
            <w:shd w:val="clear" w:color="auto" w:fill="FFFFFF"/>
            <w:vAlign w:val="center"/>
          </w:tcPr>
          <w:p>
            <w:pPr>
              <w:jc w:val="center"/>
            </w:pPr>
            <w:r>
              <w:rPr>
                <w:rFonts w:hint="eastAsia"/>
              </w:rPr>
              <w:t>52.00</w:t>
            </w:r>
          </w:p>
        </w:tc>
        <w:tc>
          <w:tcPr>
            <w:tcW w:w="1128" w:type="dxa"/>
            <w:shd w:val="clear" w:color="auto" w:fill="FFFFFF"/>
            <w:vAlign w:val="center"/>
          </w:tcPr>
          <w:p>
            <w:pPr>
              <w:jc w:val="center"/>
            </w:pPr>
            <w:r>
              <w:rPr>
                <w:rFonts w:hint="eastAsia"/>
              </w:rPr>
              <w:t>10.5</w:t>
            </w:r>
          </w:p>
        </w:tc>
        <w:tc>
          <w:tcPr>
            <w:tcW w:w="1138" w:type="dxa"/>
            <w:shd w:val="clear" w:color="auto" w:fill="FFFFFF"/>
            <w:vAlign w:val="center"/>
          </w:tcPr>
          <w:p>
            <w:pPr>
              <w:jc w:val="center"/>
            </w:pPr>
          </w:p>
        </w:tc>
        <w:tc>
          <w:tcPr>
            <w:tcW w:w="1116" w:type="dxa"/>
            <w:shd w:val="clear" w:color="auto" w:fill="FFFFFF"/>
            <w:vAlign w:val="center"/>
          </w:tcPr>
          <w:p>
            <w:pPr>
              <w:jc w:val="center"/>
            </w:pPr>
            <w:r>
              <w:rPr>
                <w:rFonts w:hint="eastAsia"/>
              </w:rPr>
              <w:t>49.00</w:t>
            </w:r>
          </w:p>
        </w:tc>
        <w:tc>
          <w:tcPr>
            <w:tcW w:w="1042" w:type="dxa"/>
            <w:shd w:val="clear" w:color="auto" w:fill="FFFFFF"/>
            <w:vAlign w:val="center"/>
          </w:tcPr>
          <w:p>
            <w:pPr>
              <w:jc w:val="center"/>
            </w:pPr>
            <w:r>
              <w:rPr>
                <w:rFonts w:hint="eastAsia"/>
              </w:rPr>
              <w:t>111.50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r>
              <w:rPr>
                <w:rFonts w:hint="eastAsia" w:ascii="宋体" w:hAnsi="宋体" w:cs="宋体"/>
                <w:b/>
                <w:bCs/>
              </w:rPr>
              <w:t>Ⅲ</w:t>
            </w:r>
          </w:p>
        </w:tc>
        <w:tc>
          <w:tcPr>
            <w:tcW w:w="2476" w:type="dxa"/>
            <w:shd w:val="clear" w:color="auto" w:fill="FFFFFF"/>
            <w:vAlign w:val="center"/>
          </w:tcPr>
          <w:p>
            <w:pPr>
              <w:jc w:val="center"/>
            </w:pPr>
            <w:r>
              <w:rPr>
                <w:rFonts w:hint="eastAsia"/>
              </w:rPr>
              <w:t>第三部分流动资金合计</w:t>
            </w:r>
          </w:p>
        </w:tc>
        <w:tc>
          <w:tcPr>
            <w:tcW w:w="1124" w:type="dxa"/>
            <w:shd w:val="clear" w:color="auto" w:fill="FFFFFF"/>
            <w:vAlign w:val="center"/>
          </w:tcPr>
          <w:p>
            <w:pPr>
              <w:jc w:val="center"/>
            </w:pPr>
          </w:p>
        </w:tc>
        <w:tc>
          <w:tcPr>
            <w:tcW w:w="1128" w:type="dxa"/>
            <w:shd w:val="clear" w:color="auto" w:fill="FFFFFF"/>
            <w:vAlign w:val="center"/>
          </w:tcPr>
          <w:p>
            <w:pPr>
              <w:jc w:val="center"/>
            </w:pPr>
          </w:p>
        </w:tc>
        <w:tc>
          <w:tcPr>
            <w:tcW w:w="1138" w:type="dxa"/>
            <w:shd w:val="clear" w:color="auto" w:fill="FFFFFF"/>
            <w:vAlign w:val="center"/>
          </w:tcPr>
          <w:p>
            <w:pPr>
              <w:jc w:val="center"/>
            </w:pPr>
          </w:p>
        </w:tc>
        <w:tc>
          <w:tcPr>
            <w:tcW w:w="1116" w:type="dxa"/>
            <w:shd w:val="clear" w:color="auto" w:fill="FFFFFF"/>
            <w:vAlign w:val="center"/>
          </w:tcPr>
          <w:p>
            <w:pPr>
              <w:jc w:val="center"/>
            </w:pPr>
            <w:r>
              <w:rPr>
                <w:rFonts w:hint="eastAsia"/>
              </w:rPr>
              <w:t>15.00</w:t>
            </w:r>
          </w:p>
        </w:tc>
        <w:tc>
          <w:tcPr>
            <w:tcW w:w="1042" w:type="dxa"/>
            <w:shd w:val="clear" w:color="auto" w:fill="FFFFFF"/>
            <w:vAlign w:val="center"/>
          </w:tcPr>
          <w:p>
            <w:pPr>
              <w:jc w:val="center"/>
            </w:pPr>
            <w:r>
              <w:rPr>
                <w:rFonts w:hint="eastAsia"/>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776" w:type="dxa"/>
            <w:shd w:val="clear" w:color="auto" w:fill="FFFFFF"/>
            <w:vAlign w:val="center"/>
          </w:tcPr>
          <w:p>
            <w:pPr>
              <w:jc w:val="center"/>
            </w:pPr>
          </w:p>
        </w:tc>
        <w:tc>
          <w:tcPr>
            <w:tcW w:w="2476" w:type="dxa"/>
            <w:shd w:val="clear" w:color="auto" w:fill="FFFFFF"/>
            <w:vAlign w:val="center"/>
          </w:tcPr>
          <w:p>
            <w:pPr>
              <w:jc w:val="center"/>
            </w:pPr>
            <w:r>
              <w:rPr>
                <w:rFonts w:hint="eastAsia"/>
              </w:rPr>
              <w:t>总投资</w:t>
            </w:r>
          </w:p>
        </w:tc>
        <w:tc>
          <w:tcPr>
            <w:tcW w:w="1124" w:type="dxa"/>
            <w:shd w:val="clear" w:color="auto" w:fill="FFFFFF"/>
            <w:vAlign w:val="center"/>
          </w:tcPr>
          <w:p>
            <w:pPr>
              <w:jc w:val="center"/>
            </w:pPr>
            <w:r>
              <w:rPr>
                <w:rFonts w:hint="eastAsia"/>
              </w:rPr>
              <w:t>62.00</w:t>
            </w:r>
          </w:p>
        </w:tc>
        <w:tc>
          <w:tcPr>
            <w:tcW w:w="1128" w:type="dxa"/>
            <w:shd w:val="clear" w:color="auto" w:fill="FFFFFF"/>
            <w:vAlign w:val="center"/>
          </w:tcPr>
          <w:p>
            <w:pPr>
              <w:jc w:val="center"/>
            </w:pPr>
            <w:r>
              <w:rPr>
                <w:rFonts w:hint="eastAsia"/>
              </w:rPr>
              <w:t>0.50</w:t>
            </w:r>
          </w:p>
        </w:tc>
        <w:tc>
          <w:tcPr>
            <w:tcW w:w="1138" w:type="dxa"/>
            <w:shd w:val="clear" w:color="auto" w:fill="FFFFFF"/>
            <w:vAlign w:val="center"/>
          </w:tcPr>
          <w:p>
            <w:pPr>
              <w:jc w:val="center"/>
            </w:pPr>
          </w:p>
        </w:tc>
        <w:tc>
          <w:tcPr>
            <w:tcW w:w="1116" w:type="dxa"/>
            <w:shd w:val="clear" w:color="auto" w:fill="FFFFFF"/>
            <w:vAlign w:val="center"/>
          </w:tcPr>
          <w:p>
            <w:pPr>
              <w:jc w:val="center"/>
            </w:pPr>
            <w:r>
              <w:rPr>
                <w:rFonts w:hint="eastAsia"/>
              </w:rPr>
              <w:t>59.00</w:t>
            </w:r>
          </w:p>
        </w:tc>
        <w:tc>
          <w:tcPr>
            <w:tcW w:w="1042" w:type="dxa"/>
            <w:shd w:val="clear" w:color="auto" w:fill="FFFFFF"/>
            <w:vAlign w:val="center"/>
          </w:tcPr>
          <w:p>
            <w:pPr>
              <w:jc w:val="center"/>
            </w:pPr>
            <w:r>
              <w:rPr>
                <w:rFonts w:hint="eastAsia"/>
              </w:rPr>
              <w:t>121.50</w:t>
            </w:r>
          </w:p>
        </w:tc>
      </w:tr>
    </w:tbl>
    <w:p>
      <w:pPr>
        <w:spacing w:line="240" w:lineRule="atLeast"/>
        <w:jc w:val="center"/>
        <w:rPr>
          <w:b/>
        </w:rPr>
      </w:pPr>
    </w:p>
    <w:p>
      <w:pPr>
        <w:numPr>
          <w:ilvl w:val="1"/>
          <w:numId w:val="2"/>
        </w:numPr>
        <w:spacing w:line="360" w:lineRule="auto"/>
        <w:outlineLvl w:val="1"/>
        <w:rPr>
          <w:rFonts w:ascii="宋体" w:hAnsi="宋体" w:cs="宋体"/>
          <w:b/>
          <w:bCs/>
          <w:color w:val="000000"/>
          <w:sz w:val="30"/>
          <w:szCs w:val="30"/>
        </w:rPr>
      </w:pPr>
      <w:bookmarkStart w:id="310" w:name="_Toc28580"/>
      <w:bookmarkStart w:id="311" w:name="_Toc456610977"/>
      <w:bookmarkStart w:id="312" w:name="_Toc215906621"/>
      <w:bookmarkStart w:id="313" w:name="_Toc22494"/>
      <w:bookmarkStart w:id="314" w:name="_Toc364440472"/>
      <w:bookmarkStart w:id="315" w:name="_Toc249115621"/>
      <w:r>
        <w:rPr>
          <w:rFonts w:hint="eastAsia" w:ascii="宋体" w:hAnsi="宋体" w:cs="宋体"/>
          <w:b/>
          <w:bCs/>
          <w:color w:val="000000"/>
          <w:sz w:val="30"/>
          <w:szCs w:val="30"/>
        </w:rPr>
        <w:t>总成本费用估算</w:t>
      </w:r>
      <w:bookmarkEnd w:id="310"/>
      <w:bookmarkEnd w:id="311"/>
      <w:bookmarkEnd w:id="312"/>
      <w:bookmarkEnd w:id="313"/>
      <w:bookmarkEnd w:id="314"/>
      <w:bookmarkEnd w:id="315"/>
    </w:p>
    <w:p>
      <w:pPr>
        <w:spacing w:line="360" w:lineRule="auto"/>
        <w:ind w:firstLine="480" w:firstLineChars="200"/>
        <w:rPr>
          <w:rFonts w:ascii="宋体" w:hAnsi="宋体"/>
          <w:sz w:val="24"/>
        </w:rPr>
      </w:pPr>
      <w:bookmarkStart w:id="316" w:name="_Toc364440473"/>
      <w:bookmarkStart w:id="317" w:name="_Toc215906622"/>
      <w:bookmarkStart w:id="318" w:name="_Toc249115622"/>
      <w:r>
        <w:rPr>
          <w:rFonts w:hint="eastAsia" w:ascii="宋体" w:hAnsi="宋体"/>
          <w:sz w:val="24"/>
        </w:rPr>
        <w:t>项目期间，全部产品年平均总成本费用54.59万元，单位产品开采成本费用18.32 元/立方米。矿石成本计算见表10-3。</w:t>
      </w:r>
    </w:p>
    <w:p>
      <w:pPr>
        <w:spacing w:line="360" w:lineRule="auto"/>
        <w:ind w:firstLine="422" w:firstLineChars="200"/>
        <w:jc w:val="center"/>
        <w:rPr>
          <w:rFonts w:ascii="宋体" w:hAnsi="宋体"/>
          <w:sz w:val="24"/>
        </w:rPr>
      </w:pPr>
      <w:r>
        <w:rPr>
          <w:rFonts w:hint="eastAsia" w:ascii="宋体" w:hAnsi="宋体"/>
          <w:b/>
          <w:bCs/>
          <w:szCs w:val="21"/>
        </w:rPr>
        <w:t>表10-3  矿石开采加工成本计算表</w:t>
      </w:r>
    </w:p>
    <w:tbl>
      <w:tblPr>
        <w:tblStyle w:val="59"/>
        <w:tblW w:w="8819" w:type="dxa"/>
        <w:jc w:val="center"/>
        <w:tblInd w:w="0" w:type="dxa"/>
        <w:tblLayout w:type="fixed"/>
        <w:tblCellMar>
          <w:top w:w="0" w:type="dxa"/>
          <w:left w:w="108" w:type="dxa"/>
          <w:bottom w:w="0" w:type="dxa"/>
          <w:right w:w="108" w:type="dxa"/>
        </w:tblCellMar>
      </w:tblPr>
      <w:tblGrid>
        <w:gridCol w:w="760"/>
        <w:gridCol w:w="1915"/>
        <w:gridCol w:w="1008"/>
        <w:gridCol w:w="1148"/>
        <w:gridCol w:w="886"/>
        <w:gridCol w:w="1577"/>
        <w:gridCol w:w="1525"/>
      </w:tblGrid>
      <w:tr>
        <w:tblPrEx>
          <w:tblLayout w:type="fixed"/>
          <w:tblCellMar>
            <w:top w:w="0" w:type="dxa"/>
            <w:left w:w="108" w:type="dxa"/>
            <w:bottom w:w="0" w:type="dxa"/>
            <w:right w:w="108" w:type="dxa"/>
          </w:tblCellMar>
        </w:tblPrEx>
        <w:trPr>
          <w:trHeight w:val="536" w:hRule="exact"/>
          <w:jc w:val="center"/>
        </w:trPr>
        <w:tc>
          <w:tcPr>
            <w:tcW w:w="760"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序号</w:t>
            </w:r>
          </w:p>
        </w:tc>
        <w:tc>
          <w:tcPr>
            <w:tcW w:w="1915"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成本项目及名称</w:t>
            </w:r>
          </w:p>
        </w:tc>
        <w:tc>
          <w:tcPr>
            <w:tcW w:w="1008"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单位</w:t>
            </w:r>
          </w:p>
        </w:tc>
        <w:tc>
          <w:tcPr>
            <w:tcW w:w="1148"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单价(；元）</w:t>
            </w:r>
          </w:p>
        </w:tc>
        <w:tc>
          <w:tcPr>
            <w:tcW w:w="886"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年消耗</w:t>
            </w:r>
          </w:p>
        </w:tc>
        <w:tc>
          <w:tcPr>
            <w:tcW w:w="1577"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总成本（万元）</w:t>
            </w:r>
          </w:p>
        </w:tc>
        <w:tc>
          <w:tcPr>
            <w:tcW w:w="1525" w:type="dxa"/>
            <w:tcBorders>
              <w:top w:val="single" w:color="auto" w:sz="4" w:space="0"/>
              <w:left w:val="single" w:color="auto" w:sz="4" w:space="0"/>
              <w:right w:val="single" w:color="auto" w:sz="4" w:space="0"/>
            </w:tcBorders>
            <w:shd w:val="clear" w:color="auto" w:fill="FFFFFF"/>
            <w:vAlign w:val="center"/>
          </w:tcPr>
          <w:p>
            <w:pPr>
              <w:jc w:val="center"/>
              <w:rPr>
                <w:rFonts w:ascii="Calibri"/>
                <w:szCs w:val="21"/>
              </w:rPr>
            </w:pPr>
            <w:r>
              <w:rPr>
                <w:rFonts w:hint="eastAsia" w:ascii="Calibri"/>
                <w:szCs w:val="21"/>
              </w:rPr>
              <w:t>单位成本（元）</w:t>
            </w:r>
          </w:p>
        </w:tc>
      </w:tr>
      <w:tr>
        <w:tblPrEx>
          <w:tblLayout w:type="fixed"/>
          <w:tblCellMar>
            <w:top w:w="0" w:type="dxa"/>
            <w:left w:w="108" w:type="dxa"/>
            <w:bottom w:w="0" w:type="dxa"/>
            <w:right w:w="108" w:type="dxa"/>
          </w:tblCellMar>
        </w:tblPrEx>
        <w:trPr>
          <w:trHeight w:val="522" w:hRule="exact"/>
          <w:jc w:val="center"/>
        </w:trPr>
        <w:tc>
          <w:tcPr>
            <w:tcW w:w="760"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一</w:t>
            </w:r>
          </w:p>
        </w:tc>
        <w:tc>
          <w:tcPr>
            <w:tcW w:w="1915"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润滑油</w:t>
            </w:r>
          </w:p>
        </w:tc>
        <w:tc>
          <w:tcPr>
            <w:tcW w:w="1008"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t</w:t>
            </w:r>
          </w:p>
        </w:tc>
        <w:tc>
          <w:tcPr>
            <w:tcW w:w="1148"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lang w:val="zh-TW"/>
              </w:rPr>
              <w:t>12000</w:t>
            </w:r>
          </w:p>
        </w:tc>
        <w:tc>
          <w:tcPr>
            <w:tcW w:w="886"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0.21</w:t>
            </w:r>
          </w:p>
        </w:tc>
        <w:tc>
          <w:tcPr>
            <w:tcW w:w="1577"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0.25</w:t>
            </w:r>
          </w:p>
        </w:tc>
        <w:tc>
          <w:tcPr>
            <w:tcW w:w="1525" w:type="dxa"/>
            <w:tcBorders>
              <w:top w:val="single" w:color="auto" w:sz="4" w:space="0"/>
              <w:left w:val="single" w:color="auto" w:sz="4" w:space="0"/>
              <w:right w:val="single" w:color="auto" w:sz="4" w:space="0"/>
            </w:tcBorders>
            <w:shd w:val="clear" w:color="auto" w:fill="FFFFFF"/>
            <w:vAlign w:val="center"/>
          </w:tcPr>
          <w:p>
            <w:pPr>
              <w:jc w:val="center"/>
              <w:rPr>
                <w:rFonts w:ascii="Calibri"/>
                <w:szCs w:val="21"/>
              </w:rPr>
            </w:pPr>
            <w:r>
              <w:rPr>
                <w:rFonts w:hint="eastAsia" w:ascii="Calibri"/>
                <w:szCs w:val="21"/>
              </w:rPr>
              <w:t>0.08</w:t>
            </w:r>
          </w:p>
        </w:tc>
      </w:tr>
      <w:tr>
        <w:tblPrEx>
          <w:tblLayout w:type="fixed"/>
          <w:tblCellMar>
            <w:top w:w="0" w:type="dxa"/>
            <w:left w:w="108" w:type="dxa"/>
            <w:bottom w:w="0" w:type="dxa"/>
            <w:right w:w="108" w:type="dxa"/>
          </w:tblCellMar>
        </w:tblPrEx>
        <w:trPr>
          <w:trHeight w:val="526" w:hRule="exact"/>
          <w:jc w:val="center"/>
        </w:trPr>
        <w:tc>
          <w:tcPr>
            <w:tcW w:w="760"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二</w:t>
            </w:r>
          </w:p>
        </w:tc>
        <w:tc>
          <w:tcPr>
            <w:tcW w:w="1915"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生产用燃料-柴油</w:t>
            </w:r>
          </w:p>
        </w:tc>
        <w:tc>
          <w:tcPr>
            <w:tcW w:w="1008"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t</w:t>
            </w:r>
          </w:p>
        </w:tc>
        <w:tc>
          <w:tcPr>
            <w:tcW w:w="1148"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lang w:val="zh-TW"/>
              </w:rPr>
              <w:t>8000</w:t>
            </w:r>
          </w:p>
        </w:tc>
        <w:tc>
          <w:tcPr>
            <w:tcW w:w="886"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18.50</w:t>
            </w:r>
          </w:p>
        </w:tc>
        <w:tc>
          <w:tcPr>
            <w:tcW w:w="1577"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14.80</w:t>
            </w:r>
          </w:p>
        </w:tc>
        <w:tc>
          <w:tcPr>
            <w:tcW w:w="1525" w:type="dxa"/>
            <w:tcBorders>
              <w:top w:val="single" w:color="auto" w:sz="4" w:space="0"/>
              <w:left w:val="single" w:color="auto" w:sz="4" w:space="0"/>
              <w:right w:val="single" w:color="auto" w:sz="4" w:space="0"/>
            </w:tcBorders>
            <w:shd w:val="clear" w:color="auto" w:fill="FFFFFF"/>
            <w:vAlign w:val="center"/>
          </w:tcPr>
          <w:p>
            <w:pPr>
              <w:jc w:val="center"/>
              <w:rPr>
                <w:rFonts w:ascii="Calibri"/>
                <w:szCs w:val="21"/>
              </w:rPr>
            </w:pPr>
            <w:r>
              <w:rPr>
                <w:rFonts w:hint="eastAsia" w:ascii="Calibri"/>
                <w:szCs w:val="21"/>
              </w:rPr>
              <w:t>4.93</w:t>
            </w:r>
          </w:p>
        </w:tc>
      </w:tr>
      <w:tr>
        <w:tblPrEx>
          <w:tblLayout w:type="fixed"/>
          <w:tblCellMar>
            <w:top w:w="0" w:type="dxa"/>
            <w:left w:w="108" w:type="dxa"/>
            <w:bottom w:w="0" w:type="dxa"/>
            <w:right w:w="108" w:type="dxa"/>
          </w:tblCellMar>
        </w:tblPrEx>
        <w:trPr>
          <w:trHeight w:val="526" w:hRule="exact"/>
          <w:jc w:val="center"/>
        </w:trPr>
        <w:tc>
          <w:tcPr>
            <w:tcW w:w="760"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二</w:t>
            </w:r>
          </w:p>
        </w:tc>
        <w:tc>
          <w:tcPr>
            <w:tcW w:w="1915"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工人工资及福利费</w:t>
            </w:r>
          </w:p>
        </w:tc>
        <w:tc>
          <w:tcPr>
            <w:tcW w:w="1008"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人年</w:t>
            </w:r>
          </w:p>
        </w:tc>
        <w:tc>
          <w:tcPr>
            <w:tcW w:w="1148"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lang w:val="zh-TW"/>
              </w:rPr>
              <w:t>24000</w:t>
            </w:r>
          </w:p>
        </w:tc>
        <w:tc>
          <w:tcPr>
            <w:tcW w:w="886"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lang w:val="zh-TW"/>
              </w:rPr>
              <w:t>7</w:t>
            </w:r>
          </w:p>
        </w:tc>
        <w:tc>
          <w:tcPr>
            <w:tcW w:w="1577"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16.80</w:t>
            </w:r>
          </w:p>
        </w:tc>
        <w:tc>
          <w:tcPr>
            <w:tcW w:w="1525" w:type="dxa"/>
            <w:tcBorders>
              <w:top w:val="single" w:color="auto" w:sz="4" w:space="0"/>
              <w:left w:val="single" w:color="auto" w:sz="4" w:space="0"/>
              <w:right w:val="single" w:color="auto" w:sz="4" w:space="0"/>
            </w:tcBorders>
            <w:shd w:val="clear" w:color="auto" w:fill="FFFFFF"/>
            <w:vAlign w:val="center"/>
          </w:tcPr>
          <w:p>
            <w:pPr>
              <w:jc w:val="center"/>
              <w:rPr>
                <w:rFonts w:ascii="Calibri"/>
                <w:szCs w:val="21"/>
              </w:rPr>
            </w:pPr>
            <w:r>
              <w:rPr>
                <w:rFonts w:hint="eastAsia" w:ascii="Calibri"/>
                <w:szCs w:val="21"/>
              </w:rPr>
              <w:t>5.60</w:t>
            </w:r>
          </w:p>
        </w:tc>
      </w:tr>
      <w:tr>
        <w:tblPrEx>
          <w:tblLayout w:type="fixed"/>
          <w:tblCellMar>
            <w:top w:w="0" w:type="dxa"/>
            <w:left w:w="108" w:type="dxa"/>
            <w:bottom w:w="0" w:type="dxa"/>
            <w:right w:w="108" w:type="dxa"/>
          </w:tblCellMar>
        </w:tblPrEx>
        <w:trPr>
          <w:trHeight w:val="522" w:hRule="exact"/>
          <w:jc w:val="center"/>
        </w:trPr>
        <w:tc>
          <w:tcPr>
            <w:tcW w:w="760"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四</w:t>
            </w:r>
          </w:p>
        </w:tc>
        <w:tc>
          <w:tcPr>
            <w:tcW w:w="1915"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电费</w:t>
            </w:r>
          </w:p>
        </w:tc>
        <w:tc>
          <w:tcPr>
            <w:tcW w:w="1008"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万度</w:t>
            </w:r>
          </w:p>
        </w:tc>
        <w:tc>
          <w:tcPr>
            <w:tcW w:w="1148"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lang w:val="zh-TW"/>
              </w:rPr>
              <w:t>5500</w:t>
            </w:r>
          </w:p>
        </w:tc>
        <w:tc>
          <w:tcPr>
            <w:tcW w:w="886"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10.00</w:t>
            </w:r>
          </w:p>
        </w:tc>
        <w:tc>
          <w:tcPr>
            <w:tcW w:w="1577"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5.50</w:t>
            </w:r>
          </w:p>
        </w:tc>
        <w:tc>
          <w:tcPr>
            <w:tcW w:w="1525" w:type="dxa"/>
            <w:tcBorders>
              <w:top w:val="single" w:color="auto" w:sz="4" w:space="0"/>
              <w:left w:val="single" w:color="auto" w:sz="4" w:space="0"/>
              <w:right w:val="single" w:color="auto" w:sz="4" w:space="0"/>
            </w:tcBorders>
            <w:shd w:val="clear" w:color="auto" w:fill="FFFFFF"/>
            <w:vAlign w:val="center"/>
          </w:tcPr>
          <w:p>
            <w:pPr>
              <w:jc w:val="center"/>
              <w:rPr>
                <w:rFonts w:ascii="Calibri"/>
                <w:szCs w:val="21"/>
              </w:rPr>
            </w:pPr>
            <w:r>
              <w:rPr>
                <w:rFonts w:hint="eastAsia" w:ascii="Calibri"/>
                <w:szCs w:val="21"/>
              </w:rPr>
              <w:t>1.83</w:t>
            </w:r>
          </w:p>
        </w:tc>
      </w:tr>
      <w:tr>
        <w:tblPrEx>
          <w:tblLayout w:type="fixed"/>
          <w:tblCellMar>
            <w:top w:w="0" w:type="dxa"/>
            <w:left w:w="108" w:type="dxa"/>
            <w:bottom w:w="0" w:type="dxa"/>
            <w:right w:w="108" w:type="dxa"/>
          </w:tblCellMar>
        </w:tblPrEx>
        <w:trPr>
          <w:trHeight w:val="529" w:hRule="exact"/>
          <w:jc w:val="center"/>
        </w:trPr>
        <w:tc>
          <w:tcPr>
            <w:tcW w:w="760"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五</w:t>
            </w:r>
          </w:p>
        </w:tc>
        <w:tc>
          <w:tcPr>
            <w:tcW w:w="1915"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折旧及修理费</w:t>
            </w:r>
          </w:p>
        </w:tc>
        <w:tc>
          <w:tcPr>
            <w:tcW w:w="1008"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万元</w:t>
            </w:r>
          </w:p>
        </w:tc>
        <w:tc>
          <w:tcPr>
            <w:tcW w:w="1148" w:type="dxa"/>
            <w:tcBorders>
              <w:top w:val="single" w:color="auto" w:sz="4" w:space="0"/>
              <w:left w:val="single" w:color="auto" w:sz="4" w:space="0"/>
            </w:tcBorders>
            <w:shd w:val="clear" w:color="auto" w:fill="FFFFFF"/>
            <w:vAlign w:val="center"/>
          </w:tcPr>
          <w:p>
            <w:pPr>
              <w:jc w:val="center"/>
              <w:rPr>
                <w:rFonts w:ascii="Calibri"/>
                <w:szCs w:val="21"/>
              </w:rPr>
            </w:pPr>
          </w:p>
        </w:tc>
        <w:tc>
          <w:tcPr>
            <w:tcW w:w="886" w:type="dxa"/>
            <w:tcBorders>
              <w:top w:val="single" w:color="auto" w:sz="4" w:space="0"/>
              <w:left w:val="single" w:color="auto" w:sz="4" w:space="0"/>
            </w:tcBorders>
            <w:shd w:val="clear" w:color="auto" w:fill="FFFFFF"/>
            <w:vAlign w:val="center"/>
          </w:tcPr>
          <w:p>
            <w:pPr>
              <w:jc w:val="center"/>
              <w:rPr>
                <w:rFonts w:ascii="Calibri"/>
                <w:szCs w:val="21"/>
              </w:rPr>
            </w:pPr>
          </w:p>
        </w:tc>
        <w:tc>
          <w:tcPr>
            <w:tcW w:w="1577"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6.00</w:t>
            </w:r>
          </w:p>
        </w:tc>
        <w:tc>
          <w:tcPr>
            <w:tcW w:w="1525" w:type="dxa"/>
            <w:tcBorders>
              <w:top w:val="single" w:color="auto" w:sz="4" w:space="0"/>
              <w:left w:val="single" w:color="auto" w:sz="4" w:space="0"/>
              <w:right w:val="single" w:color="auto" w:sz="4" w:space="0"/>
            </w:tcBorders>
            <w:shd w:val="clear" w:color="auto" w:fill="FFFFFF"/>
            <w:vAlign w:val="center"/>
          </w:tcPr>
          <w:p>
            <w:pPr>
              <w:jc w:val="center"/>
              <w:rPr>
                <w:rFonts w:ascii="Calibri"/>
                <w:szCs w:val="21"/>
              </w:rPr>
            </w:pPr>
            <w:r>
              <w:rPr>
                <w:rFonts w:hint="eastAsia" w:ascii="Calibri"/>
                <w:szCs w:val="21"/>
              </w:rPr>
              <w:t>2.00</w:t>
            </w:r>
          </w:p>
        </w:tc>
      </w:tr>
      <w:tr>
        <w:tblPrEx>
          <w:tblLayout w:type="fixed"/>
          <w:tblCellMar>
            <w:top w:w="0" w:type="dxa"/>
            <w:left w:w="108" w:type="dxa"/>
            <w:bottom w:w="0" w:type="dxa"/>
            <w:right w:w="108" w:type="dxa"/>
          </w:tblCellMar>
        </w:tblPrEx>
        <w:trPr>
          <w:trHeight w:val="518" w:hRule="exact"/>
          <w:jc w:val="center"/>
        </w:trPr>
        <w:tc>
          <w:tcPr>
            <w:tcW w:w="760"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六</w:t>
            </w:r>
          </w:p>
        </w:tc>
        <w:tc>
          <w:tcPr>
            <w:tcW w:w="1915"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安全生产投入</w:t>
            </w:r>
          </w:p>
        </w:tc>
        <w:tc>
          <w:tcPr>
            <w:tcW w:w="1008"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万元</w:t>
            </w:r>
          </w:p>
        </w:tc>
        <w:tc>
          <w:tcPr>
            <w:tcW w:w="1148" w:type="dxa"/>
            <w:tcBorders>
              <w:top w:val="single" w:color="auto" w:sz="4" w:space="0"/>
              <w:left w:val="single" w:color="auto" w:sz="4" w:space="0"/>
            </w:tcBorders>
            <w:shd w:val="clear" w:color="auto" w:fill="FFFFFF"/>
            <w:vAlign w:val="center"/>
          </w:tcPr>
          <w:p>
            <w:pPr>
              <w:jc w:val="center"/>
              <w:rPr>
                <w:rFonts w:ascii="Calibri"/>
                <w:szCs w:val="21"/>
              </w:rPr>
            </w:pPr>
          </w:p>
        </w:tc>
        <w:tc>
          <w:tcPr>
            <w:tcW w:w="886" w:type="dxa"/>
            <w:tcBorders>
              <w:top w:val="single" w:color="auto" w:sz="4" w:space="0"/>
              <w:left w:val="single" w:color="auto" w:sz="4" w:space="0"/>
            </w:tcBorders>
            <w:shd w:val="clear" w:color="auto" w:fill="FFFFFF"/>
            <w:vAlign w:val="center"/>
          </w:tcPr>
          <w:p>
            <w:pPr>
              <w:jc w:val="center"/>
              <w:rPr>
                <w:rFonts w:ascii="Calibri"/>
                <w:szCs w:val="21"/>
              </w:rPr>
            </w:pPr>
          </w:p>
        </w:tc>
        <w:tc>
          <w:tcPr>
            <w:tcW w:w="1577"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8.00</w:t>
            </w:r>
          </w:p>
        </w:tc>
        <w:tc>
          <w:tcPr>
            <w:tcW w:w="1525" w:type="dxa"/>
            <w:tcBorders>
              <w:top w:val="single" w:color="auto" w:sz="4" w:space="0"/>
              <w:left w:val="single" w:color="auto" w:sz="4" w:space="0"/>
              <w:right w:val="single" w:color="auto" w:sz="4" w:space="0"/>
            </w:tcBorders>
            <w:shd w:val="clear" w:color="auto" w:fill="FFFFFF"/>
            <w:vAlign w:val="center"/>
          </w:tcPr>
          <w:p>
            <w:pPr>
              <w:jc w:val="center"/>
              <w:rPr>
                <w:rFonts w:ascii="Calibri"/>
                <w:szCs w:val="21"/>
              </w:rPr>
            </w:pPr>
            <w:r>
              <w:rPr>
                <w:rFonts w:hint="eastAsia" w:ascii="Calibri"/>
                <w:szCs w:val="21"/>
              </w:rPr>
              <w:t>2.67</w:t>
            </w:r>
          </w:p>
        </w:tc>
      </w:tr>
      <w:tr>
        <w:tblPrEx>
          <w:tblLayout w:type="fixed"/>
          <w:tblCellMar>
            <w:top w:w="0" w:type="dxa"/>
            <w:left w:w="108" w:type="dxa"/>
            <w:bottom w:w="0" w:type="dxa"/>
            <w:right w:w="108" w:type="dxa"/>
          </w:tblCellMar>
        </w:tblPrEx>
        <w:trPr>
          <w:trHeight w:val="526" w:hRule="exact"/>
          <w:jc w:val="center"/>
        </w:trPr>
        <w:tc>
          <w:tcPr>
            <w:tcW w:w="760"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七</w:t>
            </w:r>
          </w:p>
        </w:tc>
        <w:tc>
          <w:tcPr>
            <w:tcW w:w="1915"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资源补偿费</w:t>
            </w:r>
          </w:p>
        </w:tc>
        <w:tc>
          <w:tcPr>
            <w:tcW w:w="1008"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万元</w:t>
            </w:r>
          </w:p>
        </w:tc>
        <w:tc>
          <w:tcPr>
            <w:tcW w:w="1148" w:type="dxa"/>
            <w:tcBorders>
              <w:top w:val="single" w:color="auto" w:sz="4" w:space="0"/>
              <w:left w:val="single" w:color="auto" w:sz="4" w:space="0"/>
            </w:tcBorders>
            <w:shd w:val="clear" w:color="auto" w:fill="FFFFFF"/>
            <w:vAlign w:val="center"/>
          </w:tcPr>
          <w:p>
            <w:pPr>
              <w:jc w:val="center"/>
              <w:rPr>
                <w:rFonts w:ascii="Calibri"/>
                <w:szCs w:val="21"/>
              </w:rPr>
            </w:pPr>
          </w:p>
        </w:tc>
        <w:tc>
          <w:tcPr>
            <w:tcW w:w="886" w:type="dxa"/>
            <w:tcBorders>
              <w:top w:val="single" w:color="auto" w:sz="4" w:space="0"/>
              <w:left w:val="single" w:color="auto" w:sz="4" w:space="0"/>
            </w:tcBorders>
            <w:shd w:val="clear" w:color="auto" w:fill="FFFFFF"/>
            <w:vAlign w:val="center"/>
          </w:tcPr>
          <w:p>
            <w:pPr>
              <w:jc w:val="center"/>
              <w:rPr>
                <w:rFonts w:ascii="Calibri"/>
                <w:szCs w:val="21"/>
              </w:rPr>
            </w:pPr>
          </w:p>
        </w:tc>
        <w:tc>
          <w:tcPr>
            <w:tcW w:w="1577" w:type="dxa"/>
            <w:tcBorders>
              <w:top w:val="single" w:color="auto" w:sz="4" w:space="0"/>
              <w:left w:val="single" w:color="auto" w:sz="4" w:space="0"/>
            </w:tcBorders>
            <w:shd w:val="clear" w:color="auto" w:fill="FFFFFF"/>
            <w:vAlign w:val="center"/>
          </w:tcPr>
          <w:p>
            <w:pPr>
              <w:jc w:val="center"/>
              <w:rPr>
                <w:rFonts w:ascii="Calibri"/>
                <w:szCs w:val="21"/>
              </w:rPr>
            </w:pPr>
            <w:r>
              <w:rPr>
                <w:rFonts w:hint="eastAsia" w:ascii="Calibri"/>
                <w:szCs w:val="21"/>
              </w:rPr>
              <w:t>3.60</w:t>
            </w:r>
          </w:p>
        </w:tc>
        <w:tc>
          <w:tcPr>
            <w:tcW w:w="1525" w:type="dxa"/>
            <w:tcBorders>
              <w:top w:val="single" w:color="auto" w:sz="4" w:space="0"/>
              <w:left w:val="single" w:color="auto" w:sz="4" w:space="0"/>
              <w:right w:val="single" w:color="auto" w:sz="4" w:space="0"/>
            </w:tcBorders>
            <w:shd w:val="clear" w:color="auto" w:fill="FFFFFF"/>
            <w:vAlign w:val="center"/>
          </w:tcPr>
          <w:p>
            <w:pPr>
              <w:jc w:val="center"/>
              <w:rPr>
                <w:rFonts w:ascii="Calibri"/>
                <w:szCs w:val="21"/>
              </w:rPr>
            </w:pPr>
            <w:r>
              <w:rPr>
                <w:rFonts w:hint="eastAsia" w:ascii="Calibri"/>
                <w:szCs w:val="21"/>
              </w:rPr>
              <w:t>1.20</w:t>
            </w:r>
          </w:p>
        </w:tc>
      </w:tr>
      <w:tr>
        <w:tblPrEx>
          <w:tblLayout w:type="fixed"/>
          <w:tblCellMar>
            <w:top w:w="0" w:type="dxa"/>
            <w:left w:w="108" w:type="dxa"/>
            <w:bottom w:w="0" w:type="dxa"/>
            <w:right w:w="108" w:type="dxa"/>
          </w:tblCellMar>
        </w:tblPrEx>
        <w:trPr>
          <w:trHeight w:val="536" w:hRule="exact"/>
          <w:jc w:val="center"/>
        </w:trPr>
        <w:tc>
          <w:tcPr>
            <w:tcW w:w="760" w:type="dxa"/>
            <w:tcBorders>
              <w:top w:val="single" w:color="auto" w:sz="4" w:space="0"/>
              <w:left w:val="single" w:color="auto" w:sz="4" w:space="0"/>
              <w:bottom w:val="single" w:color="auto" w:sz="4" w:space="0"/>
            </w:tcBorders>
            <w:shd w:val="clear" w:color="auto" w:fill="FFFFFF"/>
            <w:vAlign w:val="center"/>
          </w:tcPr>
          <w:p>
            <w:pPr>
              <w:jc w:val="center"/>
              <w:rPr>
                <w:rFonts w:ascii="Calibri"/>
                <w:szCs w:val="21"/>
              </w:rPr>
            </w:pPr>
          </w:p>
        </w:tc>
        <w:tc>
          <w:tcPr>
            <w:tcW w:w="1915" w:type="dxa"/>
            <w:tcBorders>
              <w:top w:val="single" w:color="auto" w:sz="4" w:space="0"/>
              <w:left w:val="single" w:color="auto" w:sz="4" w:space="0"/>
              <w:bottom w:val="single" w:color="auto" w:sz="4" w:space="0"/>
            </w:tcBorders>
            <w:shd w:val="clear" w:color="auto" w:fill="FFFFFF"/>
            <w:vAlign w:val="center"/>
          </w:tcPr>
          <w:p>
            <w:pPr>
              <w:jc w:val="center"/>
              <w:rPr>
                <w:rFonts w:ascii="Calibri"/>
                <w:szCs w:val="21"/>
              </w:rPr>
            </w:pPr>
            <w:r>
              <w:rPr>
                <w:rFonts w:hint="eastAsia" w:ascii="Calibri"/>
                <w:szCs w:val="21"/>
              </w:rPr>
              <w:t>合计</w:t>
            </w:r>
          </w:p>
        </w:tc>
        <w:tc>
          <w:tcPr>
            <w:tcW w:w="1008" w:type="dxa"/>
            <w:tcBorders>
              <w:top w:val="single" w:color="auto" w:sz="4" w:space="0"/>
              <w:left w:val="single" w:color="auto" w:sz="4" w:space="0"/>
              <w:bottom w:val="single" w:color="auto" w:sz="4" w:space="0"/>
            </w:tcBorders>
            <w:shd w:val="clear" w:color="auto" w:fill="FFFFFF"/>
            <w:vAlign w:val="center"/>
          </w:tcPr>
          <w:p>
            <w:pPr>
              <w:jc w:val="center"/>
              <w:rPr>
                <w:rFonts w:ascii="Calibri"/>
                <w:szCs w:val="21"/>
              </w:rPr>
            </w:pPr>
            <w:r>
              <w:rPr>
                <w:rFonts w:hint="eastAsia" w:ascii="Calibri"/>
                <w:szCs w:val="21"/>
              </w:rPr>
              <w:t>万元</w:t>
            </w:r>
          </w:p>
        </w:tc>
        <w:tc>
          <w:tcPr>
            <w:tcW w:w="1148" w:type="dxa"/>
            <w:tcBorders>
              <w:top w:val="single" w:color="auto" w:sz="4" w:space="0"/>
              <w:left w:val="single" w:color="auto" w:sz="4" w:space="0"/>
              <w:bottom w:val="single" w:color="auto" w:sz="4" w:space="0"/>
            </w:tcBorders>
            <w:shd w:val="clear" w:color="auto" w:fill="FFFFFF"/>
            <w:vAlign w:val="center"/>
          </w:tcPr>
          <w:p>
            <w:pPr>
              <w:jc w:val="center"/>
              <w:rPr>
                <w:rFonts w:ascii="Calibri"/>
                <w:szCs w:val="21"/>
              </w:rPr>
            </w:pPr>
          </w:p>
        </w:tc>
        <w:tc>
          <w:tcPr>
            <w:tcW w:w="886" w:type="dxa"/>
            <w:tcBorders>
              <w:top w:val="single" w:color="auto" w:sz="4" w:space="0"/>
              <w:left w:val="single" w:color="auto" w:sz="4" w:space="0"/>
              <w:bottom w:val="single" w:color="auto" w:sz="4" w:space="0"/>
            </w:tcBorders>
            <w:shd w:val="clear" w:color="auto" w:fill="FFFFFF"/>
            <w:vAlign w:val="center"/>
          </w:tcPr>
          <w:p>
            <w:pPr>
              <w:jc w:val="center"/>
              <w:rPr>
                <w:rFonts w:ascii="Calibri"/>
                <w:szCs w:val="21"/>
              </w:rPr>
            </w:pPr>
          </w:p>
        </w:tc>
        <w:tc>
          <w:tcPr>
            <w:tcW w:w="1577" w:type="dxa"/>
            <w:tcBorders>
              <w:top w:val="single" w:color="auto" w:sz="4" w:space="0"/>
              <w:left w:val="single" w:color="auto" w:sz="4" w:space="0"/>
              <w:bottom w:val="single" w:color="auto" w:sz="4" w:space="0"/>
            </w:tcBorders>
            <w:shd w:val="clear" w:color="auto" w:fill="FFFFFF"/>
            <w:vAlign w:val="center"/>
          </w:tcPr>
          <w:p>
            <w:pPr>
              <w:jc w:val="center"/>
              <w:rPr>
                <w:rFonts w:ascii="Calibri"/>
                <w:szCs w:val="21"/>
              </w:rPr>
            </w:pPr>
            <w:r>
              <w:rPr>
                <w:rFonts w:hint="eastAsia" w:ascii="Calibri"/>
                <w:szCs w:val="21"/>
              </w:rPr>
              <w:t>54.95</w:t>
            </w:r>
          </w:p>
        </w:tc>
        <w:tc>
          <w:tcPr>
            <w:tcW w:w="152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Calibri"/>
                <w:szCs w:val="21"/>
              </w:rPr>
            </w:pPr>
            <w:r>
              <w:rPr>
                <w:rFonts w:hint="eastAsia" w:ascii="Calibri"/>
                <w:szCs w:val="21"/>
              </w:rPr>
              <w:t>18.32</w:t>
            </w:r>
          </w:p>
        </w:tc>
      </w:tr>
    </w:tbl>
    <w:p>
      <w:pPr>
        <w:spacing w:line="360" w:lineRule="auto"/>
        <w:rPr>
          <w:rFonts w:ascii="宋体" w:hAnsi="宋体"/>
          <w:sz w:val="24"/>
        </w:rPr>
      </w:pPr>
    </w:p>
    <w:p>
      <w:pPr>
        <w:numPr>
          <w:ilvl w:val="1"/>
          <w:numId w:val="2"/>
        </w:numPr>
        <w:spacing w:line="360" w:lineRule="auto"/>
        <w:outlineLvl w:val="1"/>
        <w:rPr>
          <w:rFonts w:ascii="宋体" w:hAnsi="宋体" w:cs="宋体"/>
          <w:b/>
          <w:bCs/>
          <w:color w:val="000000"/>
          <w:sz w:val="30"/>
          <w:szCs w:val="30"/>
        </w:rPr>
      </w:pPr>
      <w:bookmarkStart w:id="319" w:name="_Toc19711"/>
      <w:bookmarkStart w:id="320" w:name="_Toc456610978"/>
      <w:bookmarkStart w:id="321" w:name="_Toc8884"/>
      <w:r>
        <w:rPr>
          <w:rFonts w:hint="eastAsia" w:ascii="宋体" w:hAnsi="宋体" w:cs="宋体"/>
          <w:b/>
          <w:bCs/>
          <w:color w:val="000000"/>
          <w:sz w:val="30"/>
          <w:szCs w:val="30"/>
        </w:rPr>
        <w:t>销售收入、销售税金及</w:t>
      </w:r>
      <w:bookmarkEnd w:id="316"/>
      <w:bookmarkEnd w:id="317"/>
      <w:bookmarkEnd w:id="318"/>
      <w:bookmarkEnd w:id="319"/>
      <w:bookmarkEnd w:id="320"/>
      <w:r>
        <w:rPr>
          <w:rFonts w:hint="eastAsia" w:ascii="宋体" w:hAnsi="宋体" w:cs="宋体"/>
          <w:b/>
          <w:bCs/>
          <w:color w:val="000000"/>
          <w:sz w:val="30"/>
          <w:szCs w:val="30"/>
        </w:rPr>
        <w:t>利润</w:t>
      </w:r>
      <w:bookmarkEnd w:id="321"/>
    </w:p>
    <w:p>
      <w:pPr>
        <w:spacing w:line="360" w:lineRule="auto"/>
        <w:ind w:firstLine="480" w:firstLineChars="200"/>
        <w:rPr>
          <w:rFonts w:ascii="宋体" w:hAnsi="宋体"/>
          <w:sz w:val="24"/>
        </w:rPr>
      </w:pPr>
      <w:bookmarkStart w:id="322" w:name="bookmark7"/>
      <w:r>
        <w:rPr>
          <w:rFonts w:hint="eastAsia" w:ascii="宋体" w:hAnsi="宋体"/>
          <w:sz w:val="24"/>
          <w:lang w:val="zh-TW"/>
        </w:rPr>
        <w:t>矿山年产建筑用砂石</w:t>
      </w:r>
      <w:r>
        <w:rPr>
          <w:rFonts w:hint="eastAsia" w:ascii="宋体" w:hAnsi="宋体"/>
          <w:sz w:val="24"/>
        </w:rPr>
        <w:t>3.0</w:t>
      </w:r>
      <w:r>
        <w:rPr>
          <w:rFonts w:hint="eastAsia" w:ascii="宋体" w:hAnsi="宋体"/>
          <w:sz w:val="24"/>
          <w:lang w:val="zh-TW"/>
        </w:rPr>
        <w:t>万立方米，产品平均价格</w:t>
      </w:r>
      <w:r>
        <w:rPr>
          <w:rFonts w:hint="eastAsia" w:ascii="宋体" w:hAnsi="宋体"/>
          <w:sz w:val="24"/>
        </w:rPr>
        <w:t>60.00</w:t>
      </w:r>
      <w:r>
        <w:rPr>
          <w:rFonts w:hint="eastAsia" w:ascii="宋体" w:hAnsi="宋体"/>
          <w:sz w:val="24"/>
          <w:lang w:val="zh-TW"/>
        </w:rPr>
        <w:t>元/立方米。正常年销售收入</w:t>
      </w:r>
      <w:r>
        <w:rPr>
          <w:rFonts w:hint="eastAsia" w:ascii="宋体" w:hAnsi="宋体"/>
          <w:sz w:val="24"/>
        </w:rPr>
        <w:t>180.00</w:t>
      </w:r>
      <w:r>
        <w:rPr>
          <w:rFonts w:hint="eastAsia" w:ascii="宋体" w:hAnsi="宋体"/>
          <w:sz w:val="24"/>
          <w:lang w:val="zh-TW"/>
        </w:rPr>
        <w:t>万元。</w:t>
      </w:r>
      <w:bookmarkEnd w:id="322"/>
    </w:p>
    <w:p>
      <w:pPr>
        <w:spacing w:line="360" w:lineRule="auto"/>
        <w:ind w:firstLine="480" w:firstLineChars="200"/>
        <w:rPr>
          <w:rFonts w:ascii="宋体" w:hAnsi="宋体"/>
          <w:sz w:val="24"/>
        </w:rPr>
      </w:pPr>
      <w:r>
        <w:rPr>
          <w:rFonts w:hint="eastAsia" w:ascii="宋体" w:hAnsi="宋体"/>
          <w:sz w:val="24"/>
          <w:lang w:val="zh-TW"/>
        </w:rPr>
        <w:t>增值税税率17%，城建税及教育附加分别为增值税的2%和3%</w:t>
      </w:r>
      <w:r>
        <w:rPr>
          <w:rFonts w:hint="eastAsia" w:ascii="宋体" w:hAnsi="宋体"/>
          <w:sz w:val="24"/>
        </w:rPr>
        <w:t>。增值税21.26</w:t>
      </w:r>
      <w:r>
        <w:rPr>
          <w:rFonts w:hint="eastAsia" w:ascii="宋体" w:hAnsi="宋体"/>
          <w:sz w:val="24"/>
          <w:lang w:val="zh-TW"/>
        </w:rPr>
        <w:t>万元， 销售税金及附加</w:t>
      </w:r>
      <w:r>
        <w:rPr>
          <w:rFonts w:hint="eastAsia" w:ascii="宋体" w:hAnsi="宋体"/>
          <w:sz w:val="24"/>
        </w:rPr>
        <w:t>1.06</w:t>
      </w:r>
      <w:r>
        <w:rPr>
          <w:rFonts w:hint="eastAsia" w:ascii="宋体" w:hAnsi="宋体"/>
          <w:sz w:val="24"/>
          <w:lang w:val="zh-TW"/>
        </w:rPr>
        <w:t>万元。</w:t>
      </w:r>
    </w:p>
    <w:p>
      <w:pPr>
        <w:spacing w:line="360" w:lineRule="auto"/>
        <w:ind w:firstLine="480" w:firstLineChars="200"/>
        <w:rPr>
          <w:rFonts w:ascii="宋体" w:hAnsi="宋体"/>
          <w:sz w:val="24"/>
        </w:rPr>
      </w:pPr>
      <w:r>
        <w:rPr>
          <w:rFonts w:hint="eastAsia" w:ascii="宋体" w:hAnsi="宋体"/>
          <w:sz w:val="24"/>
          <w:lang w:val="zh-TW"/>
        </w:rPr>
        <w:t>年均利润总额</w:t>
      </w:r>
      <w:r>
        <w:rPr>
          <w:rFonts w:hint="eastAsia" w:ascii="宋体" w:hAnsi="宋体"/>
          <w:sz w:val="24"/>
        </w:rPr>
        <w:t>102.73</w:t>
      </w:r>
      <w:r>
        <w:rPr>
          <w:rFonts w:hint="eastAsia" w:ascii="宋体" w:hAnsi="宋体"/>
          <w:sz w:val="24"/>
          <w:lang w:val="zh-TW"/>
        </w:rPr>
        <w:t>万元，所得税率按25%，年平均上缴所得税</w:t>
      </w:r>
      <w:r>
        <w:rPr>
          <w:rFonts w:hint="eastAsia" w:ascii="宋体" w:hAnsi="宋体"/>
          <w:sz w:val="24"/>
        </w:rPr>
        <w:t>25.68</w:t>
      </w:r>
      <w:r>
        <w:rPr>
          <w:rFonts w:hint="eastAsia" w:ascii="宋体" w:hAnsi="宋体"/>
          <w:sz w:val="24"/>
          <w:lang w:val="zh-TW"/>
        </w:rPr>
        <w:t>万元，年 均净利润</w:t>
      </w:r>
      <w:r>
        <w:rPr>
          <w:rFonts w:hint="eastAsia" w:ascii="宋体" w:hAnsi="宋体"/>
          <w:sz w:val="24"/>
        </w:rPr>
        <w:t>77.05</w:t>
      </w:r>
      <w:r>
        <w:rPr>
          <w:rFonts w:hint="eastAsia" w:ascii="宋体" w:hAnsi="宋体"/>
          <w:sz w:val="24"/>
          <w:lang w:val="zh-TW"/>
        </w:rPr>
        <w:t>万元。</w:t>
      </w:r>
    </w:p>
    <w:p>
      <w:pPr>
        <w:numPr>
          <w:ilvl w:val="1"/>
          <w:numId w:val="2"/>
        </w:numPr>
        <w:spacing w:line="360" w:lineRule="auto"/>
        <w:outlineLvl w:val="1"/>
        <w:rPr>
          <w:rFonts w:ascii="宋体" w:hAnsi="宋体" w:cs="宋体"/>
          <w:b/>
          <w:bCs/>
          <w:color w:val="000000"/>
          <w:sz w:val="30"/>
          <w:szCs w:val="30"/>
        </w:rPr>
      </w:pPr>
      <w:bookmarkStart w:id="323" w:name="_Toc25904"/>
      <w:bookmarkStart w:id="324" w:name="_Toc249115624"/>
      <w:bookmarkStart w:id="325" w:name="_Toc236030657"/>
      <w:bookmarkStart w:id="326" w:name="_Toc21129"/>
      <w:bookmarkStart w:id="327" w:name="_Toc456610979"/>
      <w:bookmarkStart w:id="328" w:name="_Toc364440475"/>
      <w:r>
        <w:rPr>
          <w:rFonts w:hint="eastAsia" w:ascii="宋体" w:hAnsi="宋体" w:cs="宋体"/>
          <w:b/>
          <w:bCs/>
          <w:color w:val="000000"/>
          <w:sz w:val="30"/>
          <w:szCs w:val="30"/>
        </w:rPr>
        <w:t>综合技术经济指标</w:t>
      </w:r>
      <w:bookmarkEnd w:id="323"/>
      <w:bookmarkEnd w:id="324"/>
      <w:bookmarkEnd w:id="325"/>
      <w:bookmarkEnd w:id="326"/>
      <w:bookmarkEnd w:id="327"/>
      <w:bookmarkEnd w:id="328"/>
    </w:p>
    <w:p>
      <w:pPr>
        <w:pStyle w:val="18"/>
        <w:ind w:firstLine="480"/>
        <w:rPr>
          <w:b/>
        </w:rPr>
      </w:pPr>
      <w:r>
        <w:rPr>
          <w:rFonts w:hint="eastAsia" w:cs="仿宋"/>
          <w:sz w:val="24"/>
          <w:szCs w:val="24"/>
        </w:rPr>
        <w:t>综合技术经济指标见表10-4。</w:t>
      </w:r>
    </w:p>
    <w:p>
      <w:pPr>
        <w:jc w:val="center"/>
        <w:rPr>
          <w:rFonts w:eastAsia="仿宋"/>
          <w:b/>
          <w:sz w:val="24"/>
        </w:rPr>
      </w:pPr>
      <w:r>
        <w:rPr>
          <w:rFonts w:hint="eastAsia"/>
          <w:b/>
        </w:rPr>
        <w:t>表10-4   综合技术经济指标见表</w:t>
      </w:r>
    </w:p>
    <w:tbl>
      <w:tblPr>
        <w:tblStyle w:val="59"/>
        <w:tblW w:w="87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2714"/>
        <w:gridCol w:w="1577"/>
        <w:gridCol w:w="1714"/>
        <w:gridCol w:w="1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exact"/>
          <w:jc w:val="center"/>
        </w:trPr>
        <w:tc>
          <w:tcPr>
            <w:tcW w:w="871" w:type="dxa"/>
            <w:shd w:val="clear" w:color="auto" w:fill="FFFFFF"/>
            <w:vAlign w:val="center"/>
          </w:tcPr>
          <w:p>
            <w:pPr>
              <w:jc w:val="center"/>
              <w:rPr>
                <w:rFonts w:ascii="Calibri"/>
                <w:szCs w:val="21"/>
              </w:rPr>
            </w:pPr>
            <w:bookmarkStart w:id="329" w:name="_Toc456610980"/>
            <w:r>
              <w:rPr>
                <w:rFonts w:hint="eastAsia" w:ascii="Calibri"/>
                <w:szCs w:val="21"/>
              </w:rPr>
              <w:t>序号</w:t>
            </w:r>
          </w:p>
        </w:tc>
        <w:tc>
          <w:tcPr>
            <w:tcW w:w="2714" w:type="dxa"/>
            <w:shd w:val="clear" w:color="auto" w:fill="FFFFFF"/>
            <w:vAlign w:val="center"/>
          </w:tcPr>
          <w:p>
            <w:pPr>
              <w:jc w:val="center"/>
              <w:rPr>
                <w:rFonts w:ascii="Calibri"/>
                <w:szCs w:val="21"/>
              </w:rPr>
            </w:pPr>
            <w:r>
              <w:rPr>
                <w:rFonts w:hint="eastAsia" w:ascii="Calibri"/>
                <w:szCs w:val="21"/>
              </w:rPr>
              <w:t>指标名称</w:t>
            </w:r>
          </w:p>
        </w:tc>
        <w:tc>
          <w:tcPr>
            <w:tcW w:w="1577" w:type="dxa"/>
            <w:shd w:val="clear" w:color="auto" w:fill="FFFFFF"/>
            <w:vAlign w:val="center"/>
          </w:tcPr>
          <w:p>
            <w:pPr>
              <w:jc w:val="center"/>
              <w:rPr>
                <w:rFonts w:ascii="Calibri"/>
                <w:szCs w:val="21"/>
              </w:rPr>
            </w:pPr>
            <w:r>
              <w:rPr>
                <w:rFonts w:hint="eastAsia" w:ascii="Calibri"/>
                <w:szCs w:val="21"/>
              </w:rPr>
              <w:t>单位</w:t>
            </w:r>
          </w:p>
        </w:tc>
        <w:tc>
          <w:tcPr>
            <w:tcW w:w="1714" w:type="dxa"/>
            <w:shd w:val="clear" w:color="auto" w:fill="FFFFFF"/>
            <w:vAlign w:val="center"/>
          </w:tcPr>
          <w:p>
            <w:pPr>
              <w:jc w:val="center"/>
              <w:rPr>
                <w:rFonts w:ascii="Calibri"/>
                <w:szCs w:val="21"/>
              </w:rPr>
            </w:pPr>
            <w:r>
              <w:rPr>
                <w:rFonts w:hint="eastAsia" w:ascii="Calibri"/>
                <w:szCs w:val="21"/>
              </w:rPr>
              <w:t>数量</w:t>
            </w:r>
          </w:p>
        </w:tc>
        <w:tc>
          <w:tcPr>
            <w:tcW w:w="1906" w:type="dxa"/>
            <w:shd w:val="clear" w:color="auto" w:fill="FFFFFF"/>
            <w:vAlign w:val="center"/>
          </w:tcPr>
          <w:p>
            <w:pPr>
              <w:jc w:val="center"/>
              <w:rPr>
                <w:rFonts w:ascii="Calibri"/>
                <w:szCs w:val="21"/>
              </w:rPr>
            </w:pPr>
            <w:r>
              <w:rPr>
                <w:rFonts w:hint="eastAsia" w:ascii="Calibri"/>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exact"/>
          <w:jc w:val="center"/>
        </w:trPr>
        <w:tc>
          <w:tcPr>
            <w:tcW w:w="871" w:type="dxa"/>
            <w:shd w:val="clear" w:color="auto" w:fill="FFFFFF"/>
            <w:vAlign w:val="center"/>
          </w:tcPr>
          <w:p>
            <w:pPr>
              <w:jc w:val="center"/>
              <w:rPr>
                <w:rFonts w:ascii="Calibri"/>
                <w:szCs w:val="21"/>
              </w:rPr>
            </w:pPr>
            <w:r>
              <w:rPr>
                <w:rFonts w:hint="eastAsia" w:ascii="Calibri"/>
                <w:szCs w:val="21"/>
                <w:lang w:val="zh-TW"/>
              </w:rPr>
              <w:t>一</w:t>
            </w:r>
          </w:p>
        </w:tc>
        <w:tc>
          <w:tcPr>
            <w:tcW w:w="2714" w:type="dxa"/>
            <w:shd w:val="clear" w:color="auto" w:fill="FFFFFF"/>
            <w:vAlign w:val="center"/>
          </w:tcPr>
          <w:p>
            <w:pPr>
              <w:jc w:val="center"/>
              <w:rPr>
                <w:rFonts w:ascii="Calibri"/>
                <w:szCs w:val="21"/>
              </w:rPr>
            </w:pPr>
            <w:r>
              <w:rPr>
                <w:rFonts w:hint="eastAsia" w:ascii="Calibri"/>
                <w:szCs w:val="21"/>
              </w:rPr>
              <w:t>矿山地质</w:t>
            </w:r>
          </w:p>
        </w:tc>
        <w:tc>
          <w:tcPr>
            <w:tcW w:w="1577" w:type="dxa"/>
            <w:shd w:val="clear" w:color="auto" w:fill="FFFFFF"/>
            <w:vAlign w:val="center"/>
          </w:tcPr>
          <w:p>
            <w:pPr>
              <w:jc w:val="center"/>
              <w:rPr>
                <w:rFonts w:ascii="Calibri"/>
                <w:szCs w:val="21"/>
              </w:rPr>
            </w:pPr>
          </w:p>
        </w:tc>
        <w:tc>
          <w:tcPr>
            <w:tcW w:w="1714" w:type="dxa"/>
            <w:shd w:val="clear" w:color="auto" w:fill="FFFFFF"/>
            <w:vAlign w:val="center"/>
          </w:tcPr>
          <w:p>
            <w:pPr>
              <w:jc w:val="center"/>
              <w:rPr>
                <w:rFonts w:ascii="Calibri"/>
                <w:szCs w:val="21"/>
              </w:rPr>
            </w:pP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exact"/>
          <w:jc w:val="center"/>
        </w:trPr>
        <w:tc>
          <w:tcPr>
            <w:tcW w:w="871" w:type="dxa"/>
            <w:shd w:val="clear" w:color="auto" w:fill="FFFFFF"/>
            <w:vAlign w:val="center"/>
          </w:tcPr>
          <w:p>
            <w:pPr>
              <w:jc w:val="center"/>
              <w:rPr>
                <w:rFonts w:ascii="Calibri"/>
                <w:szCs w:val="21"/>
              </w:rPr>
            </w:pPr>
            <w:r>
              <w:rPr>
                <w:rFonts w:hint="eastAsia" w:ascii="Calibri"/>
                <w:szCs w:val="21"/>
                <w:lang w:val="zh-TW"/>
              </w:rPr>
              <w:t>1</w:t>
            </w:r>
          </w:p>
        </w:tc>
        <w:tc>
          <w:tcPr>
            <w:tcW w:w="2714" w:type="dxa"/>
            <w:shd w:val="clear" w:color="auto" w:fill="FFFFFF"/>
            <w:vAlign w:val="center"/>
          </w:tcPr>
          <w:p>
            <w:pPr>
              <w:jc w:val="center"/>
              <w:rPr>
                <w:rFonts w:ascii="Calibri"/>
                <w:szCs w:val="21"/>
              </w:rPr>
            </w:pPr>
            <w:r>
              <w:rPr>
                <w:rFonts w:hint="eastAsia" w:ascii="Calibri"/>
                <w:szCs w:val="21"/>
              </w:rPr>
              <w:t>地质工作范围内矿量</w:t>
            </w:r>
          </w:p>
        </w:tc>
        <w:tc>
          <w:tcPr>
            <w:tcW w:w="1577" w:type="dxa"/>
            <w:shd w:val="clear" w:color="auto" w:fill="FFFFFF"/>
            <w:vAlign w:val="center"/>
          </w:tcPr>
          <w:p>
            <w:pPr>
              <w:jc w:val="center"/>
              <w:rPr>
                <w:rFonts w:ascii="Calibri"/>
                <w:szCs w:val="21"/>
              </w:rPr>
            </w:pPr>
            <w:r>
              <w:rPr>
                <w:rFonts w:hint="eastAsia" w:ascii="Calibri"/>
                <w:szCs w:val="21"/>
              </w:rPr>
              <w:t>万立方米</w:t>
            </w:r>
          </w:p>
        </w:tc>
        <w:tc>
          <w:tcPr>
            <w:tcW w:w="1714" w:type="dxa"/>
            <w:shd w:val="clear" w:color="auto" w:fill="FFFFFF"/>
            <w:vAlign w:val="center"/>
          </w:tcPr>
          <w:p>
            <w:pPr>
              <w:jc w:val="center"/>
              <w:rPr>
                <w:rFonts w:ascii="Calibri"/>
                <w:szCs w:val="21"/>
              </w:rPr>
            </w:pPr>
            <w:r>
              <w:rPr>
                <w:rFonts w:hint="eastAsia" w:ascii="Calibri"/>
                <w:szCs w:val="21"/>
              </w:rPr>
              <w:t>23.88</w:t>
            </w:r>
          </w:p>
        </w:tc>
        <w:tc>
          <w:tcPr>
            <w:tcW w:w="1906" w:type="dxa"/>
            <w:shd w:val="clear" w:color="auto" w:fill="FFFFFF"/>
            <w:vAlign w:val="center"/>
          </w:tcPr>
          <w:p>
            <w:pPr>
              <w:jc w:val="center"/>
              <w:rPr>
                <w:rFonts w:ascii="Calibri"/>
                <w:szCs w:val="21"/>
              </w:rPr>
            </w:pPr>
            <w:r>
              <w:rPr>
                <w:rFonts w:hint="eastAsia" w:ascii="Calibri"/>
                <w:szCs w:val="21"/>
                <w:lang w:val="zh-TW"/>
              </w:rPr>
              <w:t>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exact"/>
          <w:jc w:val="center"/>
        </w:trPr>
        <w:tc>
          <w:tcPr>
            <w:tcW w:w="871" w:type="dxa"/>
            <w:shd w:val="clear" w:color="auto" w:fill="FFFFFF"/>
            <w:vAlign w:val="center"/>
          </w:tcPr>
          <w:p>
            <w:pPr>
              <w:jc w:val="center"/>
              <w:rPr>
                <w:rFonts w:ascii="Calibri"/>
                <w:szCs w:val="21"/>
              </w:rPr>
            </w:pPr>
            <w:r>
              <w:rPr>
                <w:rFonts w:hint="eastAsia" w:ascii="Calibri"/>
                <w:szCs w:val="21"/>
                <w:lang w:val="zh-TW"/>
              </w:rPr>
              <w:t>2</w:t>
            </w:r>
          </w:p>
        </w:tc>
        <w:tc>
          <w:tcPr>
            <w:tcW w:w="2714" w:type="dxa"/>
            <w:shd w:val="clear" w:color="auto" w:fill="FFFFFF"/>
            <w:vAlign w:val="center"/>
          </w:tcPr>
          <w:p>
            <w:pPr>
              <w:jc w:val="center"/>
              <w:rPr>
                <w:rFonts w:ascii="Calibri"/>
                <w:szCs w:val="21"/>
              </w:rPr>
            </w:pPr>
            <w:r>
              <w:rPr>
                <w:rFonts w:hint="eastAsia" w:ascii="Calibri"/>
                <w:szCs w:val="21"/>
              </w:rPr>
              <w:t>设计开采境界范围内矿量</w:t>
            </w:r>
          </w:p>
        </w:tc>
        <w:tc>
          <w:tcPr>
            <w:tcW w:w="1577" w:type="dxa"/>
            <w:shd w:val="clear" w:color="auto" w:fill="FFFFFF"/>
            <w:vAlign w:val="center"/>
          </w:tcPr>
          <w:p>
            <w:pPr>
              <w:jc w:val="center"/>
              <w:rPr>
                <w:rFonts w:ascii="Calibri"/>
                <w:szCs w:val="21"/>
              </w:rPr>
            </w:pPr>
            <w:r>
              <w:rPr>
                <w:rFonts w:hint="eastAsia" w:ascii="Calibri"/>
                <w:szCs w:val="21"/>
              </w:rPr>
              <w:t>万立方米</w:t>
            </w:r>
          </w:p>
        </w:tc>
        <w:tc>
          <w:tcPr>
            <w:tcW w:w="1714" w:type="dxa"/>
            <w:shd w:val="clear" w:color="auto" w:fill="FFFFFF"/>
            <w:vAlign w:val="center"/>
          </w:tcPr>
          <w:p>
            <w:pPr>
              <w:jc w:val="center"/>
              <w:rPr>
                <w:rFonts w:ascii="Calibri"/>
                <w:szCs w:val="21"/>
              </w:rPr>
            </w:pPr>
            <w:r>
              <w:rPr>
                <w:rFonts w:hint="eastAsia" w:ascii="Calibri"/>
                <w:szCs w:val="21"/>
              </w:rPr>
              <w:t>21.00</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exact"/>
          <w:jc w:val="center"/>
        </w:trPr>
        <w:tc>
          <w:tcPr>
            <w:tcW w:w="871" w:type="dxa"/>
            <w:shd w:val="clear" w:color="auto" w:fill="FFFFFF"/>
            <w:vAlign w:val="center"/>
          </w:tcPr>
          <w:p>
            <w:pPr>
              <w:jc w:val="center"/>
              <w:rPr>
                <w:rFonts w:ascii="Calibri"/>
                <w:szCs w:val="21"/>
              </w:rPr>
            </w:pPr>
            <w:r>
              <w:rPr>
                <w:rFonts w:hint="eastAsia" w:ascii="Calibri"/>
                <w:szCs w:val="21"/>
              </w:rPr>
              <w:t>二</w:t>
            </w:r>
          </w:p>
        </w:tc>
        <w:tc>
          <w:tcPr>
            <w:tcW w:w="2714" w:type="dxa"/>
            <w:shd w:val="clear" w:color="auto" w:fill="FFFFFF"/>
            <w:vAlign w:val="center"/>
          </w:tcPr>
          <w:p>
            <w:pPr>
              <w:jc w:val="center"/>
              <w:rPr>
                <w:rFonts w:ascii="Calibri"/>
                <w:szCs w:val="21"/>
              </w:rPr>
            </w:pPr>
            <w:r>
              <w:rPr>
                <w:rFonts w:hint="eastAsia" w:ascii="Calibri"/>
                <w:szCs w:val="21"/>
              </w:rPr>
              <w:t>矿山开采</w:t>
            </w:r>
          </w:p>
        </w:tc>
        <w:tc>
          <w:tcPr>
            <w:tcW w:w="1577" w:type="dxa"/>
            <w:shd w:val="clear" w:color="auto" w:fill="FFFFFF"/>
            <w:vAlign w:val="center"/>
          </w:tcPr>
          <w:p>
            <w:pPr>
              <w:jc w:val="center"/>
              <w:rPr>
                <w:rFonts w:ascii="Calibri"/>
                <w:szCs w:val="21"/>
              </w:rPr>
            </w:pPr>
          </w:p>
        </w:tc>
        <w:tc>
          <w:tcPr>
            <w:tcW w:w="1714" w:type="dxa"/>
            <w:shd w:val="clear" w:color="auto" w:fill="FFFFFF"/>
            <w:vAlign w:val="center"/>
          </w:tcPr>
          <w:p>
            <w:pPr>
              <w:jc w:val="center"/>
              <w:rPr>
                <w:rFonts w:ascii="Calibri"/>
                <w:szCs w:val="21"/>
              </w:rPr>
            </w:pP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exact"/>
          <w:jc w:val="center"/>
        </w:trPr>
        <w:tc>
          <w:tcPr>
            <w:tcW w:w="871" w:type="dxa"/>
            <w:shd w:val="clear" w:color="auto" w:fill="FFFFFF"/>
            <w:vAlign w:val="center"/>
          </w:tcPr>
          <w:p>
            <w:pPr>
              <w:jc w:val="center"/>
              <w:rPr>
                <w:rFonts w:ascii="Calibri"/>
                <w:szCs w:val="21"/>
              </w:rPr>
            </w:pPr>
            <w:r>
              <w:rPr>
                <w:rFonts w:hint="eastAsia" w:ascii="Calibri"/>
                <w:szCs w:val="21"/>
                <w:lang w:val="zh-TW"/>
              </w:rPr>
              <w:t>1</w:t>
            </w:r>
          </w:p>
        </w:tc>
        <w:tc>
          <w:tcPr>
            <w:tcW w:w="2714" w:type="dxa"/>
            <w:shd w:val="clear" w:color="auto" w:fill="FFFFFF"/>
            <w:vAlign w:val="center"/>
          </w:tcPr>
          <w:p>
            <w:pPr>
              <w:jc w:val="center"/>
              <w:rPr>
                <w:rFonts w:ascii="Calibri"/>
                <w:szCs w:val="21"/>
              </w:rPr>
            </w:pPr>
            <w:r>
              <w:rPr>
                <w:rFonts w:hint="eastAsia" w:ascii="Calibri"/>
                <w:szCs w:val="21"/>
              </w:rPr>
              <w:t>工作制度</w:t>
            </w:r>
          </w:p>
        </w:tc>
        <w:tc>
          <w:tcPr>
            <w:tcW w:w="1577" w:type="dxa"/>
            <w:shd w:val="clear" w:color="auto" w:fill="FFFFFF"/>
            <w:vAlign w:val="center"/>
          </w:tcPr>
          <w:p>
            <w:pPr>
              <w:jc w:val="center"/>
              <w:rPr>
                <w:rFonts w:ascii="Calibri"/>
                <w:szCs w:val="21"/>
              </w:rPr>
            </w:pPr>
            <w:r>
              <w:rPr>
                <w:rFonts w:hint="eastAsia" w:ascii="Calibri"/>
                <w:szCs w:val="21"/>
              </w:rPr>
              <w:t>天/班/h</w:t>
            </w:r>
          </w:p>
        </w:tc>
        <w:tc>
          <w:tcPr>
            <w:tcW w:w="1714" w:type="dxa"/>
            <w:shd w:val="clear" w:color="auto" w:fill="FFFFFF"/>
            <w:vAlign w:val="center"/>
          </w:tcPr>
          <w:p>
            <w:pPr>
              <w:jc w:val="center"/>
              <w:rPr>
                <w:rFonts w:ascii="Calibri"/>
                <w:szCs w:val="21"/>
              </w:rPr>
            </w:pPr>
            <w:r>
              <w:rPr>
                <w:rFonts w:hint="eastAsia" w:ascii="Calibri"/>
                <w:szCs w:val="21"/>
              </w:rPr>
              <w:t>250x1x6</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exact"/>
          <w:jc w:val="center"/>
        </w:trPr>
        <w:tc>
          <w:tcPr>
            <w:tcW w:w="871" w:type="dxa"/>
            <w:shd w:val="clear" w:color="auto" w:fill="FFFFFF"/>
            <w:vAlign w:val="center"/>
          </w:tcPr>
          <w:p>
            <w:pPr>
              <w:jc w:val="center"/>
              <w:rPr>
                <w:rFonts w:ascii="Calibri"/>
                <w:szCs w:val="21"/>
              </w:rPr>
            </w:pPr>
            <w:r>
              <w:rPr>
                <w:rFonts w:hint="eastAsia" w:ascii="Calibri"/>
                <w:szCs w:val="21"/>
                <w:lang w:val="zh-TW"/>
              </w:rPr>
              <w:t>2</w:t>
            </w:r>
          </w:p>
        </w:tc>
        <w:tc>
          <w:tcPr>
            <w:tcW w:w="2714" w:type="dxa"/>
            <w:shd w:val="clear" w:color="auto" w:fill="FFFFFF"/>
            <w:vAlign w:val="center"/>
          </w:tcPr>
          <w:p>
            <w:pPr>
              <w:jc w:val="center"/>
              <w:rPr>
                <w:rFonts w:ascii="Calibri"/>
                <w:szCs w:val="21"/>
              </w:rPr>
            </w:pPr>
            <w:r>
              <w:rPr>
                <w:rFonts w:hint="eastAsia" w:ascii="Calibri"/>
                <w:szCs w:val="21"/>
              </w:rPr>
              <w:t>矿山生产规模</w:t>
            </w:r>
          </w:p>
        </w:tc>
        <w:tc>
          <w:tcPr>
            <w:tcW w:w="1577" w:type="dxa"/>
            <w:shd w:val="clear" w:color="auto" w:fill="FFFFFF"/>
            <w:vAlign w:val="center"/>
          </w:tcPr>
          <w:p>
            <w:pPr>
              <w:jc w:val="center"/>
              <w:rPr>
                <w:rFonts w:ascii="Calibri"/>
                <w:szCs w:val="21"/>
              </w:rPr>
            </w:pPr>
            <w:r>
              <w:rPr>
                <w:rFonts w:hint="eastAsia" w:ascii="Calibri"/>
                <w:szCs w:val="21"/>
              </w:rPr>
              <w:t>万立方米/年</w:t>
            </w:r>
          </w:p>
        </w:tc>
        <w:tc>
          <w:tcPr>
            <w:tcW w:w="1714" w:type="dxa"/>
            <w:shd w:val="clear" w:color="auto" w:fill="FFFFFF"/>
            <w:vAlign w:val="center"/>
          </w:tcPr>
          <w:p>
            <w:pPr>
              <w:jc w:val="center"/>
              <w:rPr>
                <w:rFonts w:ascii="Calibri"/>
                <w:szCs w:val="21"/>
              </w:rPr>
            </w:pPr>
            <w:r>
              <w:rPr>
                <w:rFonts w:hint="eastAsia" w:ascii="Calibri"/>
                <w:szCs w:val="21"/>
              </w:rPr>
              <w:t>3.0</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exact"/>
          <w:jc w:val="center"/>
        </w:trPr>
        <w:tc>
          <w:tcPr>
            <w:tcW w:w="871" w:type="dxa"/>
            <w:shd w:val="clear" w:color="auto" w:fill="FFFFFF"/>
            <w:vAlign w:val="center"/>
          </w:tcPr>
          <w:p>
            <w:pPr>
              <w:jc w:val="center"/>
              <w:rPr>
                <w:rFonts w:ascii="Calibri"/>
                <w:szCs w:val="21"/>
              </w:rPr>
            </w:pPr>
            <w:r>
              <w:rPr>
                <w:rFonts w:hint="eastAsia" w:ascii="Calibri"/>
                <w:szCs w:val="21"/>
                <w:lang w:val="zh-TW"/>
              </w:rPr>
              <w:t>3</w:t>
            </w:r>
          </w:p>
        </w:tc>
        <w:tc>
          <w:tcPr>
            <w:tcW w:w="2714" w:type="dxa"/>
            <w:shd w:val="clear" w:color="auto" w:fill="FFFFFF"/>
            <w:vAlign w:val="center"/>
          </w:tcPr>
          <w:p>
            <w:pPr>
              <w:jc w:val="center"/>
              <w:rPr>
                <w:rFonts w:ascii="Calibri"/>
                <w:szCs w:val="21"/>
              </w:rPr>
            </w:pPr>
            <w:r>
              <w:rPr>
                <w:rFonts w:hint="eastAsia" w:ascii="Calibri"/>
                <w:szCs w:val="21"/>
              </w:rPr>
              <w:t>计算年采剥总量</w:t>
            </w:r>
          </w:p>
        </w:tc>
        <w:tc>
          <w:tcPr>
            <w:tcW w:w="1577" w:type="dxa"/>
            <w:shd w:val="clear" w:color="auto" w:fill="FFFFFF"/>
            <w:vAlign w:val="center"/>
          </w:tcPr>
          <w:p>
            <w:pPr>
              <w:jc w:val="center"/>
              <w:rPr>
                <w:rFonts w:ascii="Calibri"/>
                <w:szCs w:val="21"/>
              </w:rPr>
            </w:pPr>
            <w:r>
              <w:rPr>
                <w:rFonts w:hint="eastAsia" w:ascii="Calibri"/>
                <w:szCs w:val="21"/>
              </w:rPr>
              <w:t>万立方米/年</w:t>
            </w:r>
          </w:p>
        </w:tc>
        <w:tc>
          <w:tcPr>
            <w:tcW w:w="1714" w:type="dxa"/>
            <w:shd w:val="clear" w:color="auto" w:fill="FFFFFF"/>
            <w:vAlign w:val="center"/>
          </w:tcPr>
          <w:p>
            <w:pPr>
              <w:jc w:val="center"/>
              <w:rPr>
                <w:rFonts w:ascii="Calibri"/>
                <w:szCs w:val="21"/>
              </w:rPr>
            </w:pPr>
            <w:r>
              <w:rPr>
                <w:rFonts w:hint="eastAsia" w:ascii="Calibri"/>
                <w:szCs w:val="21"/>
              </w:rPr>
              <w:t>3.8</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exact"/>
          <w:jc w:val="center"/>
        </w:trPr>
        <w:tc>
          <w:tcPr>
            <w:tcW w:w="871" w:type="dxa"/>
            <w:shd w:val="clear" w:color="auto" w:fill="FFFFFF"/>
            <w:vAlign w:val="center"/>
          </w:tcPr>
          <w:p>
            <w:pPr>
              <w:jc w:val="center"/>
              <w:rPr>
                <w:rFonts w:ascii="Calibri"/>
                <w:szCs w:val="21"/>
              </w:rPr>
            </w:pPr>
            <w:r>
              <w:rPr>
                <w:rFonts w:hint="eastAsia" w:ascii="Calibri"/>
                <w:szCs w:val="21"/>
                <w:lang w:val="zh-TW"/>
              </w:rPr>
              <w:t>4</w:t>
            </w:r>
          </w:p>
        </w:tc>
        <w:tc>
          <w:tcPr>
            <w:tcW w:w="2714" w:type="dxa"/>
            <w:shd w:val="clear" w:color="auto" w:fill="FFFFFF"/>
            <w:vAlign w:val="center"/>
          </w:tcPr>
          <w:p>
            <w:pPr>
              <w:jc w:val="center"/>
              <w:rPr>
                <w:rFonts w:ascii="Calibri"/>
                <w:szCs w:val="21"/>
              </w:rPr>
            </w:pPr>
            <w:r>
              <w:rPr>
                <w:rFonts w:hint="eastAsia" w:ascii="Calibri"/>
                <w:szCs w:val="21"/>
              </w:rPr>
              <w:t>开采方式</w:t>
            </w:r>
          </w:p>
        </w:tc>
        <w:tc>
          <w:tcPr>
            <w:tcW w:w="5197" w:type="dxa"/>
            <w:gridSpan w:val="3"/>
            <w:shd w:val="clear" w:color="auto" w:fill="FFFFFF"/>
            <w:vAlign w:val="center"/>
          </w:tcPr>
          <w:p>
            <w:pPr>
              <w:jc w:val="center"/>
              <w:rPr>
                <w:rFonts w:ascii="Calibri"/>
                <w:szCs w:val="21"/>
              </w:rPr>
            </w:pPr>
            <w:r>
              <w:rPr>
                <w:rFonts w:hint="eastAsia" w:ascii="Calibri"/>
                <w:szCs w:val="21"/>
              </w:rPr>
              <w:t>山坡露天开采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exact"/>
          <w:jc w:val="center"/>
        </w:trPr>
        <w:tc>
          <w:tcPr>
            <w:tcW w:w="871" w:type="dxa"/>
            <w:shd w:val="clear" w:color="auto" w:fill="FFFFFF"/>
            <w:vAlign w:val="center"/>
          </w:tcPr>
          <w:p>
            <w:pPr>
              <w:jc w:val="center"/>
              <w:rPr>
                <w:rFonts w:ascii="Calibri"/>
                <w:szCs w:val="21"/>
              </w:rPr>
            </w:pPr>
            <w:r>
              <w:rPr>
                <w:rFonts w:hint="eastAsia" w:ascii="Calibri"/>
                <w:szCs w:val="21"/>
                <w:lang w:val="zh-TW"/>
              </w:rPr>
              <w:t>5</w:t>
            </w:r>
          </w:p>
        </w:tc>
        <w:tc>
          <w:tcPr>
            <w:tcW w:w="2714" w:type="dxa"/>
            <w:shd w:val="clear" w:color="auto" w:fill="FFFFFF"/>
            <w:vAlign w:val="center"/>
          </w:tcPr>
          <w:p>
            <w:pPr>
              <w:jc w:val="center"/>
              <w:rPr>
                <w:rFonts w:ascii="Calibri"/>
                <w:szCs w:val="21"/>
              </w:rPr>
            </w:pPr>
            <w:r>
              <w:rPr>
                <w:rFonts w:hint="eastAsia" w:ascii="Calibri"/>
                <w:szCs w:val="21"/>
              </w:rPr>
              <w:t>开拓运输方式</w:t>
            </w:r>
          </w:p>
        </w:tc>
        <w:tc>
          <w:tcPr>
            <w:tcW w:w="5197" w:type="dxa"/>
            <w:gridSpan w:val="3"/>
            <w:shd w:val="clear" w:color="auto" w:fill="FFFFFF"/>
            <w:vAlign w:val="center"/>
          </w:tcPr>
          <w:p>
            <w:pPr>
              <w:jc w:val="center"/>
              <w:rPr>
                <w:rFonts w:ascii="Calibri"/>
                <w:szCs w:val="21"/>
              </w:rPr>
            </w:pPr>
            <w:r>
              <w:rPr>
                <w:rFonts w:hint="eastAsia" w:ascii="Calibri"/>
                <w:szCs w:val="21"/>
              </w:rPr>
              <w:t>公路开拓、汽车运输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exact"/>
          <w:jc w:val="center"/>
        </w:trPr>
        <w:tc>
          <w:tcPr>
            <w:tcW w:w="871" w:type="dxa"/>
            <w:shd w:val="clear" w:color="auto" w:fill="FFFFFF"/>
            <w:vAlign w:val="center"/>
          </w:tcPr>
          <w:p>
            <w:pPr>
              <w:jc w:val="center"/>
              <w:rPr>
                <w:rFonts w:ascii="Calibri"/>
                <w:szCs w:val="21"/>
              </w:rPr>
            </w:pPr>
            <w:r>
              <w:rPr>
                <w:rFonts w:hint="eastAsia" w:ascii="Calibri"/>
                <w:szCs w:val="21"/>
                <w:lang w:val="zh-TW"/>
              </w:rPr>
              <w:t>6</w:t>
            </w:r>
          </w:p>
        </w:tc>
        <w:tc>
          <w:tcPr>
            <w:tcW w:w="2714" w:type="dxa"/>
            <w:shd w:val="clear" w:color="auto" w:fill="FFFFFF"/>
            <w:vAlign w:val="center"/>
          </w:tcPr>
          <w:p>
            <w:pPr>
              <w:jc w:val="center"/>
              <w:rPr>
                <w:rFonts w:ascii="Calibri"/>
                <w:szCs w:val="21"/>
              </w:rPr>
            </w:pPr>
            <w:r>
              <w:rPr>
                <w:rFonts w:hint="eastAsia" w:ascii="Calibri"/>
                <w:szCs w:val="21"/>
              </w:rPr>
              <w:t>基建时间</w:t>
            </w:r>
          </w:p>
        </w:tc>
        <w:tc>
          <w:tcPr>
            <w:tcW w:w="1577" w:type="dxa"/>
            <w:shd w:val="clear" w:color="auto" w:fill="FFFFFF"/>
            <w:vAlign w:val="center"/>
          </w:tcPr>
          <w:p>
            <w:pPr>
              <w:jc w:val="center"/>
              <w:rPr>
                <w:rFonts w:ascii="Calibri"/>
                <w:szCs w:val="21"/>
              </w:rPr>
            </w:pPr>
            <w:r>
              <w:rPr>
                <w:rFonts w:hint="eastAsia" w:ascii="Calibri"/>
                <w:szCs w:val="21"/>
              </w:rPr>
              <w:t>月</w:t>
            </w:r>
          </w:p>
        </w:tc>
        <w:tc>
          <w:tcPr>
            <w:tcW w:w="1714" w:type="dxa"/>
            <w:shd w:val="clear" w:color="auto" w:fill="FFFFFF"/>
            <w:vAlign w:val="center"/>
          </w:tcPr>
          <w:p>
            <w:pPr>
              <w:jc w:val="center"/>
              <w:rPr>
                <w:rFonts w:ascii="Calibri"/>
                <w:szCs w:val="21"/>
              </w:rPr>
            </w:pPr>
            <w:r>
              <w:rPr>
                <w:rFonts w:hint="eastAsia" w:ascii="Calibri"/>
                <w:szCs w:val="21"/>
                <w:lang w:val="zh-TW"/>
              </w:rPr>
              <w:t>3</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exact"/>
          <w:jc w:val="center"/>
        </w:trPr>
        <w:tc>
          <w:tcPr>
            <w:tcW w:w="871" w:type="dxa"/>
            <w:shd w:val="clear" w:color="auto" w:fill="FFFFFF"/>
            <w:vAlign w:val="center"/>
          </w:tcPr>
          <w:p>
            <w:pPr>
              <w:jc w:val="center"/>
              <w:rPr>
                <w:rFonts w:ascii="Calibri"/>
                <w:szCs w:val="21"/>
              </w:rPr>
            </w:pPr>
            <w:r>
              <w:rPr>
                <w:rFonts w:hint="eastAsia" w:ascii="Calibri"/>
                <w:szCs w:val="21"/>
                <w:lang w:val="zh-TW"/>
              </w:rPr>
              <w:t>7</w:t>
            </w:r>
          </w:p>
        </w:tc>
        <w:tc>
          <w:tcPr>
            <w:tcW w:w="2714" w:type="dxa"/>
            <w:shd w:val="clear" w:color="auto" w:fill="FFFFFF"/>
            <w:vAlign w:val="center"/>
          </w:tcPr>
          <w:p>
            <w:pPr>
              <w:jc w:val="center"/>
              <w:rPr>
                <w:rFonts w:ascii="Calibri"/>
                <w:szCs w:val="21"/>
              </w:rPr>
            </w:pPr>
            <w:r>
              <w:rPr>
                <w:rFonts w:hint="eastAsia" w:ascii="Calibri"/>
                <w:szCs w:val="21"/>
              </w:rPr>
              <w:t>矿山基建工程量</w:t>
            </w:r>
          </w:p>
        </w:tc>
        <w:tc>
          <w:tcPr>
            <w:tcW w:w="1577" w:type="dxa"/>
            <w:shd w:val="clear" w:color="auto" w:fill="FFFFFF"/>
            <w:vAlign w:val="center"/>
          </w:tcPr>
          <w:p>
            <w:pPr>
              <w:jc w:val="center"/>
              <w:rPr>
                <w:rFonts w:ascii="Calibri"/>
                <w:szCs w:val="21"/>
              </w:rPr>
            </w:pPr>
            <w:r>
              <w:rPr>
                <w:rFonts w:hint="eastAsia" w:ascii="Calibri"/>
                <w:szCs w:val="21"/>
              </w:rPr>
              <w:t>方立方米</w:t>
            </w:r>
          </w:p>
        </w:tc>
        <w:tc>
          <w:tcPr>
            <w:tcW w:w="1714" w:type="dxa"/>
            <w:shd w:val="clear" w:color="auto" w:fill="FFFFFF"/>
            <w:vAlign w:val="center"/>
          </w:tcPr>
          <w:p>
            <w:pPr>
              <w:jc w:val="center"/>
              <w:rPr>
                <w:rFonts w:ascii="Calibri"/>
                <w:szCs w:val="21"/>
              </w:rPr>
            </w:pPr>
            <w:r>
              <w:rPr>
                <w:rFonts w:hint="eastAsia" w:ascii="Calibri"/>
                <w:szCs w:val="21"/>
              </w:rPr>
              <w:t>2.46</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jc w:val="center"/>
        </w:trPr>
        <w:tc>
          <w:tcPr>
            <w:tcW w:w="871" w:type="dxa"/>
            <w:shd w:val="clear" w:color="auto" w:fill="FFFFFF"/>
            <w:vAlign w:val="center"/>
          </w:tcPr>
          <w:p>
            <w:pPr>
              <w:jc w:val="center"/>
              <w:rPr>
                <w:rFonts w:ascii="Calibri"/>
                <w:szCs w:val="21"/>
              </w:rPr>
            </w:pPr>
            <w:r>
              <w:rPr>
                <w:rFonts w:hint="eastAsia" w:ascii="Calibri"/>
                <w:szCs w:val="21"/>
                <w:lang w:val="zh-TW"/>
              </w:rPr>
              <w:t>8</w:t>
            </w:r>
          </w:p>
        </w:tc>
        <w:tc>
          <w:tcPr>
            <w:tcW w:w="2714" w:type="dxa"/>
            <w:shd w:val="clear" w:color="auto" w:fill="FFFFFF"/>
            <w:vAlign w:val="center"/>
          </w:tcPr>
          <w:p>
            <w:pPr>
              <w:jc w:val="center"/>
              <w:rPr>
                <w:rFonts w:ascii="Calibri"/>
                <w:szCs w:val="21"/>
              </w:rPr>
            </w:pPr>
            <w:r>
              <w:rPr>
                <w:rFonts w:hint="eastAsia" w:ascii="Calibri"/>
                <w:szCs w:val="21"/>
              </w:rPr>
              <w:t>采场地表尺寸</w:t>
            </w:r>
          </w:p>
        </w:tc>
        <w:tc>
          <w:tcPr>
            <w:tcW w:w="1577" w:type="dxa"/>
            <w:shd w:val="clear" w:color="auto" w:fill="FFFFFF"/>
            <w:vAlign w:val="center"/>
          </w:tcPr>
          <w:p>
            <w:pPr>
              <w:jc w:val="center"/>
              <w:rPr>
                <w:rFonts w:ascii="Calibri"/>
                <w:szCs w:val="21"/>
              </w:rPr>
            </w:pPr>
            <w:r>
              <w:rPr>
                <w:rFonts w:hint="eastAsia" w:ascii="Calibri"/>
                <w:szCs w:val="21"/>
              </w:rPr>
              <w:t>m</w:t>
            </w:r>
          </w:p>
        </w:tc>
        <w:tc>
          <w:tcPr>
            <w:tcW w:w="3620" w:type="dxa"/>
            <w:gridSpan w:val="2"/>
            <w:shd w:val="clear" w:color="auto" w:fill="FFFFFF"/>
            <w:vAlign w:val="center"/>
          </w:tcPr>
          <w:p>
            <w:pPr>
              <w:jc w:val="center"/>
              <w:rPr>
                <w:rFonts w:ascii="Calibri"/>
                <w:szCs w:val="21"/>
              </w:rPr>
            </w:pPr>
            <w:r>
              <w:rPr>
                <w:rFonts w:hint="eastAsia" w:ascii="Calibri"/>
                <w:szCs w:val="21"/>
                <w:lang w:val="zh-TW"/>
              </w:rPr>
              <w:t>137〜</w:t>
            </w:r>
            <w:r>
              <w:rPr>
                <w:rFonts w:hint="eastAsia" w:ascii="Calibri"/>
                <w:szCs w:val="21"/>
              </w:rPr>
              <w:t>173x70</w:t>
            </w:r>
            <w:r>
              <w:rPr>
                <w:rFonts w:hint="eastAsia" w:ascii="Calibri"/>
                <w:szCs w:val="21"/>
                <w:lang w:val="zh-TW"/>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exact"/>
          <w:jc w:val="center"/>
        </w:trPr>
        <w:tc>
          <w:tcPr>
            <w:tcW w:w="871" w:type="dxa"/>
            <w:shd w:val="clear" w:color="auto" w:fill="FFFFFF"/>
            <w:vAlign w:val="center"/>
          </w:tcPr>
          <w:p>
            <w:pPr>
              <w:jc w:val="center"/>
              <w:rPr>
                <w:rFonts w:ascii="Calibri"/>
                <w:szCs w:val="21"/>
              </w:rPr>
            </w:pPr>
            <w:r>
              <w:rPr>
                <w:rFonts w:hint="eastAsia" w:ascii="Calibri"/>
                <w:szCs w:val="21"/>
                <w:lang w:val="zh-TW"/>
              </w:rPr>
              <w:t>9</w:t>
            </w:r>
          </w:p>
        </w:tc>
        <w:tc>
          <w:tcPr>
            <w:tcW w:w="2714" w:type="dxa"/>
            <w:shd w:val="clear" w:color="auto" w:fill="FFFFFF"/>
            <w:vAlign w:val="center"/>
          </w:tcPr>
          <w:p>
            <w:pPr>
              <w:jc w:val="center"/>
              <w:rPr>
                <w:rFonts w:ascii="Calibri"/>
                <w:szCs w:val="21"/>
              </w:rPr>
            </w:pPr>
            <w:r>
              <w:rPr>
                <w:rFonts w:hint="eastAsia" w:ascii="Calibri"/>
                <w:szCs w:val="21"/>
              </w:rPr>
              <w:t>采场最大开采高度</w:t>
            </w:r>
          </w:p>
        </w:tc>
        <w:tc>
          <w:tcPr>
            <w:tcW w:w="1577" w:type="dxa"/>
            <w:shd w:val="clear" w:color="auto" w:fill="FFFFFF"/>
            <w:vAlign w:val="center"/>
          </w:tcPr>
          <w:p>
            <w:pPr>
              <w:jc w:val="center"/>
              <w:rPr>
                <w:rFonts w:ascii="Calibri"/>
                <w:szCs w:val="21"/>
              </w:rPr>
            </w:pPr>
            <w:r>
              <w:rPr>
                <w:rFonts w:hint="eastAsia" w:ascii="Calibri"/>
                <w:szCs w:val="21"/>
              </w:rPr>
              <w:t>m</w:t>
            </w:r>
          </w:p>
        </w:tc>
        <w:tc>
          <w:tcPr>
            <w:tcW w:w="1714" w:type="dxa"/>
            <w:shd w:val="clear" w:color="auto" w:fill="FFFFFF"/>
            <w:vAlign w:val="center"/>
          </w:tcPr>
          <w:p>
            <w:pPr>
              <w:jc w:val="center"/>
              <w:rPr>
                <w:rFonts w:ascii="Calibri"/>
                <w:szCs w:val="21"/>
              </w:rPr>
            </w:pPr>
            <w:r>
              <w:rPr>
                <w:rFonts w:hint="eastAsia" w:ascii="Calibri"/>
                <w:szCs w:val="21"/>
                <w:lang w:val="zh-TW"/>
              </w:rPr>
              <w:t>67</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exact"/>
          <w:jc w:val="center"/>
        </w:trPr>
        <w:tc>
          <w:tcPr>
            <w:tcW w:w="871" w:type="dxa"/>
            <w:shd w:val="clear" w:color="auto" w:fill="FFFFFF"/>
            <w:vAlign w:val="center"/>
          </w:tcPr>
          <w:p>
            <w:pPr>
              <w:jc w:val="center"/>
              <w:rPr>
                <w:rFonts w:ascii="Calibri"/>
                <w:szCs w:val="21"/>
              </w:rPr>
            </w:pPr>
            <w:r>
              <w:rPr>
                <w:rFonts w:hint="eastAsia" w:ascii="Calibri"/>
                <w:szCs w:val="21"/>
                <w:lang w:val="zh-TW"/>
              </w:rPr>
              <w:t>10</w:t>
            </w:r>
          </w:p>
        </w:tc>
        <w:tc>
          <w:tcPr>
            <w:tcW w:w="2714" w:type="dxa"/>
            <w:shd w:val="clear" w:color="auto" w:fill="FFFFFF"/>
            <w:vAlign w:val="center"/>
          </w:tcPr>
          <w:p>
            <w:pPr>
              <w:jc w:val="center"/>
              <w:rPr>
                <w:rFonts w:ascii="Calibri"/>
                <w:szCs w:val="21"/>
              </w:rPr>
            </w:pPr>
            <w:r>
              <w:rPr>
                <w:rFonts w:hint="eastAsia" w:ascii="Calibri"/>
                <w:szCs w:val="21"/>
              </w:rPr>
              <w:t>设计最低开采水平</w:t>
            </w:r>
          </w:p>
        </w:tc>
        <w:tc>
          <w:tcPr>
            <w:tcW w:w="1577" w:type="dxa"/>
            <w:shd w:val="clear" w:color="auto" w:fill="FFFFFF"/>
            <w:vAlign w:val="center"/>
          </w:tcPr>
          <w:p>
            <w:pPr>
              <w:jc w:val="center"/>
              <w:rPr>
                <w:rFonts w:ascii="Calibri"/>
                <w:szCs w:val="21"/>
              </w:rPr>
            </w:pPr>
            <w:r>
              <w:rPr>
                <w:rFonts w:hint="eastAsia" w:ascii="Calibri"/>
                <w:szCs w:val="21"/>
              </w:rPr>
              <w:t>m</w:t>
            </w:r>
          </w:p>
        </w:tc>
        <w:tc>
          <w:tcPr>
            <w:tcW w:w="1714" w:type="dxa"/>
            <w:shd w:val="clear" w:color="auto" w:fill="FFFFFF"/>
            <w:vAlign w:val="center"/>
          </w:tcPr>
          <w:p>
            <w:pPr>
              <w:jc w:val="center"/>
              <w:rPr>
                <w:rFonts w:ascii="Calibri"/>
                <w:szCs w:val="21"/>
              </w:rPr>
            </w:pPr>
            <w:r>
              <w:rPr>
                <w:rFonts w:hint="eastAsia" w:ascii="Calibri"/>
                <w:szCs w:val="21"/>
                <w:lang w:val="zh-TW"/>
              </w:rPr>
              <w:t>+2475</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exact"/>
          <w:jc w:val="center"/>
        </w:trPr>
        <w:tc>
          <w:tcPr>
            <w:tcW w:w="871" w:type="dxa"/>
            <w:shd w:val="clear" w:color="auto" w:fill="FFFFFF"/>
            <w:vAlign w:val="center"/>
          </w:tcPr>
          <w:p>
            <w:pPr>
              <w:jc w:val="center"/>
              <w:rPr>
                <w:rFonts w:ascii="Calibri"/>
                <w:szCs w:val="21"/>
              </w:rPr>
            </w:pPr>
            <w:r>
              <w:rPr>
                <w:rFonts w:hint="eastAsia" w:ascii="Calibri"/>
                <w:szCs w:val="21"/>
                <w:lang w:val="zh-TW"/>
              </w:rPr>
              <w:t>11</w:t>
            </w:r>
          </w:p>
        </w:tc>
        <w:tc>
          <w:tcPr>
            <w:tcW w:w="2714" w:type="dxa"/>
            <w:shd w:val="clear" w:color="auto" w:fill="FFFFFF"/>
            <w:vAlign w:val="center"/>
          </w:tcPr>
          <w:p>
            <w:pPr>
              <w:jc w:val="center"/>
              <w:rPr>
                <w:rFonts w:ascii="Calibri"/>
                <w:szCs w:val="21"/>
              </w:rPr>
            </w:pPr>
            <w:r>
              <w:rPr>
                <w:rFonts w:hint="eastAsia" w:ascii="Calibri"/>
                <w:szCs w:val="21"/>
              </w:rPr>
              <w:t>矿山设计服务年限</w:t>
            </w:r>
          </w:p>
        </w:tc>
        <w:tc>
          <w:tcPr>
            <w:tcW w:w="1577" w:type="dxa"/>
            <w:shd w:val="clear" w:color="auto" w:fill="FFFFFF"/>
            <w:vAlign w:val="center"/>
          </w:tcPr>
          <w:p>
            <w:pPr>
              <w:jc w:val="center"/>
              <w:rPr>
                <w:rFonts w:ascii="Calibri"/>
                <w:szCs w:val="21"/>
              </w:rPr>
            </w:pPr>
            <w:r>
              <w:rPr>
                <w:rFonts w:hint="eastAsia" w:ascii="Calibri"/>
                <w:szCs w:val="21"/>
              </w:rPr>
              <w:t>年</w:t>
            </w:r>
          </w:p>
        </w:tc>
        <w:tc>
          <w:tcPr>
            <w:tcW w:w="1714" w:type="dxa"/>
            <w:shd w:val="clear" w:color="auto" w:fill="FFFFFF"/>
            <w:vAlign w:val="center"/>
          </w:tcPr>
          <w:p>
            <w:pPr>
              <w:jc w:val="center"/>
              <w:rPr>
                <w:rFonts w:ascii="Calibri"/>
                <w:szCs w:val="21"/>
              </w:rPr>
            </w:pPr>
            <w:r>
              <w:rPr>
                <w:rFonts w:hint="eastAsia" w:ascii="Calibri"/>
                <w:szCs w:val="21"/>
              </w:rPr>
              <w:t>6.9</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exact"/>
          <w:jc w:val="center"/>
        </w:trPr>
        <w:tc>
          <w:tcPr>
            <w:tcW w:w="871" w:type="dxa"/>
            <w:shd w:val="clear" w:color="auto" w:fill="FFFFFF"/>
            <w:vAlign w:val="center"/>
          </w:tcPr>
          <w:p>
            <w:pPr>
              <w:jc w:val="center"/>
              <w:rPr>
                <w:rFonts w:ascii="Calibri"/>
                <w:szCs w:val="21"/>
              </w:rPr>
            </w:pPr>
            <w:r>
              <w:rPr>
                <w:rFonts w:hint="eastAsia" w:ascii="Calibri"/>
                <w:szCs w:val="21"/>
              </w:rPr>
              <w:t>—</w:t>
            </w:r>
          </w:p>
        </w:tc>
        <w:tc>
          <w:tcPr>
            <w:tcW w:w="2714" w:type="dxa"/>
            <w:shd w:val="clear" w:color="auto" w:fill="FFFFFF"/>
            <w:vAlign w:val="center"/>
          </w:tcPr>
          <w:p>
            <w:pPr>
              <w:jc w:val="center"/>
              <w:rPr>
                <w:rFonts w:ascii="Calibri"/>
                <w:szCs w:val="21"/>
              </w:rPr>
            </w:pPr>
            <w:r>
              <w:rPr>
                <w:rFonts w:hint="eastAsia" w:ascii="Calibri"/>
                <w:szCs w:val="21"/>
              </w:rPr>
              <w:t>总平面布置</w:t>
            </w:r>
          </w:p>
        </w:tc>
        <w:tc>
          <w:tcPr>
            <w:tcW w:w="1577" w:type="dxa"/>
            <w:shd w:val="clear" w:color="auto" w:fill="FFFFFF"/>
            <w:vAlign w:val="center"/>
          </w:tcPr>
          <w:p>
            <w:pPr>
              <w:jc w:val="center"/>
              <w:rPr>
                <w:rFonts w:ascii="Calibri"/>
                <w:szCs w:val="21"/>
              </w:rPr>
            </w:pPr>
          </w:p>
        </w:tc>
        <w:tc>
          <w:tcPr>
            <w:tcW w:w="1714" w:type="dxa"/>
            <w:shd w:val="clear" w:color="auto" w:fill="FFFFFF"/>
            <w:vAlign w:val="center"/>
          </w:tcPr>
          <w:p>
            <w:pPr>
              <w:jc w:val="center"/>
              <w:rPr>
                <w:rFonts w:ascii="Calibri"/>
                <w:szCs w:val="21"/>
              </w:rPr>
            </w:pP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exact"/>
          <w:jc w:val="center"/>
        </w:trPr>
        <w:tc>
          <w:tcPr>
            <w:tcW w:w="871" w:type="dxa"/>
            <w:shd w:val="clear" w:color="auto" w:fill="FFFFFF"/>
            <w:vAlign w:val="center"/>
          </w:tcPr>
          <w:p>
            <w:pPr>
              <w:jc w:val="center"/>
              <w:rPr>
                <w:rFonts w:ascii="Calibri"/>
                <w:szCs w:val="21"/>
              </w:rPr>
            </w:pPr>
            <w:r>
              <w:rPr>
                <w:rFonts w:hint="eastAsia" w:ascii="Calibri"/>
                <w:szCs w:val="21"/>
                <w:lang w:val="zh-TW"/>
              </w:rPr>
              <w:t>1</w:t>
            </w:r>
          </w:p>
        </w:tc>
        <w:tc>
          <w:tcPr>
            <w:tcW w:w="2714" w:type="dxa"/>
            <w:shd w:val="clear" w:color="auto" w:fill="FFFFFF"/>
            <w:vAlign w:val="center"/>
          </w:tcPr>
          <w:p>
            <w:pPr>
              <w:jc w:val="center"/>
              <w:rPr>
                <w:rFonts w:ascii="Calibri"/>
                <w:szCs w:val="21"/>
              </w:rPr>
            </w:pPr>
            <w:r>
              <w:rPr>
                <w:rFonts w:hint="eastAsia" w:ascii="Calibri"/>
                <w:szCs w:val="21"/>
              </w:rPr>
              <w:t>采矿场占地面积</w:t>
            </w:r>
          </w:p>
        </w:tc>
        <w:tc>
          <w:tcPr>
            <w:tcW w:w="1577" w:type="dxa"/>
            <w:shd w:val="clear" w:color="auto" w:fill="FFFFFF"/>
            <w:vAlign w:val="center"/>
          </w:tcPr>
          <w:p>
            <w:pPr>
              <w:jc w:val="center"/>
              <w:rPr>
                <w:rFonts w:ascii="Calibri"/>
                <w:szCs w:val="21"/>
              </w:rPr>
            </w:pPr>
            <w:r>
              <w:rPr>
                <w:rFonts w:hint="eastAsia" w:ascii="Calibri"/>
                <w:szCs w:val="21"/>
              </w:rPr>
              <w:t>km</w:t>
            </w:r>
            <w:r>
              <w:rPr>
                <w:rFonts w:hint="eastAsia" w:ascii="Calibri"/>
                <w:szCs w:val="21"/>
                <w:vertAlign w:val="superscript"/>
              </w:rPr>
              <w:t>2</w:t>
            </w:r>
          </w:p>
        </w:tc>
        <w:tc>
          <w:tcPr>
            <w:tcW w:w="1714" w:type="dxa"/>
            <w:shd w:val="clear" w:color="auto" w:fill="FFFFFF"/>
            <w:vAlign w:val="center"/>
          </w:tcPr>
          <w:p>
            <w:pPr>
              <w:jc w:val="center"/>
              <w:rPr>
                <w:rFonts w:ascii="Calibri"/>
                <w:szCs w:val="21"/>
              </w:rPr>
            </w:pPr>
            <w:r>
              <w:rPr>
                <w:rFonts w:hint="eastAsia" w:ascii="Calibri"/>
                <w:szCs w:val="21"/>
              </w:rPr>
              <w:t>0.0146</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exact"/>
          <w:jc w:val="center"/>
        </w:trPr>
        <w:tc>
          <w:tcPr>
            <w:tcW w:w="871" w:type="dxa"/>
            <w:shd w:val="clear" w:color="auto" w:fill="FFFFFF"/>
            <w:vAlign w:val="center"/>
          </w:tcPr>
          <w:p>
            <w:pPr>
              <w:jc w:val="center"/>
              <w:rPr>
                <w:rFonts w:ascii="Calibri"/>
                <w:szCs w:val="21"/>
              </w:rPr>
            </w:pPr>
            <w:r>
              <w:rPr>
                <w:rFonts w:hint="eastAsia" w:ascii="Calibri"/>
                <w:szCs w:val="21"/>
                <w:lang w:val="zh-TW"/>
              </w:rPr>
              <w:t>2</w:t>
            </w:r>
          </w:p>
        </w:tc>
        <w:tc>
          <w:tcPr>
            <w:tcW w:w="2714" w:type="dxa"/>
            <w:shd w:val="clear" w:color="auto" w:fill="FFFFFF"/>
            <w:vAlign w:val="center"/>
          </w:tcPr>
          <w:p>
            <w:pPr>
              <w:jc w:val="center"/>
              <w:rPr>
                <w:rFonts w:ascii="Calibri"/>
                <w:szCs w:val="21"/>
              </w:rPr>
            </w:pPr>
            <w:r>
              <w:rPr>
                <w:rFonts w:hint="eastAsia" w:ascii="Calibri"/>
                <w:szCs w:val="21"/>
              </w:rPr>
              <w:t>道路长度</w:t>
            </w:r>
          </w:p>
        </w:tc>
        <w:tc>
          <w:tcPr>
            <w:tcW w:w="1577" w:type="dxa"/>
            <w:shd w:val="clear" w:color="auto" w:fill="FFFFFF"/>
            <w:vAlign w:val="center"/>
          </w:tcPr>
          <w:p>
            <w:pPr>
              <w:jc w:val="center"/>
              <w:rPr>
                <w:rFonts w:ascii="Calibri"/>
                <w:szCs w:val="21"/>
              </w:rPr>
            </w:pPr>
            <w:r>
              <w:rPr>
                <w:rFonts w:hint="eastAsia" w:ascii="Calibri"/>
                <w:szCs w:val="21"/>
              </w:rPr>
              <w:t>m</w:t>
            </w:r>
          </w:p>
        </w:tc>
        <w:tc>
          <w:tcPr>
            <w:tcW w:w="1714" w:type="dxa"/>
            <w:shd w:val="clear" w:color="auto" w:fill="FFFFFF"/>
            <w:vAlign w:val="center"/>
          </w:tcPr>
          <w:p>
            <w:pPr>
              <w:jc w:val="center"/>
              <w:rPr>
                <w:rFonts w:ascii="Calibri"/>
                <w:szCs w:val="21"/>
              </w:rPr>
            </w:pPr>
            <w:r>
              <w:rPr>
                <w:rFonts w:hint="eastAsia" w:ascii="Calibri"/>
                <w:szCs w:val="21"/>
                <w:lang w:val="zh-TW"/>
              </w:rPr>
              <w:t>1000</w:t>
            </w:r>
          </w:p>
        </w:tc>
        <w:tc>
          <w:tcPr>
            <w:tcW w:w="1906" w:type="dxa"/>
            <w:shd w:val="clear" w:color="auto" w:fill="FFFFFF"/>
            <w:vAlign w:val="center"/>
          </w:tcPr>
          <w:p>
            <w:pPr>
              <w:jc w:val="center"/>
              <w:rPr>
                <w:rFonts w:ascii="Calibri"/>
                <w:szCs w:val="21"/>
              </w:rPr>
            </w:pPr>
            <w:r>
              <w:rPr>
                <w:rFonts w:hint="eastAsia" w:ascii="Calibri"/>
                <w:szCs w:val="21"/>
              </w:rPr>
              <w:t>设计运输道路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exact"/>
          <w:jc w:val="center"/>
        </w:trPr>
        <w:tc>
          <w:tcPr>
            <w:tcW w:w="871" w:type="dxa"/>
            <w:shd w:val="clear" w:color="auto" w:fill="FFFFFF"/>
            <w:vAlign w:val="center"/>
          </w:tcPr>
          <w:p>
            <w:pPr>
              <w:jc w:val="center"/>
              <w:rPr>
                <w:rFonts w:ascii="Calibri"/>
                <w:szCs w:val="21"/>
              </w:rPr>
            </w:pPr>
            <w:r>
              <w:rPr>
                <w:rFonts w:hint="eastAsia" w:ascii="Calibri"/>
                <w:szCs w:val="21"/>
              </w:rPr>
              <w:t>四</w:t>
            </w:r>
          </w:p>
        </w:tc>
        <w:tc>
          <w:tcPr>
            <w:tcW w:w="2714" w:type="dxa"/>
            <w:shd w:val="clear" w:color="auto" w:fill="FFFFFF"/>
            <w:vAlign w:val="center"/>
          </w:tcPr>
          <w:p>
            <w:pPr>
              <w:jc w:val="center"/>
              <w:rPr>
                <w:rFonts w:ascii="Calibri"/>
                <w:szCs w:val="21"/>
              </w:rPr>
            </w:pPr>
            <w:r>
              <w:rPr>
                <w:rFonts w:hint="eastAsia" w:ascii="Calibri"/>
                <w:szCs w:val="21"/>
              </w:rPr>
              <w:t>劳动定员</w:t>
            </w:r>
          </w:p>
        </w:tc>
        <w:tc>
          <w:tcPr>
            <w:tcW w:w="1577" w:type="dxa"/>
            <w:shd w:val="clear" w:color="auto" w:fill="FFFFFF"/>
            <w:vAlign w:val="center"/>
          </w:tcPr>
          <w:p>
            <w:pPr>
              <w:jc w:val="center"/>
              <w:rPr>
                <w:rFonts w:ascii="Calibri"/>
                <w:szCs w:val="21"/>
              </w:rPr>
            </w:pPr>
          </w:p>
        </w:tc>
        <w:tc>
          <w:tcPr>
            <w:tcW w:w="1714" w:type="dxa"/>
            <w:shd w:val="clear" w:color="auto" w:fill="FFFFFF"/>
            <w:vAlign w:val="center"/>
          </w:tcPr>
          <w:p>
            <w:pPr>
              <w:jc w:val="center"/>
              <w:rPr>
                <w:rFonts w:ascii="Calibri"/>
                <w:szCs w:val="21"/>
              </w:rPr>
            </w:pP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rPr>
            </w:pPr>
            <w:r>
              <w:rPr>
                <w:rFonts w:hint="eastAsia" w:ascii="Calibri"/>
                <w:szCs w:val="21"/>
                <w:lang w:val="zh-TW"/>
              </w:rPr>
              <w:t>1</w:t>
            </w:r>
          </w:p>
        </w:tc>
        <w:tc>
          <w:tcPr>
            <w:tcW w:w="2714" w:type="dxa"/>
            <w:shd w:val="clear" w:color="auto" w:fill="FFFFFF"/>
            <w:vAlign w:val="center"/>
          </w:tcPr>
          <w:p>
            <w:pPr>
              <w:jc w:val="center"/>
              <w:rPr>
                <w:rFonts w:ascii="Calibri"/>
                <w:szCs w:val="21"/>
              </w:rPr>
            </w:pPr>
            <w:r>
              <w:rPr>
                <w:rFonts w:hint="eastAsia" w:ascii="Calibri"/>
                <w:szCs w:val="21"/>
              </w:rPr>
              <w:t>企业在册职工人数</w:t>
            </w:r>
          </w:p>
        </w:tc>
        <w:tc>
          <w:tcPr>
            <w:tcW w:w="1577" w:type="dxa"/>
            <w:shd w:val="clear" w:color="auto" w:fill="FFFFFF"/>
            <w:vAlign w:val="center"/>
          </w:tcPr>
          <w:p>
            <w:pPr>
              <w:jc w:val="center"/>
              <w:rPr>
                <w:rFonts w:ascii="Calibri"/>
                <w:szCs w:val="21"/>
              </w:rPr>
            </w:pPr>
            <w:r>
              <w:rPr>
                <w:rFonts w:hint="eastAsia" w:ascii="Calibri"/>
                <w:szCs w:val="21"/>
              </w:rPr>
              <w:t>人</w:t>
            </w:r>
          </w:p>
        </w:tc>
        <w:tc>
          <w:tcPr>
            <w:tcW w:w="1714" w:type="dxa"/>
            <w:shd w:val="clear" w:color="auto" w:fill="FFFFFF"/>
            <w:vAlign w:val="center"/>
          </w:tcPr>
          <w:p>
            <w:pPr>
              <w:jc w:val="center"/>
              <w:rPr>
                <w:rFonts w:ascii="Calibri"/>
                <w:szCs w:val="21"/>
              </w:rPr>
            </w:pPr>
            <w:r>
              <w:rPr>
                <w:rFonts w:hint="eastAsia" w:ascii="Calibri"/>
                <w:szCs w:val="21"/>
                <w:lang w:val="zh-TW"/>
              </w:rPr>
              <w:t>7</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p>
        </w:tc>
        <w:tc>
          <w:tcPr>
            <w:tcW w:w="2714" w:type="dxa"/>
            <w:shd w:val="clear" w:color="auto" w:fill="FFFFFF"/>
            <w:vAlign w:val="center"/>
          </w:tcPr>
          <w:p>
            <w:pPr>
              <w:jc w:val="center"/>
              <w:rPr>
                <w:rFonts w:ascii="Calibri"/>
                <w:szCs w:val="21"/>
              </w:rPr>
            </w:pPr>
            <w:r>
              <w:rPr>
                <w:rFonts w:hint="eastAsia" w:ascii="Calibri"/>
                <w:szCs w:val="21"/>
              </w:rPr>
              <w:t>其中：生产工人</w:t>
            </w:r>
          </w:p>
        </w:tc>
        <w:tc>
          <w:tcPr>
            <w:tcW w:w="1577" w:type="dxa"/>
            <w:shd w:val="clear" w:color="auto" w:fill="FFFFFF"/>
            <w:vAlign w:val="center"/>
          </w:tcPr>
          <w:p>
            <w:pPr>
              <w:jc w:val="center"/>
              <w:rPr>
                <w:rFonts w:ascii="Calibri"/>
                <w:szCs w:val="21"/>
              </w:rPr>
            </w:pPr>
            <w:r>
              <w:rPr>
                <w:rFonts w:hint="eastAsia" w:ascii="Calibri"/>
                <w:szCs w:val="21"/>
              </w:rPr>
              <w:t>人</w:t>
            </w:r>
          </w:p>
        </w:tc>
        <w:tc>
          <w:tcPr>
            <w:tcW w:w="1714" w:type="dxa"/>
            <w:shd w:val="clear" w:color="auto" w:fill="FFFFFF"/>
            <w:vAlign w:val="center"/>
          </w:tcPr>
          <w:p>
            <w:pPr>
              <w:jc w:val="center"/>
              <w:rPr>
                <w:rFonts w:ascii="Calibri"/>
                <w:szCs w:val="21"/>
                <w:lang w:val="zh-TW"/>
              </w:rPr>
            </w:pPr>
            <w:r>
              <w:rPr>
                <w:rFonts w:hint="eastAsia" w:ascii="Calibri"/>
                <w:szCs w:val="21"/>
                <w:lang w:val="zh-TW"/>
              </w:rPr>
              <w:t>5</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p>
        </w:tc>
        <w:tc>
          <w:tcPr>
            <w:tcW w:w="2714" w:type="dxa"/>
            <w:shd w:val="clear" w:color="auto" w:fill="FFFFFF"/>
            <w:vAlign w:val="center"/>
          </w:tcPr>
          <w:p>
            <w:pPr>
              <w:jc w:val="center"/>
              <w:rPr>
                <w:rFonts w:ascii="Calibri"/>
                <w:szCs w:val="21"/>
              </w:rPr>
            </w:pPr>
            <w:r>
              <w:rPr>
                <w:rFonts w:hint="eastAsia" w:ascii="Calibri"/>
                <w:szCs w:val="21"/>
              </w:rPr>
              <w:t>管理及服务人员</w:t>
            </w:r>
          </w:p>
        </w:tc>
        <w:tc>
          <w:tcPr>
            <w:tcW w:w="1577" w:type="dxa"/>
            <w:shd w:val="clear" w:color="auto" w:fill="FFFFFF"/>
            <w:vAlign w:val="center"/>
          </w:tcPr>
          <w:p>
            <w:pPr>
              <w:jc w:val="center"/>
              <w:rPr>
                <w:rFonts w:ascii="Calibri"/>
                <w:szCs w:val="21"/>
              </w:rPr>
            </w:pPr>
            <w:r>
              <w:rPr>
                <w:rFonts w:hint="eastAsia" w:ascii="Calibri"/>
                <w:szCs w:val="21"/>
              </w:rPr>
              <w:t>人</w:t>
            </w:r>
          </w:p>
        </w:tc>
        <w:tc>
          <w:tcPr>
            <w:tcW w:w="1714" w:type="dxa"/>
            <w:shd w:val="clear" w:color="auto" w:fill="FFFFFF"/>
            <w:vAlign w:val="center"/>
          </w:tcPr>
          <w:p>
            <w:pPr>
              <w:jc w:val="center"/>
              <w:rPr>
                <w:rFonts w:ascii="Calibri"/>
                <w:szCs w:val="21"/>
                <w:lang w:val="zh-TW"/>
              </w:rPr>
            </w:pPr>
            <w:r>
              <w:rPr>
                <w:rFonts w:hint="eastAsia" w:ascii="Calibri"/>
                <w:szCs w:val="21"/>
                <w:lang w:val="zh-TW"/>
              </w:rPr>
              <w:t>2</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r>
              <w:rPr>
                <w:rFonts w:hint="eastAsia" w:ascii="Calibri"/>
                <w:szCs w:val="21"/>
                <w:lang w:val="zh-TW"/>
              </w:rPr>
              <w:t>2</w:t>
            </w:r>
          </w:p>
        </w:tc>
        <w:tc>
          <w:tcPr>
            <w:tcW w:w="2714" w:type="dxa"/>
            <w:shd w:val="clear" w:color="auto" w:fill="FFFFFF"/>
            <w:vAlign w:val="center"/>
          </w:tcPr>
          <w:p>
            <w:pPr>
              <w:jc w:val="center"/>
              <w:rPr>
                <w:rFonts w:ascii="Calibri"/>
                <w:szCs w:val="21"/>
              </w:rPr>
            </w:pPr>
            <w:r>
              <w:rPr>
                <w:rFonts w:hint="eastAsia" w:ascii="Calibri"/>
                <w:szCs w:val="21"/>
              </w:rPr>
              <w:t>劳动生产率</w:t>
            </w:r>
          </w:p>
        </w:tc>
        <w:tc>
          <w:tcPr>
            <w:tcW w:w="1577" w:type="dxa"/>
            <w:shd w:val="clear" w:color="auto" w:fill="FFFFFF"/>
            <w:vAlign w:val="center"/>
          </w:tcPr>
          <w:p>
            <w:pPr>
              <w:jc w:val="center"/>
              <w:rPr>
                <w:rFonts w:ascii="Calibri"/>
                <w:szCs w:val="21"/>
              </w:rPr>
            </w:pPr>
          </w:p>
        </w:tc>
        <w:tc>
          <w:tcPr>
            <w:tcW w:w="1714" w:type="dxa"/>
            <w:shd w:val="clear" w:color="auto" w:fill="FFFFFF"/>
            <w:vAlign w:val="center"/>
          </w:tcPr>
          <w:p>
            <w:pPr>
              <w:jc w:val="center"/>
              <w:rPr>
                <w:rFonts w:ascii="Calibri"/>
                <w:szCs w:val="21"/>
                <w:lang w:val="zh-TW"/>
              </w:rPr>
            </w:pP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p>
        </w:tc>
        <w:tc>
          <w:tcPr>
            <w:tcW w:w="2714" w:type="dxa"/>
            <w:shd w:val="clear" w:color="auto" w:fill="FFFFFF"/>
            <w:vAlign w:val="center"/>
          </w:tcPr>
          <w:p>
            <w:pPr>
              <w:jc w:val="center"/>
              <w:rPr>
                <w:rFonts w:ascii="Calibri"/>
                <w:szCs w:val="21"/>
              </w:rPr>
            </w:pPr>
            <w:r>
              <w:rPr>
                <w:rFonts w:hint="eastAsia" w:ascii="Calibri"/>
                <w:szCs w:val="21"/>
              </w:rPr>
              <w:t>其中：生产工人</w:t>
            </w:r>
          </w:p>
        </w:tc>
        <w:tc>
          <w:tcPr>
            <w:tcW w:w="1577" w:type="dxa"/>
            <w:shd w:val="clear" w:color="auto" w:fill="FFFFFF"/>
            <w:vAlign w:val="center"/>
          </w:tcPr>
          <w:p>
            <w:pPr>
              <w:jc w:val="center"/>
              <w:rPr>
                <w:rFonts w:ascii="Calibri"/>
                <w:szCs w:val="21"/>
              </w:rPr>
            </w:pPr>
            <w:r>
              <w:rPr>
                <w:rFonts w:hint="eastAsia" w:ascii="Calibri"/>
                <w:szCs w:val="21"/>
              </w:rPr>
              <w:t>立方米/人天</w:t>
            </w:r>
          </w:p>
        </w:tc>
        <w:tc>
          <w:tcPr>
            <w:tcW w:w="1714" w:type="dxa"/>
            <w:shd w:val="clear" w:color="auto" w:fill="FFFFFF"/>
            <w:vAlign w:val="center"/>
          </w:tcPr>
          <w:p>
            <w:pPr>
              <w:jc w:val="center"/>
              <w:rPr>
                <w:rFonts w:ascii="Calibri"/>
                <w:szCs w:val="21"/>
                <w:lang w:val="zh-TW"/>
              </w:rPr>
            </w:pPr>
            <w:r>
              <w:rPr>
                <w:rFonts w:hint="eastAsia" w:ascii="Calibri"/>
                <w:szCs w:val="21"/>
                <w:lang w:val="zh-TW"/>
              </w:rPr>
              <w:t>24</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p>
        </w:tc>
        <w:tc>
          <w:tcPr>
            <w:tcW w:w="2714" w:type="dxa"/>
            <w:shd w:val="clear" w:color="auto" w:fill="FFFFFF"/>
            <w:vAlign w:val="center"/>
          </w:tcPr>
          <w:p>
            <w:pPr>
              <w:jc w:val="center"/>
              <w:rPr>
                <w:rFonts w:ascii="Calibri"/>
                <w:szCs w:val="21"/>
              </w:rPr>
            </w:pPr>
            <w:r>
              <w:rPr>
                <w:rFonts w:hint="eastAsia" w:ascii="Calibri"/>
                <w:szCs w:val="21"/>
              </w:rPr>
              <w:t>全员</w:t>
            </w:r>
          </w:p>
        </w:tc>
        <w:tc>
          <w:tcPr>
            <w:tcW w:w="1577" w:type="dxa"/>
            <w:shd w:val="clear" w:color="auto" w:fill="FFFFFF"/>
            <w:vAlign w:val="center"/>
          </w:tcPr>
          <w:p>
            <w:pPr>
              <w:jc w:val="center"/>
              <w:rPr>
                <w:rFonts w:ascii="Calibri"/>
                <w:szCs w:val="21"/>
              </w:rPr>
            </w:pPr>
            <w:r>
              <w:rPr>
                <w:rFonts w:hint="eastAsia" w:ascii="Calibri"/>
                <w:szCs w:val="21"/>
              </w:rPr>
              <w:t>立方米/人天</w:t>
            </w:r>
          </w:p>
        </w:tc>
        <w:tc>
          <w:tcPr>
            <w:tcW w:w="1714" w:type="dxa"/>
            <w:shd w:val="clear" w:color="auto" w:fill="FFFFFF"/>
            <w:vAlign w:val="center"/>
          </w:tcPr>
          <w:p>
            <w:pPr>
              <w:jc w:val="center"/>
              <w:rPr>
                <w:rFonts w:ascii="Calibri"/>
                <w:szCs w:val="21"/>
                <w:lang w:val="zh-TW"/>
              </w:rPr>
            </w:pPr>
            <w:r>
              <w:rPr>
                <w:rFonts w:hint="eastAsia" w:ascii="Calibri"/>
                <w:szCs w:val="21"/>
                <w:lang w:val="zh-TW"/>
              </w:rPr>
              <w:t>17</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r>
              <w:rPr>
                <w:rFonts w:hint="eastAsia" w:ascii="Calibri"/>
                <w:szCs w:val="21"/>
              </w:rPr>
              <w:t>五</w:t>
            </w:r>
          </w:p>
        </w:tc>
        <w:tc>
          <w:tcPr>
            <w:tcW w:w="2714" w:type="dxa"/>
            <w:shd w:val="clear" w:color="auto" w:fill="FFFFFF"/>
            <w:vAlign w:val="center"/>
          </w:tcPr>
          <w:p>
            <w:pPr>
              <w:jc w:val="center"/>
              <w:rPr>
                <w:rFonts w:ascii="Calibri"/>
                <w:szCs w:val="21"/>
              </w:rPr>
            </w:pPr>
            <w:r>
              <w:rPr>
                <w:rFonts w:hint="eastAsia" w:ascii="Calibri"/>
                <w:szCs w:val="21"/>
              </w:rPr>
              <w:t>经济效益</w:t>
            </w:r>
          </w:p>
        </w:tc>
        <w:tc>
          <w:tcPr>
            <w:tcW w:w="1577" w:type="dxa"/>
            <w:shd w:val="clear" w:color="auto" w:fill="FFFFFF"/>
            <w:vAlign w:val="center"/>
          </w:tcPr>
          <w:p>
            <w:pPr>
              <w:jc w:val="center"/>
              <w:rPr>
                <w:rFonts w:ascii="Calibri"/>
                <w:szCs w:val="21"/>
              </w:rPr>
            </w:pPr>
          </w:p>
        </w:tc>
        <w:tc>
          <w:tcPr>
            <w:tcW w:w="1714" w:type="dxa"/>
            <w:shd w:val="clear" w:color="auto" w:fill="FFFFFF"/>
            <w:vAlign w:val="center"/>
          </w:tcPr>
          <w:p>
            <w:pPr>
              <w:jc w:val="center"/>
              <w:rPr>
                <w:rFonts w:ascii="Calibri"/>
                <w:szCs w:val="21"/>
                <w:lang w:val="zh-TW"/>
              </w:rPr>
            </w:pP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r>
              <w:rPr>
                <w:rFonts w:hint="eastAsia" w:ascii="Calibri"/>
                <w:szCs w:val="21"/>
                <w:lang w:val="zh-TW"/>
              </w:rPr>
              <w:t>1</w:t>
            </w:r>
          </w:p>
        </w:tc>
        <w:tc>
          <w:tcPr>
            <w:tcW w:w="2714" w:type="dxa"/>
            <w:shd w:val="clear" w:color="auto" w:fill="FFFFFF"/>
            <w:vAlign w:val="center"/>
          </w:tcPr>
          <w:p>
            <w:pPr>
              <w:jc w:val="center"/>
              <w:rPr>
                <w:rFonts w:ascii="Calibri"/>
                <w:szCs w:val="21"/>
              </w:rPr>
            </w:pPr>
            <w:r>
              <w:rPr>
                <w:rFonts w:hint="eastAsia" w:ascii="Calibri"/>
                <w:szCs w:val="21"/>
              </w:rPr>
              <w:t>项目新增总投资</w:t>
            </w:r>
          </w:p>
        </w:tc>
        <w:tc>
          <w:tcPr>
            <w:tcW w:w="1577" w:type="dxa"/>
            <w:shd w:val="clear" w:color="auto" w:fill="FFFFFF"/>
            <w:vAlign w:val="center"/>
          </w:tcPr>
          <w:p>
            <w:pPr>
              <w:jc w:val="center"/>
              <w:rPr>
                <w:rFonts w:ascii="Calibri"/>
                <w:szCs w:val="21"/>
              </w:rPr>
            </w:pPr>
            <w:r>
              <w:rPr>
                <w:rFonts w:hint="eastAsia" w:ascii="Calibri"/>
                <w:szCs w:val="21"/>
              </w:rPr>
              <w:t>万元</w:t>
            </w:r>
          </w:p>
        </w:tc>
        <w:tc>
          <w:tcPr>
            <w:tcW w:w="1714" w:type="dxa"/>
            <w:shd w:val="clear" w:color="auto" w:fill="FFFFFF"/>
            <w:vAlign w:val="center"/>
          </w:tcPr>
          <w:p>
            <w:pPr>
              <w:jc w:val="center"/>
              <w:rPr>
                <w:rFonts w:ascii="Calibri"/>
                <w:szCs w:val="21"/>
                <w:lang w:val="zh-TW"/>
              </w:rPr>
            </w:pPr>
            <w:r>
              <w:rPr>
                <w:rFonts w:hint="eastAsia" w:ascii="Calibri"/>
                <w:szCs w:val="21"/>
              </w:rPr>
              <w:t>121.50</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r>
              <w:rPr>
                <w:rFonts w:hint="eastAsia" w:ascii="Calibri"/>
                <w:szCs w:val="21"/>
                <w:lang w:val="zh-TW"/>
              </w:rPr>
              <w:t>2</w:t>
            </w:r>
          </w:p>
        </w:tc>
        <w:tc>
          <w:tcPr>
            <w:tcW w:w="2714" w:type="dxa"/>
            <w:shd w:val="clear" w:color="auto" w:fill="FFFFFF"/>
            <w:vAlign w:val="center"/>
          </w:tcPr>
          <w:p>
            <w:pPr>
              <w:jc w:val="center"/>
              <w:rPr>
                <w:rFonts w:ascii="Calibri"/>
                <w:szCs w:val="21"/>
              </w:rPr>
            </w:pPr>
            <w:r>
              <w:rPr>
                <w:rFonts w:hint="eastAsia" w:ascii="Calibri"/>
                <w:szCs w:val="21"/>
              </w:rPr>
              <w:t>年均总成本费用</w:t>
            </w:r>
          </w:p>
        </w:tc>
        <w:tc>
          <w:tcPr>
            <w:tcW w:w="1577" w:type="dxa"/>
            <w:shd w:val="clear" w:color="auto" w:fill="FFFFFF"/>
            <w:vAlign w:val="center"/>
          </w:tcPr>
          <w:p>
            <w:pPr>
              <w:jc w:val="center"/>
              <w:rPr>
                <w:rFonts w:ascii="Calibri"/>
                <w:szCs w:val="21"/>
              </w:rPr>
            </w:pPr>
            <w:r>
              <w:rPr>
                <w:rFonts w:hint="eastAsia" w:ascii="Calibri"/>
                <w:szCs w:val="21"/>
              </w:rPr>
              <w:t>万元</w:t>
            </w:r>
          </w:p>
        </w:tc>
        <w:tc>
          <w:tcPr>
            <w:tcW w:w="1714" w:type="dxa"/>
            <w:shd w:val="clear" w:color="auto" w:fill="FFFFFF"/>
            <w:vAlign w:val="center"/>
          </w:tcPr>
          <w:p>
            <w:pPr>
              <w:jc w:val="center"/>
              <w:rPr>
                <w:rFonts w:ascii="Calibri"/>
                <w:szCs w:val="21"/>
                <w:lang w:val="zh-TW"/>
              </w:rPr>
            </w:pPr>
            <w:r>
              <w:rPr>
                <w:rFonts w:hint="eastAsia" w:ascii="Calibri"/>
                <w:szCs w:val="21"/>
              </w:rPr>
              <w:t>54.95</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r>
              <w:rPr>
                <w:rFonts w:hint="eastAsia" w:ascii="Calibri"/>
                <w:szCs w:val="21"/>
                <w:lang w:val="zh-TW"/>
              </w:rPr>
              <w:t>3</w:t>
            </w:r>
          </w:p>
        </w:tc>
        <w:tc>
          <w:tcPr>
            <w:tcW w:w="2714" w:type="dxa"/>
            <w:shd w:val="clear" w:color="auto" w:fill="FFFFFF"/>
            <w:vAlign w:val="center"/>
          </w:tcPr>
          <w:p>
            <w:pPr>
              <w:jc w:val="center"/>
              <w:rPr>
                <w:rFonts w:ascii="Calibri"/>
                <w:szCs w:val="21"/>
              </w:rPr>
            </w:pPr>
            <w:r>
              <w:rPr>
                <w:rFonts w:hint="eastAsia" w:ascii="Calibri"/>
                <w:szCs w:val="21"/>
              </w:rPr>
              <w:t>单位开采成本费用</w:t>
            </w:r>
          </w:p>
        </w:tc>
        <w:tc>
          <w:tcPr>
            <w:tcW w:w="1577" w:type="dxa"/>
            <w:shd w:val="clear" w:color="auto" w:fill="FFFFFF"/>
            <w:vAlign w:val="center"/>
          </w:tcPr>
          <w:p>
            <w:pPr>
              <w:jc w:val="center"/>
              <w:rPr>
                <w:rFonts w:ascii="Calibri"/>
                <w:szCs w:val="21"/>
              </w:rPr>
            </w:pPr>
            <w:r>
              <w:rPr>
                <w:rFonts w:hint="eastAsia" w:ascii="Calibri"/>
                <w:szCs w:val="21"/>
              </w:rPr>
              <w:t>元/m</w:t>
            </w:r>
            <w:r>
              <w:rPr>
                <w:rFonts w:hint="eastAsia" w:ascii="Calibri"/>
                <w:szCs w:val="21"/>
                <w:vertAlign w:val="superscript"/>
              </w:rPr>
              <w:t>3</w:t>
            </w:r>
          </w:p>
        </w:tc>
        <w:tc>
          <w:tcPr>
            <w:tcW w:w="1714" w:type="dxa"/>
            <w:shd w:val="clear" w:color="auto" w:fill="FFFFFF"/>
            <w:vAlign w:val="center"/>
          </w:tcPr>
          <w:p>
            <w:pPr>
              <w:jc w:val="center"/>
              <w:rPr>
                <w:rFonts w:ascii="Calibri"/>
                <w:szCs w:val="21"/>
                <w:lang w:val="zh-TW"/>
              </w:rPr>
            </w:pPr>
            <w:r>
              <w:rPr>
                <w:rFonts w:hint="eastAsia" w:ascii="Calibri"/>
                <w:szCs w:val="21"/>
              </w:rPr>
              <w:t>18.32</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r>
              <w:rPr>
                <w:rFonts w:hint="eastAsia" w:ascii="Calibri"/>
                <w:szCs w:val="21"/>
                <w:lang w:val="zh-TW"/>
              </w:rPr>
              <w:t>4</w:t>
            </w:r>
          </w:p>
        </w:tc>
        <w:tc>
          <w:tcPr>
            <w:tcW w:w="2714" w:type="dxa"/>
            <w:shd w:val="clear" w:color="auto" w:fill="FFFFFF"/>
            <w:vAlign w:val="center"/>
          </w:tcPr>
          <w:p>
            <w:pPr>
              <w:jc w:val="center"/>
              <w:rPr>
                <w:rFonts w:ascii="Calibri"/>
                <w:szCs w:val="21"/>
              </w:rPr>
            </w:pPr>
            <w:r>
              <w:rPr>
                <w:rFonts w:hint="eastAsia" w:ascii="Calibri"/>
                <w:szCs w:val="21"/>
              </w:rPr>
              <w:t>增值税</w:t>
            </w:r>
          </w:p>
        </w:tc>
        <w:tc>
          <w:tcPr>
            <w:tcW w:w="1577" w:type="dxa"/>
            <w:shd w:val="clear" w:color="auto" w:fill="FFFFFF"/>
            <w:vAlign w:val="center"/>
          </w:tcPr>
          <w:p>
            <w:pPr>
              <w:jc w:val="center"/>
              <w:rPr>
                <w:rFonts w:ascii="Calibri"/>
                <w:szCs w:val="21"/>
              </w:rPr>
            </w:pPr>
            <w:r>
              <w:rPr>
                <w:rFonts w:hint="eastAsia" w:ascii="Calibri"/>
                <w:szCs w:val="21"/>
              </w:rPr>
              <w:t>万元</w:t>
            </w:r>
          </w:p>
        </w:tc>
        <w:tc>
          <w:tcPr>
            <w:tcW w:w="1714" w:type="dxa"/>
            <w:shd w:val="clear" w:color="auto" w:fill="FFFFFF"/>
            <w:vAlign w:val="center"/>
          </w:tcPr>
          <w:p>
            <w:pPr>
              <w:jc w:val="center"/>
              <w:rPr>
                <w:rFonts w:ascii="Calibri"/>
                <w:szCs w:val="21"/>
                <w:lang w:val="zh-TW"/>
              </w:rPr>
            </w:pPr>
            <w:r>
              <w:rPr>
                <w:rFonts w:hint="eastAsia" w:ascii="Calibri"/>
                <w:szCs w:val="21"/>
              </w:rPr>
              <w:t>21.26</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r>
              <w:rPr>
                <w:rFonts w:hint="eastAsia" w:ascii="Calibri"/>
                <w:szCs w:val="21"/>
                <w:lang w:val="zh-TW"/>
              </w:rPr>
              <w:t>5</w:t>
            </w:r>
          </w:p>
        </w:tc>
        <w:tc>
          <w:tcPr>
            <w:tcW w:w="2714" w:type="dxa"/>
            <w:shd w:val="clear" w:color="auto" w:fill="FFFFFF"/>
            <w:vAlign w:val="center"/>
          </w:tcPr>
          <w:p>
            <w:pPr>
              <w:jc w:val="center"/>
              <w:rPr>
                <w:rFonts w:ascii="Calibri"/>
                <w:szCs w:val="21"/>
              </w:rPr>
            </w:pPr>
            <w:r>
              <w:rPr>
                <w:rFonts w:hint="eastAsia" w:ascii="Calibri"/>
                <w:szCs w:val="21"/>
              </w:rPr>
              <w:t>年均销售税金及附加</w:t>
            </w:r>
          </w:p>
        </w:tc>
        <w:tc>
          <w:tcPr>
            <w:tcW w:w="1577" w:type="dxa"/>
            <w:shd w:val="clear" w:color="auto" w:fill="FFFFFF"/>
            <w:vAlign w:val="center"/>
          </w:tcPr>
          <w:p>
            <w:pPr>
              <w:jc w:val="center"/>
              <w:rPr>
                <w:rFonts w:ascii="Calibri"/>
                <w:szCs w:val="21"/>
              </w:rPr>
            </w:pPr>
            <w:r>
              <w:rPr>
                <w:rFonts w:hint="eastAsia" w:ascii="Calibri"/>
                <w:szCs w:val="21"/>
              </w:rPr>
              <w:t>万元</w:t>
            </w:r>
          </w:p>
        </w:tc>
        <w:tc>
          <w:tcPr>
            <w:tcW w:w="1714" w:type="dxa"/>
            <w:shd w:val="clear" w:color="auto" w:fill="FFFFFF"/>
            <w:vAlign w:val="center"/>
          </w:tcPr>
          <w:p>
            <w:pPr>
              <w:jc w:val="center"/>
              <w:rPr>
                <w:rFonts w:ascii="Calibri"/>
                <w:szCs w:val="21"/>
                <w:lang w:val="zh-TW"/>
              </w:rPr>
            </w:pPr>
            <w:r>
              <w:rPr>
                <w:rFonts w:hint="eastAsia" w:ascii="Calibri"/>
                <w:szCs w:val="21"/>
              </w:rPr>
              <w:t>1.06</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r>
              <w:rPr>
                <w:rFonts w:hint="eastAsia" w:ascii="Calibri"/>
                <w:szCs w:val="21"/>
                <w:lang w:val="zh-TW"/>
              </w:rPr>
              <w:t>6</w:t>
            </w:r>
          </w:p>
        </w:tc>
        <w:tc>
          <w:tcPr>
            <w:tcW w:w="2714" w:type="dxa"/>
            <w:shd w:val="clear" w:color="auto" w:fill="FFFFFF"/>
            <w:vAlign w:val="center"/>
          </w:tcPr>
          <w:p>
            <w:pPr>
              <w:jc w:val="center"/>
              <w:rPr>
                <w:rFonts w:ascii="Calibri"/>
                <w:szCs w:val="21"/>
              </w:rPr>
            </w:pPr>
            <w:r>
              <w:rPr>
                <w:rFonts w:hint="eastAsia" w:ascii="Calibri"/>
                <w:szCs w:val="21"/>
              </w:rPr>
              <w:t>年平均利润总额</w:t>
            </w:r>
          </w:p>
        </w:tc>
        <w:tc>
          <w:tcPr>
            <w:tcW w:w="1577" w:type="dxa"/>
            <w:shd w:val="clear" w:color="auto" w:fill="FFFFFF"/>
            <w:vAlign w:val="center"/>
          </w:tcPr>
          <w:p>
            <w:pPr>
              <w:jc w:val="center"/>
              <w:rPr>
                <w:rFonts w:ascii="Calibri"/>
                <w:szCs w:val="21"/>
              </w:rPr>
            </w:pPr>
            <w:r>
              <w:rPr>
                <w:rFonts w:hint="eastAsia" w:ascii="Calibri"/>
                <w:szCs w:val="21"/>
              </w:rPr>
              <w:t>万元</w:t>
            </w:r>
          </w:p>
        </w:tc>
        <w:tc>
          <w:tcPr>
            <w:tcW w:w="1714" w:type="dxa"/>
            <w:shd w:val="clear" w:color="auto" w:fill="FFFFFF"/>
            <w:vAlign w:val="center"/>
          </w:tcPr>
          <w:p>
            <w:pPr>
              <w:jc w:val="center"/>
              <w:rPr>
                <w:rFonts w:ascii="Calibri"/>
                <w:szCs w:val="21"/>
                <w:lang w:val="zh-TW"/>
              </w:rPr>
            </w:pPr>
            <w:r>
              <w:rPr>
                <w:rFonts w:hint="eastAsia" w:ascii="Calibri"/>
                <w:szCs w:val="21"/>
              </w:rPr>
              <w:t>102.73</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r>
              <w:rPr>
                <w:rFonts w:hint="eastAsia" w:ascii="Calibri"/>
                <w:szCs w:val="21"/>
                <w:lang w:val="zh-TW"/>
              </w:rPr>
              <w:t>7</w:t>
            </w:r>
          </w:p>
        </w:tc>
        <w:tc>
          <w:tcPr>
            <w:tcW w:w="2714" w:type="dxa"/>
            <w:shd w:val="clear" w:color="auto" w:fill="FFFFFF"/>
            <w:vAlign w:val="center"/>
          </w:tcPr>
          <w:p>
            <w:pPr>
              <w:jc w:val="center"/>
              <w:rPr>
                <w:rFonts w:ascii="Calibri"/>
                <w:szCs w:val="21"/>
              </w:rPr>
            </w:pPr>
            <w:r>
              <w:rPr>
                <w:rFonts w:hint="eastAsia" w:ascii="Calibri"/>
                <w:szCs w:val="21"/>
              </w:rPr>
              <w:t>所得税</w:t>
            </w:r>
          </w:p>
        </w:tc>
        <w:tc>
          <w:tcPr>
            <w:tcW w:w="1577" w:type="dxa"/>
            <w:shd w:val="clear" w:color="auto" w:fill="FFFFFF"/>
            <w:vAlign w:val="center"/>
          </w:tcPr>
          <w:p>
            <w:pPr>
              <w:jc w:val="center"/>
              <w:rPr>
                <w:rFonts w:ascii="Calibri"/>
                <w:szCs w:val="21"/>
              </w:rPr>
            </w:pPr>
            <w:r>
              <w:rPr>
                <w:rFonts w:hint="eastAsia" w:ascii="Calibri"/>
                <w:szCs w:val="21"/>
              </w:rPr>
              <w:t>万元</w:t>
            </w:r>
          </w:p>
        </w:tc>
        <w:tc>
          <w:tcPr>
            <w:tcW w:w="1714" w:type="dxa"/>
            <w:shd w:val="clear" w:color="auto" w:fill="FFFFFF"/>
            <w:vAlign w:val="center"/>
          </w:tcPr>
          <w:p>
            <w:pPr>
              <w:jc w:val="center"/>
              <w:rPr>
                <w:rFonts w:ascii="Calibri"/>
                <w:szCs w:val="21"/>
                <w:lang w:val="zh-TW"/>
              </w:rPr>
            </w:pPr>
            <w:r>
              <w:rPr>
                <w:rFonts w:hint="eastAsia" w:ascii="Calibri"/>
                <w:szCs w:val="21"/>
              </w:rPr>
              <w:t>25.68</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r>
              <w:rPr>
                <w:rFonts w:hint="eastAsia" w:ascii="Calibri"/>
                <w:szCs w:val="21"/>
                <w:lang w:val="zh-TW"/>
              </w:rPr>
              <w:t>8</w:t>
            </w:r>
          </w:p>
        </w:tc>
        <w:tc>
          <w:tcPr>
            <w:tcW w:w="2714" w:type="dxa"/>
            <w:shd w:val="clear" w:color="auto" w:fill="FFFFFF"/>
            <w:vAlign w:val="center"/>
          </w:tcPr>
          <w:p>
            <w:pPr>
              <w:jc w:val="center"/>
              <w:rPr>
                <w:rFonts w:ascii="Calibri"/>
                <w:szCs w:val="21"/>
              </w:rPr>
            </w:pPr>
            <w:r>
              <w:rPr>
                <w:rFonts w:hint="eastAsia" w:ascii="Calibri"/>
                <w:szCs w:val="21"/>
              </w:rPr>
              <w:t>年平均税后利润</w:t>
            </w:r>
          </w:p>
        </w:tc>
        <w:tc>
          <w:tcPr>
            <w:tcW w:w="1577" w:type="dxa"/>
            <w:shd w:val="clear" w:color="auto" w:fill="FFFFFF"/>
            <w:vAlign w:val="center"/>
          </w:tcPr>
          <w:p>
            <w:pPr>
              <w:jc w:val="center"/>
              <w:rPr>
                <w:rFonts w:ascii="Calibri"/>
                <w:szCs w:val="21"/>
              </w:rPr>
            </w:pPr>
            <w:r>
              <w:rPr>
                <w:rFonts w:hint="eastAsia" w:ascii="Calibri"/>
                <w:szCs w:val="21"/>
              </w:rPr>
              <w:t>万元</w:t>
            </w:r>
          </w:p>
        </w:tc>
        <w:tc>
          <w:tcPr>
            <w:tcW w:w="1714" w:type="dxa"/>
            <w:shd w:val="clear" w:color="auto" w:fill="FFFFFF"/>
            <w:vAlign w:val="center"/>
          </w:tcPr>
          <w:p>
            <w:pPr>
              <w:jc w:val="center"/>
              <w:rPr>
                <w:rFonts w:ascii="Calibri"/>
                <w:szCs w:val="21"/>
                <w:lang w:val="zh-TW"/>
              </w:rPr>
            </w:pPr>
            <w:r>
              <w:rPr>
                <w:rFonts w:hint="eastAsia" w:ascii="Calibri"/>
                <w:szCs w:val="21"/>
              </w:rPr>
              <w:t>77.05</w:t>
            </w:r>
          </w:p>
        </w:tc>
        <w:tc>
          <w:tcPr>
            <w:tcW w:w="1906" w:type="dxa"/>
            <w:shd w:val="clear" w:color="auto" w:fill="FFFFFF"/>
            <w:vAlign w:val="center"/>
          </w:tcPr>
          <w:p>
            <w:pPr>
              <w:jc w:val="center"/>
              <w:rPr>
                <w:rFonts w:asci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exact"/>
          <w:jc w:val="center"/>
        </w:trPr>
        <w:tc>
          <w:tcPr>
            <w:tcW w:w="871" w:type="dxa"/>
            <w:shd w:val="clear" w:color="auto" w:fill="FFFFFF"/>
            <w:vAlign w:val="center"/>
          </w:tcPr>
          <w:p>
            <w:pPr>
              <w:jc w:val="center"/>
              <w:rPr>
                <w:rFonts w:ascii="Calibri"/>
                <w:szCs w:val="21"/>
                <w:lang w:val="zh-TW"/>
              </w:rPr>
            </w:pPr>
            <w:r>
              <w:rPr>
                <w:rFonts w:hint="eastAsia" w:ascii="Calibri"/>
                <w:szCs w:val="21"/>
                <w:lang w:val="zh-TW"/>
              </w:rPr>
              <w:t>9</w:t>
            </w:r>
          </w:p>
        </w:tc>
        <w:tc>
          <w:tcPr>
            <w:tcW w:w="2714" w:type="dxa"/>
            <w:shd w:val="clear" w:color="auto" w:fill="FFFFFF"/>
            <w:vAlign w:val="center"/>
          </w:tcPr>
          <w:p>
            <w:pPr>
              <w:jc w:val="center"/>
              <w:rPr>
                <w:rFonts w:ascii="Calibri"/>
                <w:szCs w:val="21"/>
              </w:rPr>
            </w:pPr>
            <w:r>
              <w:rPr>
                <w:rFonts w:hint="eastAsia" w:ascii="Calibri"/>
                <w:szCs w:val="21"/>
              </w:rPr>
              <w:t>销售价格</w:t>
            </w:r>
          </w:p>
        </w:tc>
        <w:tc>
          <w:tcPr>
            <w:tcW w:w="1577" w:type="dxa"/>
            <w:shd w:val="clear" w:color="auto" w:fill="FFFFFF"/>
            <w:vAlign w:val="center"/>
          </w:tcPr>
          <w:p>
            <w:pPr>
              <w:jc w:val="center"/>
              <w:rPr>
                <w:rFonts w:ascii="Calibri"/>
                <w:szCs w:val="21"/>
              </w:rPr>
            </w:pPr>
            <w:r>
              <w:rPr>
                <w:rFonts w:hint="eastAsia" w:ascii="Calibri"/>
                <w:szCs w:val="21"/>
              </w:rPr>
              <w:t>元/t</w:t>
            </w:r>
          </w:p>
        </w:tc>
        <w:tc>
          <w:tcPr>
            <w:tcW w:w="1714" w:type="dxa"/>
            <w:shd w:val="clear" w:color="auto" w:fill="FFFFFF"/>
            <w:vAlign w:val="center"/>
          </w:tcPr>
          <w:p>
            <w:pPr>
              <w:jc w:val="center"/>
              <w:rPr>
                <w:rFonts w:ascii="Calibri"/>
                <w:szCs w:val="21"/>
                <w:lang w:val="zh-TW"/>
              </w:rPr>
            </w:pPr>
            <w:r>
              <w:rPr>
                <w:rFonts w:hint="eastAsia" w:ascii="Calibri"/>
                <w:szCs w:val="21"/>
                <w:lang w:val="zh-TW"/>
              </w:rPr>
              <w:t>60</w:t>
            </w:r>
          </w:p>
        </w:tc>
        <w:tc>
          <w:tcPr>
            <w:tcW w:w="1906" w:type="dxa"/>
            <w:shd w:val="clear" w:color="auto" w:fill="FFFFFF"/>
            <w:vAlign w:val="center"/>
          </w:tcPr>
          <w:p>
            <w:pPr>
              <w:jc w:val="center"/>
              <w:rPr>
                <w:rFonts w:ascii="Calibri"/>
                <w:szCs w:val="21"/>
              </w:rPr>
            </w:pPr>
          </w:p>
        </w:tc>
      </w:tr>
    </w:tbl>
    <w:p/>
    <w:p>
      <w:pPr>
        <w:sectPr>
          <w:pgSz w:w="11906" w:h="16838"/>
          <w:pgMar w:top="1474" w:right="1474" w:bottom="1474" w:left="1588" w:header="964" w:footer="1021" w:gutter="0"/>
          <w:cols w:space="720" w:num="1"/>
          <w:docGrid w:linePitch="326" w:charSpace="0"/>
        </w:sectPr>
      </w:pPr>
    </w:p>
    <w:p>
      <w:pPr>
        <w:pStyle w:val="2"/>
        <w:numPr>
          <w:ilvl w:val="0"/>
          <w:numId w:val="2"/>
        </w:numPr>
        <w:snapToGrid w:val="0"/>
        <w:spacing w:before="0" w:after="240" w:line="360" w:lineRule="auto"/>
        <w:jc w:val="center"/>
        <w:rPr>
          <w:color w:val="000000"/>
          <w:sz w:val="32"/>
          <w:szCs w:val="32"/>
        </w:rPr>
      </w:pPr>
      <w:bookmarkStart w:id="330" w:name="_Toc10800"/>
      <w:r>
        <w:rPr>
          <w:rFonts w:hint="eastAsia"/>
          <w:color w:val="000000"/>
          <w:sz w:val="32"/>
          <w:szCs w:val="32"/>
        </w:rPr>
        <w:t>开发方案简要结论</w:t>
      </w:r>
      <w:bookmarkEnd w:id="329"/>
      <w:bookmarkEnd w:id="330"/>
    </w:p>
    <w:p>
      <w:pPr>
        <w:numPr>
          <w:ilvl w:val="1"/>
          <w:numId w:val="2"/>
        </w:numPr>
        <w:spacing w:line="360" w:lineRule="auto"/>
        <w:outlineLvl w:val="1"/>
        <w:rPr>
          <w:rFonts w:ascii="宋体" w:hAnsi="宋体" w:cs="宋体"/>
          <w:b/>
          <w:bCs/>
          <w:color w:val="000000"/>
          <w:sz w:val="30"/>
          <w:szCs w:val="30"/>
        </w:rPr>
      </w:pPr>
      <w:bookmarkStart w:id="331" w:name="_Toc249115626"/>
      <w:bookmarkStart w:id="332" w:name="_Toc456610981"/>
      <w:bookmarkStart w:id="333" w:name="_Toc5510"/>
      <w:bookmarkStart w:id="334" w:name="_Toc26199"/>
      <w:bookmarkStart w:id="335" w:name="_Toc364440477"/>
      <w:bookmarkStart w:id="336" w:name="_Toc245572103"/>
      <w:r>
        <w:rPr>
          <w:rFonts w:hint="eastAsia" w:ascii="宋体" w:hAnsi="宋体" w:cs="宋体"/>
          <w:b/>
          <w:bCs/>
          <w:color w:val="000000"/>
          <w:sz w:val="30"/>
          <w:szCs w:val="30"/>
        </w:rPr>
        <w:t>资源量、建设规模和服务年限</w:t>
      </w:r>
      <w:bookmarkEnd w:id="331"/>
      <w:bookmarkEnd w:id="332"/>
      <w:bookmarkEnd w:id="333"/>
      <w:bookmarkEnd w:id="334"/>
      <w:bookmarkEnd w:id="335"/>
      <w:bookmarkEnd w:id="336"/>
    </w:p>
    <w:p>
      <w:pPr>
        <w:spacing w:line="360" w:lineRule="auto"/>
        <w:ind w:firstLine="480" w:firstLineChars="200"/>
        <w:rPr>
          <w:rFonts w:ascii="宋体" w:hAnsi="宋体"/>
          <w:sz w:val="24"/>
        </w:rPr>
      </w:pPr>
      <w:r>
        <w:rPr>
          <w:rFonts w:ascii="宋体" w:hAnsi="宋体"/>
          <w:sz w:val="24"/>
        </w:rPr>
        <w:t>本矿山可开采的资源量</w:t>
      </w:r>
      <w:r>
        <w:rPr>
          <w:rFonts w:hint="eastAsia" w:ascii="宋体" w:hAnsi="宋体"/>
          <w:sz w:val="24"/>
        </w:rPr>
        <w:t>21.00万m</w:t>
      </w:r>
      <w:r>
        <w:rPr>
          <w:rFonts w:hint="eastAsia" w:ascii="宋体" w:hAnsi="宋体"/>
          <w:sz w:val="24"/>
          <w:vertAlign w:val="superscript"/>
        </w:rPr>
        <w:t>3</w:t>
      </w:r>
      <w:r>
        <w:rPr>
          <w:rFonts w:ascii="宋体" w:hAnsi="宋体"/>
          <w:sz w:val="24"/>
        </w:rPr>
        <w:t>，矿山建设规模</w:t>
      </w:r>
      <w:r>
        <w:rPr>
          <w:rFonts w:hint="eastAsia" w:ascii="宋体" w:hAnsi="宋体"/>
          <w:sz w:val="24"/>
        </w:rPr>
        <w:t>3万m</w:t>
      </w:r>
      <w:r>
        <w:rPr>
          <w:rFonts w:hint="eastAsia" w:ascii="宋体" w:hAnsi="宋体"/>
          <w:sz w:val="24"/>
          <w:vertAlign w:val="superscript"/>
        </w:rPr>
        <w:t>3</w:t>
      </w:r>
      <w:r>
        <w:rPr>
          <w:rFonts w:ascii="宋体" w:hAnsi="宋体"/>
          <w:sz w:val="24"/>
        </w:rPr>
        <w:t>/年，服务年限为</w:t>
      </w:r>
      <w:r>
        <w:rPr>
          <w:rFonts w:hint="eastAsia" w:ascii="宋体" w:hAnsi="宋体"/>
          <w:sz w:val="24"/>
        </w:rPr>
        <w:t>6.9</w:t>
      </w:r>
      <w:r>
        <w:rPr>
          <w:rFonts w:ascii="宋体" w:hAnsi="宋体"/>
          <w:sz w:val="24"/>
        </w:rPr>
        <w:t>年。</w:t>
      </w:r>
    </w:p>
    <w:p>
      <w:pPr>
        <w:numPr>
          <w:ilvl w:val="1"/>
          <w:numId w:val="2"/>
        </w:numPr>
        <w:spacing w:line="360" w:lineRule="auto"/>
        <w:outlineLvl w:val="1"/>
        <w:rPr>
          <w:rFonts w:ascii="宋体" w:hAnsi="宋体" w:cs="宋体"/>
          <w:b/>
          <w:bCs/>
          <w:color w:val="000000"/>
          <w:sz w:val="30"/>
          <w:szCs w:val="30"/>
        </w:rPr>
      </w:pPr>
      <w:bookmarkStart w:id="337" w:name="_Toc17785"/>
      <w:bookmarkStart w:id="338" w:name="_Toc456610982"/>
      <w:bookmarkStart w:id="339" w:name="_Toc249115627"/>
      <w:bookmarkStart w:id="340" w:name="_Toc21236"/>
      <w:bookmarkStart w:id="341" w:name="_Toc245572104"/>
      <w:bookmarkStart w:id="342" w:name="_Toc364440478"/>
      <w:r>
        <w:rPr>
          <w:rFonts w:hint="eastAsia" w:ascii="宋体" w:hAnsi="宋体" w:cs="宋体"/>
          <w:b/>
          <w:bCs/>
          <w:color w:val="000000"/>
          <w:sz w:val="30"/>
          <w:szCs w:val="30"/>
        </w:rPr>
        <w:t>产品方案</w:t>
      </w:r>
      <w:bookmarkEnd w:id="337"/>
      <w:bookmarkEnd w:id="338"/>
      <w:bookmarkEnd w:id="339"/>
      <w:bookmarkEnd w:id="340"/>
      <w:bookmarkEnd w:id="341"/>
      <w:bookmarkEnd w:id="342"/>
    </w:p>
    <w:p>
      <w:pPr>
        <w:pStyle w:val="78"/>
        <w:spacing w:line="360" w:lineRule="auto"/>
        <w:ind w:firstLine="480" w:firstLineChars="200"/>
        <w:rPr>
          <w:rFonts w:hAnsi="宋体"/>
          <w:kern w:val="10"/>
          <w:sz w:val="24"/>
          <w:szCs w:val="24"/>
          <w:lang w:val="zh-CN"/>
        </w:rPr>
      </w:pPr>
      <w:r>
        <w:rPr>
          <w:rFonts w:hint="eastAsia" w:hAnsi="宋体"/>
          <w:kern w:val="10"/>
          <w:sz w:val="24"/>
          <w:szCs w:val="24"/>
          <w:lang w:val="zh-CN"/>
        </w:rPr>
        <w:t>产品方案为建筑集料用砂及碎石。</w:t>
      </w:r>
    </w:p>
    <w:p>
      <w:pPr>
        <w:numPr>
          <w:ilvl w:val="1"/>
          <w:numId w:val="2"/>
        </w:numPr>
        <w:spacing w:line="360" w:lineRule="auto"/>
        <w:outlineLvl w:val="1"/>
        <w:rPr>
          <w:rFonts w:ascii="宋体" w:hAnsi="宋体" w:cs="宋体"/>
          <w:b/>
          <w:bCs/>
          <w:color w:val="000000"/>
          <w:sz w:val="30"/>
          <w:szCs w:val="30"/>
        </w:rPr>
      </w:pPr>
      <w:bookmarkStart w:id="343" w:name="_Toc15598"/>
      <w:bookmarkStart w:id="344" w:name="_Toc10945"/>
      <w:bookmarkStart w:id="345" w:name="_Toc364440479"/>
      <w:bookmarkStart w:id="346" w:name="_Toc249115628"/>
      <w:bookmarkStart w:id="347" w:name="_Toc245572105"/>
      <w:bookmarkStart w:id="348" w:name="_Toc456610983"/>
      <w:r>
        <w:rPr>
          <w:rFonts w:hint="eastAsia" w:ascii="宋体" w:hAnsi="宋体" w:cs="宋体"/>
          <w:b/>
          <w:bCs/>
          <w:color w:val="000000"/>
          <w:sz w:val="30"/>
          <w:szCs w:val="30"/>
        </w:rPr>
        <w:t>矿址及开拓运输方案</w:t>
      </w:r>
      <w:bookmarkEnd w:id="343"/>
      <w:bookmarkEnd w:id="344"/>
      <w:bookmarkEnd w:id="345"/>
      <w:bookmarkEnd w:id="346"/>
      <w:bookmarkEnd w:id="347"/>
      <w:bookmarkEnd w:id="348"/>
    </w:p>
    <w:p>
      <w:pPr>
        <w:pStyle w:val="78"/>
        <w:spacing w:line="360" w:lineRule="auto"/>
        <w:ind w:firstLine="480" w:firstLineChars="200"/>
        <w:rPr>
          <w:rFonts w:hAnsi="宋体"/>
          <w:kern w:val="10"/>
          <w:sz w:val="24"/>
          <w:szCs w:val="24"/>
          <w:lang w:val="zh-CN"/>
        </w:rPr>
      </w:pPr>
      <w:r>
        <w:rPr>
          <w:rFonts w:hAnsi="宋体"/>
          <w:kern w:val="10"/>
          <w:sz w:val="24"/>
          <w:szCs w:val="24"/>
          <w:lang w:val="zh-CN"/>
        </w:rPr>
        <w:t>矿址在</w:t>
      </w:r>
      <w:r>
        <w:rPr>
          <w:rFonts w:hint="eastAsia" w:hAnsi="宋体" w:cs="仿宋"/>
          <w:sz w:val="24"/>
          <w:szCs w:val="24"/>
          <w:lang w:eastAsia="zh-CN"/>
        </w:rPr>
        <w:t>********</w:t>
      </w:r>
      <w:r>
        <w:rPr>
          <w:rFonts w:hint="eastAsia" w:hAnsi="宋体" w:cs="仿宋"/>
          <w:sz w:val="24"/>
          <w:szCs w:val="24"/>
        </w:rPr>
        <w:t>村</w:t>
      </w:r>
      <w:r>
        <w:rPr>
          <w:rFonts w:hAnsi="宋体"/>
          <w:kern w:val="10"/>
          <w:sz w:val="24"/>
          <w:szCs w:val="24"/>
          <w:lang w:val="zh-CN"/>
        </w:rPr>
        <w:t>。矿山采用公路开拓、汽车运输方案。</w:t>
      </w:r>
    </w:p>
    <w:p>
      <w:pPr>
        <w:numPr>
          <w:ilvl w:val="1"/>
          <w:numId w:val="2"/>
        </w:numPr>
        <w:spacing w:line="360" w:lineRule="auto"/>
        <w:outlineLvl w:val="1"/>
        <w:rPr>
          <w:rFonts w:ascii="宋体" w:hAnsi="宋体" w:cs="宋体"/>
          <w:b/>
          <w:bCs/>
          <w:color w:val="000000"/>
          <w:sz w:val="30"/>
          <w:szCs w:val="30"/>
        </w:rPr>
      </w:pPr>
      <w:bookmarkStart w:id="349" w:name="_Toc245572106"/>
      <w:bookmarkStart w:id="350" w:name="_Toc23191"/>
      <w:bookmarkStart w:id="351" w:name="_Toc26897"/>
      <w:bookmarkStart w:id="352" w:name="_Toc364440480"/>
      <w:bookmarkStart w:id="353" w:name="_Toc249115629"/>
      <w:bookmarkStart w:id="354" w:name="_Toc456610984"/>
      <w:r>
        <w:rPr>
          <w:rFonts w:hint="eastAsia" w:ascii="宋体" w:hAnsi="宋体" w:cs="宋体"/>
          <w:b/>
          <w:bCs/>
          <w:color w:val="000000"/>
          <w:sz w:val="30"/>
          <w:szCs w:val="30"/>
        </w:rPr>
        <w:t>开采工艺方案</w:t>
      </w:r>
      <w:bookmarkEnd w:id="349"/>
      <w:bookmarkEnd w:id="350"/>
      <w:bookmarkEnd w:id="351"/>
      <w:bookmarkEnd w:id="352"/>
      <w:bookmarkEnd w:id="353"/>
      <w:bookmarkEnd w:id="354"/>
    </w:p>
    <w:p>
      <w:pPr>
        <w:spacing w:line="360" w:lineRule="auto"/>
        <w:ind w:firstLine="480" w:firstLineChars="200"/>
        <w:rPr>
          <w:rFonts w:ascii="宋体" w:hAnsi="宋体"/>
          <w:sz w:val="24"/>
        </w:rPr>
      </w:pPr>
      <w:r>
        <w:rPr>
          <w:rFonts w:hint="eastAsia" w:ascii="宋体" w:hAnsi="宋体"/>
          <w:sz w:val="24"/>
        </w:rPr>
        <w:t>根据矿区矿体赋存条件及开釆技术条件，拟开采矿体基本裸露，矿区工程地质、水文地质条件简单，设计采用凹陷露天开釆方式。</w:t>
      </w:r>
    </w:p>
    <w:p>
      <w:pPr>
        <w:spacing w:line="360" w:lineRule="auto"/>
        <w:ind w:firstLine="480" w:firstLineChars="200"/>
        <w:rPr>
          <w:rFonts w:ascii="宋体" w:hAnsi="宋体"/>
          <w:sz w:val="24"/>
        </w:rPr>
      </w:pPr>
      <w:r>
        <w:rPr>
          <w:rFonts w:hint="eastAsia" w:ascii="宋体" w:hAnsi="宋体"/>
          <w:sz w:val="24"/>
        </w:rPr>
        <w:t>采用潜孔钻机穿孔、爆破，对于大块矿石进行二次机械破碎。开采出矿石经装载机装入自卸汽车中，对于大块矿石进行二次机械破碎，装车后由自卸汽车运往破碎站。</w:t>
      </w:r>
    </w:p>
    <w:p>
      <w:pPr>
        <w:spacing w:line="360" w:lineRule="auto"/>
        <w:ind w:firstLine="480" w:firstLineChars="200"/>
        <w:rPr>
          <w:rFonts w:ascii="宋体" w:hAnsi="宋体"/>
          <w:kern w:val="10"/>
          <w:sz w:val="24"/>
          <w:lang w:val="zh-CN"/>
        </w:rPr>
      </w:pPr>
      <w:r>
        <w:rPr>
          <w:rFonts w:hint="eastAsia" w:ascii="宋体" w:hAnsi="宋体"/>
          <w:sz w:val="24"/>
        </w:rPr>
        <w:t>采矿工艺为：穿孔－爆破－二次破碎一装载一运输一加工（筛分）一外运。</w:t>
      </w:r>
    </w:p>
    <w:p>
      <w:pPr>
        <w:numPr>
          <w:ilvl w:val="1"/>
          <w:numId w:val="2"/>
        </w:numPr>
        <w:spacing w:line="360" w:lineRule="auto"/>
        <w:outlineLvl w:val="1"/>
        <w:rPr>
          <w:rFonts w:ascii="宋体" w:hAnsi="宋体" w:cs="宋体"/>
          <w:b/>
          <w:bCs/>
          <w:color w:val="000000"/>
          <w:sz w:val="30"/>
          <w:szCs w:val="30"/>
        </w:rPr>
      </w:pPr>
      <w:bookmarkStart w:id="355" w:name="_Toc29650"/>
      <w:bookmarkStart w:id="356" w:name="_Toc13518"/>
      <w:bookmarkStart w:id="357" w:name="_Toc364440481"/>
      <w:bookmarkStart w:id="358" w:name="_Toc456610985"/>
      <w:bookmarkStart w:id="359" w:name="_Toc249115630"/>
      <w:r>
        <w:rPr>
          <w:rFonts w:hint="eastAsia" w:ascii="宋体" w:hAnsi="宋体" w:cs="宋体"/>
          <w:b/>
          <w:bCs/>
          <w:color w:val="000000"/>
          <w:sz w:val="30"/>
          <w:szCs w:val="30"/>
        </w:rPr>
        <w:t>技术分析</w:t>
      </w:r>
      <w:bookmarkEnd w:id="355"/>
      <w:bookmarkEnd w:id="356"/>
      <w:bookmarkEnd w:id="357"/>
      <w:bookmarkEnd w:id="358"/>
      <w:bookmarkEnd w:id="359"/>
    </w:p>
    <w:p>
      <w:pPr>
        <w:pStyle w:val="78"/>
        <w:spacing w:line="360" w:lineRule="auto"/>
        <w:ind w:firstLine="480" w:firstLineChars="200"/>
        <w:rPr>
          <w:rFonts w:hAnsi="宋体"/>
          <w:kern w:val="10"/>
          <w:sz w:val="24"/>
          <w:szCs w:val="24"/>
          <w:lang w:val="zh-CN"/>
        </w:rPr>
      </w:pPr>
      <w:r>
        <w:rPr>
          <w:rFonts w:hAnsi="宋体"/>
          <w:kern w:val="10"/>
          <w:sz w:val="24"/>
          <w:szCs w:val="24"/>
          <w:lang w:val="zh-CN"/>
        </w:rPr>
        <w:t>本矿山开采能力能够满足要求，开采设计论证了开采技术、设备选型、生产规模等，以及采场边坡的稳定性，对边坡的稳定采取了必要的预防措施；对生产过程中产生的粉尘、噪声等也提出了防治措施。</w:t>
      </w:r>
    </w:p>
    <w:p>
      <w:pPr>
        <w:numPr>
          <w:ilvl w:val="1"/>
          <w:numId w:val="2"/>
        </w:numPr>
        <w:spacing w:line="360" w:lineRule="auto"/>
        <w:outlineLvl w:val="1"/>
        <w:rPr>
          <w:rFonts w:ascii="宋体" w:hAnsi="宋体" w:cs="宋体"/>
          <w:b/>
          <w:bCs/>
          <w:color w:val="000000"/>
          <w:sz w:val="30"/>
          <w:szCs w:val="30"/>
        </w:rPr>
      </w:pPr>
      <w:bookmarkStart w:id="360" w:name="_Toc4607"/>
      <w:bookmarkStart w:id="361" w:name="_Toc31407"/>
      <w:bookmarkStart w:id="362" w:name="_Toc245572107"/>
      <w:bookmarkStart w:id="363" w:name="_Toc364440482"/>
      <w:bookmarkStart w:id="364" w:name="_Toc249115631"/>
      <w:bookmarkStart w:id="365" w:name="_Toc456610986"/>
      <w:r>
        <w:rPr>
          <w:rFonts w:hint="eastAsia" w:ascii="宋体" w:hAnsi="宋体" w:cs="宋体"/>
          <w:b/>
          <w:bCs/>
          <w:color w:val="000000"/>
          <w:sz w:val="30"/>
          <w:szCs w:val="30"/>
        </w:rPr>
        <w:t>总平面布置</w:t>
      </w:r>
      <w:bookmarkEnd w:id="360"/>
      <w:bookmarkEnd w:id="361"/>
      <w:bookmarkEnd w:id="362"/>
      <w:bookmarkEnd w:id="363"/>
      <w:bookmarkEnd w:id="364"/>
      <w:bookmarkEnd w:id="365"/>
    </w:p>
    <w:p>
      <w:pPr>
        <w:pStyle w:val="78"/>
        <w:spacing w:line="360" w:lineRule="auto"/>
        <w:ind w:firstLine="480" w:firstLineChars="200"/>
        <w:rPr>
          <w:rFonts w:hAnsi="宋体"/>
          <w:kern w:val="10"/>
          <w:sz w:val="24"/>
          <w:szCs w:val="24"/>
          <w:lang w:val="zh-CN"/>
        </w:rPr>
      </w:pPr>
      <w:r>
        <w:rPr>
          <w:rFonts w:hAnsi="宋体"/>
          <w:kern w:val="10"/>
          <w:sz w:val="24"/>
          <w:szCs w:val="24"/>
          <w:lang w:val="zh-CN"/>
        </w:rPr>
        <w:t>本项目总平面主要包括：</w:t>
      </w:r>
      <w:r>
        <w:rPr>
          <w:rFonts w:hAnsi="宋体" w:cs="宋体"/>
          <w:sz w:val="24"/>
        </w:rPr>
        <w:t>工业场地、采矿场、矿山道路、加工场、</w:t>
      </w:r>
      <w:r>
        <w:rPr>
          <w:rFonts w:hint="eastAsia" w:hAnsi="宋体" w:cs="宋体"/>
          <w:sz w:val="24"/>
        </w:rPr>
        <w:t>堆矿场、</w:t>
      </w:r>
      <w:r>
        <w:rPr>
          <w:rFonts w:hAnsi="宋体" w:cs="宋体"/>
          <w:sz w:val="24"/>
        </w:rPr>
        <w:t>排土场等</w:t>
      </w:r>
      <w:r>
        <w:rPr>
          <w:rFonts w:hint="eastAsia" w:hAnsi="宋体" w:cs="宋体"/>
          <w:sz w:val="24"/>
        </w:rPr>
        <w:t>。</w:t>
      </w:r>
    </w:p>
    <w:p>
      <w:pPr>
        <w:numPr>
          <w:ilvl w:val="1"/>
          <w:numId w:val="2"/>
        </w:numPr>
        <w:spacing w:line="360" w:lineRule="auto"/>
        <w:outlineLvl w:val="1"/>
        <w:rPr>
          <w:rFonts w:ascii="宋体" w:hAnsi="宋体" w:cs="宋体"/>
          <w:b/>
          <w:bCs/>
          <w:color w:val="000000"/>
          <w:sz w:val="30"/>
          <w:szCs w:val="30"/>
        </w:rPr>
      </w:pPr>
      <w:bookmarkStart w:id="366" w:name="_Toc245572108"/>
      <w:bookmarkStart w:id="367" w:name="_Toc13931"/>
      <w:bookmarkStart w:id="368" w:name="_Toc364440483"/>
      <w:bookmarkStart w:id="369" w:name="_Toc249115632"/>
      <w:bookmarkStart w:id="370" w:name="_Toc30805"/>
      <w:bookmarkStart w:id="371" w:name="_Toc456610987"/>
      <w:r>
        <w:rPr>
          <w:rFonts w:hint="eastAsia" w:ascii="宋体" w:hAnsi="宋体" w:cs="宋体"/>
          <w:b/>
          <w:bCs/>
          <w:color w:val="000000"/>
          <w:sz w:val="30"/>
          <w:szCs w:val="30"/>
        </w:rPr>
        <w:t>综合回收、综合利用方案</w:t>
      </w:r>
      <w:bookmarkEnd w:id="366"/>
      <w:bookmarkEnd w:id="367"/>
      <w:bookmarkEnd w:id="368"/>
      <w:bookmarkEnd w:id="369"/>
      <w:bookmarkEnd w:id="370"/>
      <w:bookmarkEnd w:id="371"/>
    </w:p>
    <w:p>
      <w:pPr>
        <w:pStyle w:val="78"/>
        <w:spacing w:line="360" w:lineRule="auto"/>
        <w:ind w:firstLine="480" w:firstLineChars="200"/>
        <w:rPr>
          <w:rFonts w:hAnsi="宋体"/>
          <w:kern w:val="10"/>
          <w:sz w:val="24"/>
          <w:szCs w:val="24"/>
          <w:lang w:val="zh-CN"/>
        </w:rPr>
      </w:pPr>
      <w:r>
        <w:rPr>
          <w:rFonts w:hAnsi="宋体"/>
          <w:kern w:val="10"/>
          <w:sz w:val="24"/>
          <w:szCs w:val="24"/>
          <w:lang w:val="zh-CN"/>
        </w:rPr>
        <w:t>在开采过程时，</w:t>
      </w:r>
      <w:r>
        <w:rPr>
          <w:rFonts w:hint="eastAsia" w:hAnsi="宋体"/>
          <w:kern w:val="10"/>
          <w:sz w:val="24"/>
          <w:szCs w:val="24"/>
          <w:lang w:val="zh-CN"/>
        </w:rPr>
        <w:t>产生的剥离物、废渣</w:t>
      </w:r>
      <w:r>
        <w:rPr>
          <w:rFonts w:hAnsi="宋体"/>
          <w:kern w:val="10"/>
          <w:sz w:val="24"/>
          <w:szCs w:val="24"/>
          <w:lang w:val="zh-CN"/>
        </w:rPr>
        <w:t>可修整道路、平整工业场地等，其余用于</w:t>
      </w:r>
      <w:r>
        <w:rPr>
          <w:rFonts w:hint="eastAsia" w:hAnsi="宋体"/>
          <w:kern w:val="10"/>
          <w:sz w:val="24"/>
          <w:szCs w:val="24"/>
          <w:lang w:val="zh-CN"/>
        </w:rPr>
        <w:t>土地</w:t>
      </w:r>
      <w:r>
        <w:rPr>
          <w:rFonts w:hAnsi="宋体"/>
          <w:kern w:val="10"/>
          <w:sz w:val="24"/>
          <w:szCs w:val="24"/>
          <w:lang w:val="zh-CN"/>
        </w:rPr>
        <w:t>复垦综合利用。</w:t>
      </w:r>
    </w:p>
    <w:p>
      <w:pPr>
        <w:numPr>
          <w:ilvl w:val="1"/>
          <w:numId w:val="2"/>
        </w:numPr>
        <w:spacing w:line="360" w:lineRule="auto"/>
        <w:outlineLvl w:val="1"/>
        <w:rPr>
          <w:rFonts w:ascii="宋体" w:hAnsi="宋体" w:cs="宋体"/>
          <w:b/>
          <w:bCs/>
          <w:color w:val="000000"/>
          <w:sz w:val="30"/>
          <w:szCs w:val="30"/>
        </w:rPr>
      </w:pPr>
      <w:bookmarkStart w:id="372" w:name="_Toc456610988"/>
      <w:bookmarkStart w:id="373" w:name="_Toc364440484"/>
      <w:bookmarkStart w:id="374" w:name="_Toc245572111"/>
      <w:bookmarkStart w:id="375" w:name="_Toc205175067"/>
      <w:bookmarkStart w:id="376" w:name="_Toc227403027"/>
      <w:bookmarkStart w:id="377" w:name="_Toc127686912"/>
      <w:bookmarkStart w:id="378" w:name="_Toc249115633"/>
      <w:bookmarkStart w:id="379" w:name="_Toc20016"/>
      <w:bookmarkStart w:id="380" w:name="_Toc31310"/>
      <w:r>
        <w:rPr>
          <w:rFonts w:hint="eastAsia" w:ascii="宋体" w:hAnsi="宋体" w:cs="宋体"/>
          <w:b/>
          <w:bCs/>
          <w:color w:val="000000"/>
          <w:sz w:val="30"/>
          <w:szCs w:val="30"/>
        </w:rPr>
        <w:t>评价与结论</w:t>
      </w:r>
      <w:bookmarkEnd w:id="372"/>
      <w:bookmarkEnd w:id="373"/>
      <w:bookmarkEnd w:id="374"/>
      <w:bookmarkEnd w:id="375"/>
      <w:bookmarkEnd w:id="376"/>
      <w:bookmarkEnd w:id="377"/>
      <w:bookmarkEnd w:id="378"/>
      <w:bookmarkEnd w:id="379"/>
      <w:bookmarkEnd w:id="380"/>
    </w:p>
    <w:p>
      <w:pPr>
        <w:pStyle w:val="78"/>
        <w:spacing w:line="360" w:lineRule="auto"/>
        <w:ind w:firstLine="480" w:firstLineChars="200"/>
        <w:rPr>
          <w:rFonts w:hAnsi="宋体"/>
          <w:kern w:val="10"/>
          <w:sz w:val="24"/>
          <w:szCs w:val="24"/>
          <w:lang w:val="zh-CN"/>
        </w:rPr>
      </w:pPr>
      <w:r>
        <w:rPr>
          <w:rFonts w:hint="eastAsia" w:hAnsi="宋体"/>
          <w:kern w:val="10"/>
          <w:sz w:val="24"/>
          <w:szCs w:val="24"/>
          <w:lang w:val="zh-CN"/>
        </w:rPr>
        <w:t>本区地质构造简单，矿体赋存较稳定，开采技术条件和外部条件较优越，选择的开采方法、釆矿方法、开拓运输工艺合理，技术上可行。</w:t>
      </w:r>
    </w:p>
    <w:p>
      <w:pPr>
        <w:pStyle w:val="78"/>
        <w:spacing w:line="360" w:lineRule="auto"/>
        <w:ind w:firstLine="480" w:firstLineChars="200"/>
        <w:rPr>
          <w:rFonts w:hAnsi="宋体"/>
          <w:kern w:val="10"/>
          <w:sz w:val="24"/>
          <w:szCs w:val="24"/>
          <w:lang w:val="zh-CN"/>
        </w:rPr>
      </w:pPr>
      <w:r>
        <w:rPr>
          <w:rFonts w:hAnsi="宋体"/>
          <w:kern w:val="10"/>
          <w:sz w:val="24"/>
          <w:szCs w:val="24"/>
          <w:lang w:val="zh-CN"/>
        </w:rPr>
        <w:t>当地对建筑用</w:t>
      </w:r>
      <w:r>
        <w:rPr>
          <w:rFonts w:hint="eastAsia" w:hAnsi="宋体"/>
          <w:kern w:val="10"/>
          <w:sz w:val="24"/>
          <w:szCs w:val="24"/>
          <w:lang w:val="zh-CN"/>
        </w:rPr>
        <w:t>砂岩矿</w:t>
      </w:r>
      <w:r>
        <w:rPr>
          <w:rFonts w:hAnsi="宋体"/>
          <w:kern w:val="10"/>
          <w:sz w:val="24"/>
          <w:szCs w:val="24"/>
          <w:lang w:val="zh-CN"/>
        </w:rPr>
        <w:t>的需求量较大，销售前景较好。该项目的建设促进了本地区工业的发展，解决了社会部分就业的问题，社会效益较好。</w:t>
      </w:r>
    </w:p>
    <w:p>
      <w:pPr>
        <w:pStyle w:val="78"/>
        <w:spacing w:line="360" w:lineRule="auto"/>
        <w:ind w:firstLine="480" w:firstLineChars="200"/>
        <w:rPr>
          <w:rFonts w:hAnsi="宋体"/>
          <w:kern w:val="10"/>
          <w:sz w:val="24"/>
          <w:szCs w:val="24"/>
          <w:lang w:val="zh-CN"/>
        </w:rPr>
      </w:pPr>
      <w:r>
        <w:rPr>
          <w:rFonts w:hint="eastAsia" w:hAnsi="宋体"/>
          <w:kern w:val="10"/>
          <w:sz w:val="24"/>
          <w:szCs w:val="24"/>
          <w:lang w:val="zh-CN"/>
        </w:rPr>
        <w:t>项目总投资</w:t>
      </w:r>
      <w:r>
        <w:rPr>
          <w:rFonts w:hint="eastAsia" w:hAnsi="宋体"/>
          <w:kern w:val="10"/>
          <w:sz w:val="24"/>
          <w:szCs w:val="24"/>
        </w:rPr>
        <w:t>121.50</w:t>
      </w:r>
      <w:r>
        <w:rPr>
          <w:rFonts w:hint="eastAsia" w:hAnsi="宋体"/>
          <w:kern w:val="10"/>
          <w:sz w:val="24"/>
          <w:szCs w:val="24"/>
          <w:lang w:val="zh-CN"/>
        </w:rPr>
        <w:t>万元，年均利润总额</w:t>
      </w:r>
      <w:r>
        <w:rPr>
          <w:rFonts w:hint="eastAsia" w:hAnsi="宋体"/>
          <w:kern w:val="10"/>
          <w:sz w:val="24"/>
          <w:szCs w:val="24"/>
        </w:rPr>
        <w:t>102.73</w:t>
      </w:r>
      <w:r>
        <w:rPr>
          <w:rFonts w:hint="eastAsia" w:hAnsi="宋体"/>
          <w:kern w:val="10"/>
          <w:sz w:val="24"/>
          <w:szCs w:val="24"/>
          <w:lang w:val="zh-CN"/>
        </w:rPr>
        <w:t>万元，年税后利润</w:t>
      </w:r>
      <w:r>
        <w:rPr>
          <w:rFonts w:hint="eastAsia" w:hAnsi="宋体"/>
          <w:kern w:val="10"/>
          <w:sz w:val="24"/>
          <w:szCs w:val="24"/>
        </w:rPr>
        <w:t>77.05</w:t>
      </w:r>
      <w:r>
        <w:rPr>
          <w:rFonts w:hint="eastAsia" w:hAnsi="宋体"/>
          <w:kern w:val="10"/>
          <w:sz w:val="24"/>
          <w:szCs w:val="24"/>
          <w:lang w:val="zh-CN"/>
        </w:rPr>
        <w:t>万元，投资利润率为</w:t>
      </w:r>
      <w:r>
        <w:rPr>
          <w:rFonts w:hint="eastAsia" w:hAnsi="宋体"/>
          <w:kern w:val="10"/>
          <w:sz w:val="24"/>
          <w:szCs w:val="24"/>
        </w:rPr>
        <w:t>63.42</w:t>
      </w:r>
      <w:r>
        <w:rPr>
          <w:rFonts w:hint="eastAsia" w:hAnsi="宋体"/>
          <w:kern w:val="10"/>
          <w:sz w:val="24"/>
          <w:szCs w:val="24"/>
          <w:lang w:val="zh-CN"/>
        </w:rPr>
        <w:t>%，投资收益率</w:t>
      </w:r>
      <w:r>
        <w:rPr>
          <w:rFonts w:hint="eastAsia" w:hAnsi="宋体"/>
          <w:kern w:val="10"/>
          <w:sz w:val="24"/>
          <w:szCs w:val="24"/>
        </w:rPr>
        <w:t>339</w:t>
      </w:r>
      <w:r>
        <w:rPr>
          <w:rFonts w:hint="eastAsia" w:hAnsi="宋体"/>
          <w:kern w:val="10"/>
          <w:sz w:val="24"/>
          <w:szCs w:val="24"/>
          <w:lang w:val="zh-CN"/>
        </w:rPr>
        <w:t>%，项目投资回收期为1.</w:t>
      </w:r>
      <w:r>
        <w:rPr>
          <w:rFonts w:hint="eastAsia" w:hAnsi="宋体"/>
          <w:kern w:val="10"/>
          <w:sz w:val="24"/>
          <w:szCs w:val="24"/>
        </w:rPr>
        <w:t>58</w:t>
      </w:r>
      <w:r>
        <w:rPr>
          <w:rFonts w:hint="eastAsia" w:hAnsi="宋体"/>
          <w:kern w:val="10"/>
          <w:sz w:val="24"/>
          <w:szCs w:val="24"/>
          <w:lang w:val="zh-CN"/>
        </w:rPr>
        <w:t>年，项目实施具有一定的经济效益。</w:t>
      </w:r>
    </w:p>
    <w:p>
      <w:pPr>
        <w:pStyle w:val="78"/>
        <w:spacing w:line="360" w:lineRule="auto"/>
        <w:ind w:firstLine="480" w:firstLineChars="200"/>
        <w:rPr>
          <w:rFonts w:hAnsi="宋体"/>
          <w:kern w:val="10"/>
          <w:sz w:val="24"/>
          <w:szCs w:val="24"/>
          <w:lang w:val="zh-CN"/>
        </w:rPr>
      </w:pPr>
      <w:r>
        <w:rPr>
          <w:rFonts w:hAnsi="宋体"/>
          <w:kern w:val="10"/>
          <w:sz w:val="24"/>
          <w:szCs w:val="24"/>
          <w:lang w:val="zh-CN"/>
        </w:rPr>
        <w:t>因此，本项目具有良好的经济效益和社会效益，有利于矿产资源的保护和开发利用，应尽快组织实施。</w:t>
      </w:r>
    </w:p>
    <w:p>
      <w:pPr>
        <w:numPr>
          <w:ilvl w:val="1"/>
          <w:numId w:val="2"/>
        </w:numPr>
        <w:spacing w:line="360" w:lineRule="auto"/>
        <w:outlineLvl w:val="1"/>
        <w:rPr>
          <w:rFonts w:ascii="宋体" w:hAnsi="宋体" w:cs="宋体"/>
          <w:b/>
          <w:bCs/>
          <w:color w:val="000000"/>
          <w:sz w:val="30"/>
          <w:szCs w:val="30"/>
        </w:rPr>
      </w:pPr>
      <w:bookmarkStart w:id="381" w:name="_Toc227403028"/>
      <w:bookmarkStart w:id="382" w:name="_Toc245572112"/>
      <w:bookmarkStart w:id="383" w:name="_Toc11220"/>
      <w:bookmarkStart w:id="384" w:name="_Toc4026"/>
      <w:bookmarkStart w:id="385" w:name="_Toc249115634"/>
      <w:bookmarkStart w:id="386" w:name="_Toc364440485"/>
      <w:bookmarkStart w:id="387" w:name="_Toc456610989"/>
      <w:r>
        <w:rPr>
          <w:rFonts w:hint="eastAsia" w:ascii="宋体" w:hAnsi="宋体" w:cs="宋体"/>
          <w:b/>
          <w:bCs/>
          <w:color w:val="000000"/>
          <w:sz w:val="30"/>
          <w:szCs w:val="30"/>
        </w:rPr>
        <w:t>建议</w:t>
      </w:r>
      <w:bookmarkEnd w:id="381"/>
      <w:r>
        <w:rPr>
          <w:rFonts w:hint="eastAsia" w:ascii="宋体" w:hAnsi="宋体" w:cs="宋体"/>
          <w:b/>
          <w:bCs/>
          <w:color w:val="000000"/>
          <w:sz w:val="30"/>
          <w:szCs w:val="30"/>
        </w:rPr>
        <w:t>与说明</w:t>
      </w:r>
      <w:bookmarkEnd w:id="382"/>
      <w:bookmarkEnd w:id="383"/>
      <w:bookmarkEnd w:id="384"/>
      <w:bookmarkEnd w:id="385"/>
      <w:bookmarkEnd w:id="386"/>
      <w:bookmarkEnd w:id="387"/>
    </w:p>
    <w:p>
      <w:pPr>
        <w:pStyle w:val="78"/>
        <w:spacing w:line="360" w:lineRule="auto"/>
        <w:ind w:firstLine="480" w:firstLineChars="200"/>
        <w:rPr>
          <w:rFonts w:hAnsi="宋体"/>
          <w:kern w:val="10"/>
          <w:sz w:val="24"/>
          <w:szCs w:val="24"/>
          <w:lang w:val="zh-CN"/>
        </w:rPr>
      </w:pPr>
      <w:r>
        <w:rPr>
          <w:rFonts w:hAnsi="宋体"/>
          <w:kern w:val="10"/>
          <w:sz w:val="24"/>
          <w:szCs w:val="24"/>
          <w:lang w:val="zh-CN"/>
        </w:rPr>
        <w:t>本项目地质工作程度较浅，对矿山开发有不利影响，建议加强地质工作；严格监控边坡稳定情况，并严格按照安全措施生产。</w:t>
      </w:r>
    </w:p>
    <w:p>
      <w:pPr>
        <w:pStyle w:val="78"/>
        <w:spacing w:line="360" w:lineRule="auto"/>
        <w:ind w:firstLine="480" w:firstLineChars="200"/>
        <w:rPr>
          <w:rFonts w:hAnsi="宋体"/>
          <w:kern w:val="10"/>
          <w:sz w:val="24"/>
          <w:szCs w:val="24"/>
          <w:lang w:val="zh-CN"/>
        </w:rPr>
      </w:pPr>
      <w:r>
        <w:rPr>
          <w:rFonts w:hint="eastAsia" w:hAnsi="宋体"/>
          <w:kern w:val="10"/>
          <w:sz w:val="24"/>
          <w:szCs w:val="24"/>
          <w:lang w:val="zh-CN"/>
        </w:rPr>
        <w:t>本矿山为小型矿山，矿产品价值低廉，年开采总量较低，单位成本相对较高，开采过程中应加强管理，控制成本支出，提高经济效益。</w:t>
      </w:r>
    </w:p>
    <w:p>
      <w:pPr>
        <w:pStyle w:val="78"/>
        <w:spacing w:line="360" w:lineRule="auto"/>
        <w:ind w:firstLine="480" w:firstLineChars="200"/>
        <w:rPr>
          <w:rFonts w:hAnsi="宋体"/>
          <w:kern w:val="10"/>
          <w:sz w:val="24"/>
          <w:szCs w:val="24"/>
          <w:lang w:val="zh-CN"/>
        </w:rPr>
      </w:pPr>
      <w:r>
        <w:rPr>
          <w:rFonts w:hint="eastAsia" w:hAnsi="宋体"/>
          <w:kern w:val="10"/>
          <w:sz w:val="24"/>
          <w:szCs w:val="24"/>
          <w:lang w:val="zh-CN"/>
        </w:rPr>
        <w:t>矿区的生态环境较为脆弱，建议在开釆过程中及闭坑后，认真落实环境保护措施，保护生态环境。</w:t>
      </w:r>
    </w:p>
    <w:p>
      <w:pPr>
        <w:pStyle w:val="78"/>
        <w:spacing w:line="360" w:lineRule="auto"/>
        <w:ind w:firstLine="480" w:firstLineChars="200"/>
        <w:rPr>
          <w:rFonts w:hAnsi="宋体"/>
          <w:kern w:val="10"/>
          <w:sz w:val="24"/>
          <w:szCs w:val="24"/>
          <w:lang w:val="zh-CN"/>
        </w:rPr>
      </w:pPr>
    </w:p>
    <w:p>
      <w:pPr>
        <w:pStyle w:val="78"/>
        <w:spacing w:line="360" w:lineRule="auto"/>
        <w:rPr>
          <w:rFonts w:hAnsi="宋体"/>
          <w:kern w:val="10"/>
          <w:sz w:val="24"/>
          <w:szCs w:val="24"/>
          <w:lang w:val="zh-CN"/>
        </w:rPr>
      </w:pPr>
    </w:p>
    <w:sectPr>
      <w:pgSz w:w="11906" w:h="16838"/>
      <w:pgMar w:top="1474" w:right="1474" w:bottom="1474" w:left="1588" w:header="964" w:footer="1021"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Impact">
    <w:panose1 w:val="020B0806030902050204"/>
    <w:charset w:val="00"/>
    <w:family w:val="swiss"/>
    <w:pitch w:val="default"/>
    <w:sig w:usb0="00000287" w:usb1="00000000" w:usb2="00000000" w:usb3="00000000" w:csb0="2000009F" w:csb1="DFD70000"/>
  </w:font>
  <w:font w:name="MingLiU">
    <w:altName w:val="PMingLiU-ExtB"/>
    <w:panose1 w:val="02020509000000000000"/>
    <w:charset w:val="88"/>
    <w:family w:val="moder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0000012" w:usb3="00000000" w:csb0="4002009F" w:csb1="DFD7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00004FF" w:usb2="00000000" w:usb3="00000000" w:csb0="2000019F" w:csb1="00000000"/>
  </w:font>
  <w:font w:name="AngsanaUPC">
    <w:altName w:val="Times New Roman"/>
    <w:panose1 w:val="02020603050405020304"/>
    <w:charset w:val="00"/>
    <w:family w:val="roman"/>
    <w:pitch w:val="default"/>
    <w:sig w:usb0="00000000" w:usb1="00000000" w:usb2="00000000" w:usb3="00000000" w:csb0="0001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55"/>
      </w:rPr>
    </w:pPr>
    <w:r>
      <w:fldChar w:fldCharType="begin"/>
    </w:r>
    <w:r>
      <w:rPr>
        <w:rStyle w:val="55"/>
      </w:rPr>
      <w:instrText xml:space="preserve">PAGE  </w:instrText>
    </w:r>
    <w:r>
      <w:fldChar w:fldCharType="end"/>
    </w:r>
  </w:p>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right" w:y="1"/>
      <w:rPr>
        <w:rStyle w:val="55"/>
      </w:rPr>
    </w:pPr>
    <w:r>
      <w:fldChar w:fldCharType="begin"/>
    </w:r>
    <w:r>
      <w:rPr>
        <w:rStyle w:val="55"/>
      </w:rPr>
      <w:instrText xml:space="preserve">PAGE  </w:instrText>
    </w:r>
    <w:r>
      <w:fldChar w:fldCharType="end"/>
    </w:r>
  </w:p>
  <w:p>
    <w:pPr>
      <w:pStyle w:val="3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right"/>
      <w:rPr>
        <w:rFonts w:ascii="楷体_GB2312" w:eastAsia="楷体_GB2312"/>
        <w:b/>
        <w:u w:val="single"/>
      </w:rPr>
    </w:pPr>
    <w:r>
      <w:rPr>
        <w:rFonts w:hint="eastAsia" w:ascii="楷体_GB2312" w:eastAsia="楷体_GB2312"/>
        <w:b/>
        <w:u w:val="single"/>
      </w:rPr>
      <w:t>青海煤矿设计研究院</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jc w:val="right"/>
    </w:pPr>
    <w:r>
      <w:pict>
        <v:shape id="_x0000_s5121" o:spid="_x0000_s5121"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joinstyle="miter"/>
          <v:imagedata o:title=""/>
          <o:lock v:ext="edit"/>
          <v:textbox inset="0mm,0mm,0mm,0mm" style="mso-fit-shape-to-text:t;">
            <w:txbxContent>
              <w:p>
                <w:pPr>
                  <w:pStyle w:val="35"/>
                  <w:rPr>
                    <w:rStyle w:val="55"/>
                  </w:rPr>
                </w:pPr>
                <w:r>
                  <w:fldChar w:fldCharType="begin"/>
                </w:r>
                <w:r>
                  <w:rPr>
                    <w:rStyle w:val="55"/>
                  </w:rPr>
                  <w:instrText xml:space="preserve">PAGE  </w:instrText>
                </w:r>
                <w:r>
                  <w:fldChar w:fldCharType="separate"/>
                </w:r>
                <w:r>
                  <w:rPr>
                    <w:rStyle w:val="55"/>
                  </w:rPr>
                  <w:t>1</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jc w:val="right"/>
    </w:pPr>
    <w:r>
      <w:pict>
        <v:shape id="_x0000_s5122" o:spid="_x0000_s5122"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joinstyle="miter"/>
          <v:imagedata o:title=""/>
          <o:lock v:ext="edit"/>
          <v:textbox inset="0mm,0mm,0mm,0mm" style="mso-fit-shape-to-text:t;">
            <w:txbxContent>
              <w:p>
                <w:pPr>
                  <w:pStyle w:val="35"/>
                  <w:rPr>
                    <w:rStyle w:val="55"/>
                  </w:rPr>
                </w:pPr>
                <w:r>
                  <w:fldChar w:fldCharType="begin"/>
                </w:r>
                <w:r>
                  <w:rPr>
                    <w:rStyle w:val="55"/>
                  </w:rPr>
                  <w:instrText xml:space="preserve">PAGE  </w:instrText>
                </w:r>
                <w:r>
                  <w:fldChar w:fldCharType="separate"/>
                </w:r>
                <w:r>
                  <w:rPr>
                    <w:rStyle w:val="55"/>
                  </w:rPr>
                  <w:t>23</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both"/>
      <w:rPr>
        <w:rFonts w:ascii="楷体_GB2312" w:eastAsia="楷体_GB2312"/>
        <w:b/>
      </w:rPr>
    </w:pPr>
    <w:r>
      <w:rPr>
        <w:rFonts w:hint="eastAsia" w:ascii="楷体_GB2312" w:eastAsia="楷体_GB2312"/>
        <w:b/>
        <w:lang w:eastAsia="zh-CN"/>
      </w:rPr>
      <w:t>********</w:t>
    </w:r>
    <w:r>
      <w:rPr>
        <w:rFonts w:hint="eastAsia" w:ascii="楷体_GB2312" w:eastAsia="楷体_GB2312"/>
        <w:b/>
      </w:rPr>
      <w:t>互助县沙塘川乡庙儿沟石膏矿开发利用方案</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rPr>
        <w:rFonts w:ascii="楷体_GB2312" w:eastAsia="楷体_GB2312"/>
      </w:rPr>
    </w:pPr>
    <w:r>
      <w:rPr>
        <w:rFonts w:hint="eastAsia" w:ascii="楷体_GB2312" w:eastAsia="楷体_GB2312"/>
        <w:lang w:eastAsia="zh-CN"/>
      </w:rPr>
      <w:t>********</w:t>
    </w:r>
    <w:r>
      <w:rPr>
        <w:rFonts w:hint="eastAsia" w:ascii="楷体_GB2312" w:eastAsia="楷体_GB2312"/>
      </w:rPr>
      <w:t>砂石矿矿产资源开发利用方案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E317E"/>
    <w:multiLevelType w:val="multilevel"/>
    <w:tmpl w:val="0D8E317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197263B8"/>
    <w:multiLevelType w:val="multilevel"/>
    <w:tmpl w:val="197263B8"/>
    <w:lvl w:ilvl="0" w:tentative="0">
      <w:start w:val="1"/>
      <w:numFmt w:val="decimal"/>
      <w:lvlText w:val="%1."/>
      <w:lvlJc w:val="left"/>
      <w:pPr>
        <w:tabs>
          <w:tab w:val="left" w:pos="851"/>
        </w:tabs>
        <w:ind w:left="851" w:hanging="425"/>
      </w:pPr>
      <w:rPr>
        <w:rFonts w:hint="eastAsia"/>
        <w:sz w:val="36"/>
        <w:szCs w:val="36"/>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1271"/>
        </w:tabs>
        <w:ind w:left="127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468238C6"/>
    <w:multiLevelType w:val="multilevel"/>
    <w:tmpl w:val="468238C6"/>
    <w:lvl w:ilvl="0" w:tentative="0">
      <w:start w:val="1"/>
      <w:numFmt w:val="decimal"/>
      <w:lvlText w:val="(%1)"/>
      <w:lvlJc w:val="left"/>
      <w:pPr>
        <w:tabs>
          <w:tab w:val="left" w:pos="857"/>
        </w:tabs>
        <w:ind w:left="960" w:hanging="420"/>
      </w:pPr>
      <w:rPr>
        <w:rFonts w:hint="eastAsia"/>
      </w:rPr>
    </w:lvl>
    <w:lvl w:ilvl="1" w:tentative="0">
      <w:start w:val="1"/>
      <w:numFmt w:val="decimal"/>
      <w:lvlText w:val="%2)"/>
      <w:lvlJc w:val="left"/>
      <w:pPr>
        <w:tabs>
          <w:tab w:val="left" w:pos="960"/>
        </w:tabs>
        <w:ind w:left="960" w:hanging="420"/>
      </w:pPr>
      <w:rPr>
        <w:rFonts w:hint="eastAsia"/>
      </w:rPr>
    </w:lvl>
    <w:lvl w:ilvl="2" w:tentative="0">
      <w:start w:val="1"/>
      <w:numFmt w:val="lowerRoman"/>
      <w:lvlText w:val="%3."/>
      <w:lvlJc w:val="right"/>
      <w:pPr>
        <w:tabs>
          <w:tab w:val="left" w:pos="836"/>
        </w:tabs>
        <w:ind w:left="836" w:hanging="420"/>
      </w:pPr>
    </w:lvl>
    <w:lvl w:ilvl="3" w:tentative="0">
      <w:start w:val="1"/>
      <w:numFmt w:val="decimal"/>
      <w:lvlText w:val="%4."/>
      <w:lvlJc w:val="left"/>
      <w:pPr>
        <w:tabs>
          <w:tab w:val="left" w:pos="1256"/>
        </w:tabs>
        <w:ind w:left="1256" w:hanging="420"/>
      </w:pPr>
    </w:lvl>
    <w:lvl w:ilvl="4" w:tentative="0">
      <w:start w:val="1"/>
      <w:numFmt w:val="lowerLetter"/>
      <w:lvlText w:val="%5)"/>
      <w:lvlJc w:val="left"/>
      <w:pPr>
        <w:tabs>
          <w:tab w:val="left" w:pos="1676"/>
        </w:tabs>
        <w:ind w:left="1676" w:hanging="420"/>
      </w:pPr>
    </w:lvl>
    <w:lvl w:ilvl="5" w:tentative="0">
      <w:start w:val="1"/>
      <w:numFmt w:val="lowerRoman"/>
      <w:lvlText w:val="%6."/>
      <w:lvlJc w:val="right"/>
      <w:pPr>
        <w:tabs>
          <w:tab w:val="left" w:pos="2096"/>
        </w:tabs>
        <w:ind w:left="2096" w:hanging="420"/>
      </w:pPr>
    </w:lvl>
    <w:lvl w:ilvl="6" w:tentative="0">
      <w:start w:val="1"/>
      <w:numFmt w:val="decimal"/>
      <w:lvlText w:val="%7."/>
      <w:lvlJc w:val="left"/>
      <w:pPr>
        <w:tabs>
          <w:tab w:val="left" w:pos="2516"/>
        </w:tabs>
        <w:ind w:left="2516" w:hanging="420"/>
      </w:pPr>
    </w:lvl>
    <w:lvl w:ilvl="7" w:tentative="0">
      <w:start w:val="1"/>
      <w:numFmt w:val="lowerLetter"/>
      <w:lvlText w:val="%8)"/>
      <w:lvlJc w:val="left"/>
      <w:pPr>
        <w:tabs>
          <w:tab w:val="left" w:pos="2936"/>
        </w:tabs>
        <w:ind w:left="2936" w:hanging="420"/>
      </w:pPr>
    </w:lvl>
    <w:lvl w:ilvl="8" w:tentative="0">
      <w:start w:val="1"/>
      <w:numFmt w:val="lowerRoman"/>
      <w:lvlText w:val="%9."/>
      <w:lvlJc w:val="right"/>
      <w:pPr>
        <w:tabs>
          <w:tab w:val="left" w:pos="3356"/>
        </w:tabs>
        <w:ind w:left="3356" w:hanging="420"/>
      </w:pPr>
    </w:lvl>
  </w:abstractNum>
  <w:abstractNum w:abstractNumId="3">
    <w:nsid w:val="59DB2382"/>
    <w:multiLevelType w:val="multilevel"/>
    <w:tmpl w:val="59DB2382"/>
    <w:lvl w:ilvl="0" w:tentative="0">
      <w:start w:val="1"/>
      <w:numFmt w:val="decimal"/>
      <w:lvlText w:val="%1."/>
      <w:lvlJc w:val="left"/>
      <w:pPr>
        <w:tabs>
          <w:tab w:val="left" w:pos="851"/>
        </w:tabs>
        <w:ind w:left="851" w:hanging="425"/>
      </w:pPr>
      <w:rPr>
        <w:rFonts w:hint="default"/>
        <w:sz w:val="36"/>
        <w:szCs w:val="36"/>
      </w:rPr>
    </w:lvl>
    <w:lvl w:ilvl="1" w:tentative="0">
      <w:start w:val="3"/>
      <w:numFmt w:val="decimal"/>
      <w:lvlText w:val="%1.%2."/>
      <w:lvlJc w:val="left"/>
      <w:pPr>
        <w:tabs>
          <w:tab w:val="left" w:pos="567"/>
        </w:tabs>
        <w:ind w:left="567" w:hanging="567"/>
      </w:pPr>
      <w:rPr>
        <w:rFonts w:hint="default" w:ascii="宋体" w:hAnsi="宋体" w:eastAsia="宋体" w:cs="宋体"/>
      </w:rPr>
    </w:lvl>
    <w:lvl w:ilvl="2" w:tentative="0">
      <w:start w:val="1"/>
      <w:numFmt w:val="decimal"/>
      <w:lvlText w:val="%1.%2.%3."/>
      <w:lvlJc w:val="left"/>
      <w:pPr>
        <w:tabs>
          <w:tab w:val="left" w:pos="709"/>
        </w:tabs>
        <w:ind w:left="709" w:hanging="709"/>
      </w:pPr>
      <w:rPr>
        <w:rFonts w:hint="default" w:ascii="宋体" w:hAnsi="宋体" w:eastAsia="宋体" w:cs="宋体"/>
      </w:rPr>
    </w:lvl>
    <w:lvl w:ilvl="3" w:tentative="0">
      <w:start w:val="1"/>
      <w:numFmt w:val="decimal"/>
      <w:lvlText w:val="%1.%2.%3.%4."/>
      <w:lvlJc w:val="left"/>
      <w:pPr>
        <w:tabs>
          <w:tab w:val="left" w:pos="1271"/>
        </w:tabs>
        <w:ind w:left="127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59DB23DC"/>
    <w:multiLevelType w:val="multilevel"/>
    <w:tmpl w:val="59DB23DC"/>
    <w:lvl w:ilvl="0" w:tentative="0">
      <w:start w:val="1"/>
      <w:numFmt w:val="decimal"/>
      <w:lvlText w:val="%1."/>
      <w:lvlJc w:val="left"/>
      <w:pPr>
        <w:tabs>
          <w:tab w:val="left" w:pos="851"/>
        </w:tabs>
        <w:ind w:left="851" w:hanging="425"/>
      </w:pPr>
      <w:rPr>
        <w:rFonts w:hint="default" w:ascii="宋体" w:hAnsi="宋体" w:eastAsia="宋体" w:cs="宋体"/>
        <w:sz w:val="36"/>
        <w:szCs w:val="36"/>
      </w:rPr>
    </w:lvl>
    <w:lvl w:ilvl="1" w:tentative="0">
      <w:start w:val="3"/>
      <w:numFmt w:val="decimal"/>
      <w:lvlText w:val="%1.%2."/>
      <w:lvlJc w:val="left"/>
      <w:pPr>
        <w:tabs>
          <w:tab w:val="left" w:pos="567"/>
        </w:tabs>
        <w:ind w:left="567" w:hanging="567"/>
      </w:pPr>
      <w:rPr>
        <w:rFonts w:hint="default" w:ascii="宋体" w:hAnsi="宋体" w:eastAsia="宋体" w:cs="宋体"/>
      </w:rPr>
    </w:lvl>
    <w:lvl w:ilvl="2" w:tentative="0">
      <w:start w:val="2"/>
      <w:numFmt w:val="decimal"/>
      <w:lvlText w:val="%1.%2.%3."/>
      <w:lvlJc w:val="left"/>
      <w:pPr>
        <w:tabs>
          <w:tab w:val="left" w:pos="709"/>
        </w:tabs>
        <w:ind w:left="709" w:hanging="709"/>
      </w:pPr>
      <w:rPr>
        <w:rFonts w:hint="default" w:ascii="宋体" w:hAnsi="宋体" w:eastAsia="宋体" w:cs="宋体"/>
      </w:rPr>
    </w:lvl>
    <w:lvl w:ilvl="3" w:tentative="0">
      <w:start w:val="1"/>
      <w:numFmt w:val="decimal"/>
      <w:lvlText w:val="%1.%2.%3.%4."/>
      <w:lvlJc w:val="left"/>
      <w:pPr>
        <w:tabs>
          <w:tab w:val="left" w:pos="1271"/>
        </w:tabs>
        <w:ind w:left="127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59DB2411"/>
    <w:multiLevelType w:val="multilevel"/>
    <w:tmpl w:val="59DB2411"/>
    <w:lvl w:ilvl="0" w:tentative="0">
      <w:start w:val="1"/>
      <w:numFmt w:val="decimal"/>
      <w:lvlText w:val="%1."/>
      <w:lvlJc w:val="left"/>
      <w:pPr>
        <w:tabs>
          <w:tab w:val="left" w:pos="851"/>
        </w:tabs>
        <w:ind w:left="851" w:hanging="425"/>
      </w:pPr>
      <w:rPr>
        <w:rFonts w:hint="default" w:ascii="宋体" w:hAnsi="宋体" w:eastAsia="宋体" w:cs="宋体"/>
        <w:sz w:val="36"/>
        <w:szCs w:val="36"/>
      </w:rPr>
    </w:lvl>
    <w:lvl w:ilvl="1" w:tentative="0">
      <w:start w:val="3"/>
      <w:numFmt w:val="decimal"/>
      <w:lvlText w:val="%1.%2."/>
      <w:lvlJc w:val="left"/>
      <w:pPr>
        <w:tabs>
          <w:tab w:val="left" w:pos="567"/>
        </w:tabs>
        <w:ind w:left="567" w:hanging="567"/>
      </w:pPr>
      <w:rPr>
        <w:rFonts w:hint="default" w:ascii="宋体" w:hAnsi="宋体" w:eastAsia="宋体" w:cs="宋体"/>
      </w:rPr>
    </w:lvl>
    <w:lvl w:ilvl="2" w:tentative="0">
      <w:start w:val="3"/>
      <w:numFmt w:val="decimal"/>
      <w:lvlText w:val="%1.%2.%3."/>
      <w:lvlJc w:val="left"/>
      <w:pPr>
        <w:tabs>
          <w:tab w:val="left" w:pos="709"/>
        </w:tabs>
        <w:ind w:left="709" w:hanging="709"/>
      </w:pPr>
      <w:rPr>
        <w:rFonts w:hint="default" w:ascii="宋体" w:hAnsi="宋体" w:eastAsia="宋体" w:cs="宋体"/>
      </w:rPr>
    </w:lvl>
    <w:lvl w:ilvl="3" w:tentative="0">
      <w:start w:val="1"/>
      <w:numFmt w:val="decimal"/>
      <w:lvlText w:val="%1.%2.%3.%4."/>
      <w:lvlJc w:val="left"/>
      <w:pPr>
        <w:tabs>
          <w:tab w:val="left" w:pos="1271"/>
        </w:tabs>
        <w:ind w:left="127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
    <w:nsid w:val="59DD7CC6"/>
    <w:multiLevelType w:val="multilevel"/>
    <w:tmpl w:val="59DD7CC6"/>
    <w:lvl w:ilvl="0" w:tentative="0">
      <w:start w:val="8"/>
      <w:numFmt w:val="decimal"/>
      <w:pStyle w:val="2"/>
      <w:lvlText w:val="%1."/>
      <w:lvlJc w:val="left"/>
      <w:pPr>
        <w:ind w:left="432" w:hanging="432"/>
      </w:pPr>
      <w:rPr>
        <w:rFonts w:hint="default" w:ascii="宋体" w:hAnsi="宋体" w:eastAsia="宋体" w:cs="宋体"/>
      </w:rPr>
    </w:lvl>
    <w:lvl w:ilvl="1" w:tentative="0">
      <w:start w:val="2"/>
      <w:numFmt w:val="decimal"/>
      <w:pStyle w:val="3"/>
      <w:lvlText w:val="%1.%2."/>
      <w:lvlJc w:val="left"/>
      <w:pPr>
        <w:ind w:left="575" w:hanging="575"/>
      </w:pPr>
      <w:rPr>
        <w:rFonts w:hint="default" w:ascii="宋体" w:hAnsi="宋体" w:eastAsia="宋体" w:cs="宋体"/>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59DD9A67"/>
    <w:multiLevelType w:val="singleLevel"/>
    <w:tmpl w:val="59DD9A67"/>
    <w:lvl w:ilvl="0" w:tentative="0">
      <w:start w:val="1"/>
      <w:numFmt w:val="decimalEnclosedCircleChinese"/>
      <w:suff w:val="nothing"/>
      <w:lvlText w:val="%1　"/>
      <w:lvlJc w:val="left"/>
      <w:pPr>
        <w:ind w:left="0" w:firstLine="400"/>
      </w:pPr>
      <w:rPr>
        <w:rFonts w:hint="eastAsia"/>
      </w:rPr>
    </w:lvl>
  </w:abstractNum>
  <w:abstractNum w:abstractNumId="8">
    <w:nsid w:val="59DDCE5B"/>
    <w:multiLevelType w:val="singleLevel"/>
    <w:tmpl w:val="59DDCE5B"/>
    <w:lvl w:ilvl="0" w:tentative="0">
      <w:start w:val="1"/>
      <w:numFmt w:val="decimalEnclosedCircleChinese"/>
      <w:suff w:val="nothing"/>
      <w:lvlText w:val="%1　"/>
      <w:lvlJc w:val="left"/>
      <w:pPr>
        <w:ind w:left="0" w:firstLine="400"/>
      </w:pPr>
      <w:rPr>
        <w:rFonts w:hint="eastAsia"/>
      </w:rPr>
    </w:lvl>
  </w:abstractNum>
  <w:abstractNum w:abstractNumId="9">
    <w:nsid w:val="59DEBB72"/>
    <w:multiLevelType w:val="singleLevel"/>
    <w:tmpl w:val="59DEBB72"/>
    <w:lvl w:ilvl="0" w:tentative="0">
      <w:start w:val="1"/>
      <w:numFmt w:val="decimalEnclosedCircleChinese"/>
      <w:suff w:val="nothing"/>
      <w:lvlText w:val="%1　"/>
      <w:lvlJc w:val="left"/>
      <w:pPr>
        <w:ind w:left="0" w:firstLine="400"/>
      </w:pPr>
      <w:rPr>
        <w:rFonts w:hint="eastAsia"/>
      </w:rPr>
    </w:lvl>
  </w:abstractNum>
  <w:abstractNum w:abstractNumId="10">
    <w:nsid w:val="59DEE3B6"/>
    <w:multiLevelType w:val="singleLevel"/>
    <w:tmpl w:val="59DEE3B6"/>
    <w:lvl w:ilvl="0" w:tentative="0">
      <w:start w:val="1"/>
      <w:numFmt w:val="decimalEnclosedCircleChinese"/>
      <w:suff w:val="nothing"/>
      <w:lvlText w:val="%1　"/>
      <w:lvlJc w:val="left"/>
      <w:pPr>
        <w:ind w:left="0" w:firstLine="400"/>
      </w:pPr>
      <w:rPr>
        <w:rFonts w:hint="eastAsia"/>
      </w:rPr>
    </w:lvl>
  </w:abstractNum>
  <w:abstractNum w:abstractNumId="11">
    <w:nsid w:val="59DF0A99"/>
    <w:multiLevelType w:val="singleLevel"/>
    <w:tmpl w:val="59DF0A99"/>
    <w:lvl w:ilvl="0" w:tentative="0">
      <w:start w:val="1"/>
      <w:numFmt w:val="decimal"/>
      <w:suff w:val="nothing"/>
      <w:lvlText w:val="%1、"/>
      <w:lvlJc w:val="left"/>
    </w:lvl>
  </w:abstractNum>
  <w:abstractNum w:abstractNumId="12">
    <w:nsid w:val="59F6A31F"/>
    <w:multiLevelType w:val="singleLevel"/>
    <w:tmpl w:val="59F6A31F"/>
    <w:lvl w:ilvl="0" w:tentative="0">
      <w:start w:val="4"/>
      <w:numFmt w:val="decimal"/>
      <w:suff w:val="nothing"/>
      <w:lvlText w:val="（%1）"/>
      <w:lvlJc w:val="left"/>
    </w:lvl>
  </w:abstractNum>
  <w:abstractNum w:abstractNumId="13">
    <w:nsid w:val="5B2E34BE"/>
    <w:multiLevelType w:val="multilevel"/>
    <w:tmpl w:val="5B2E34B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6"/>
  </w:num>
  <w:num w:numId="2">
    <w:abstractNumId w:val="1"/>
  </w:num>
  <w:num w:numId="3">
    <w:abstractNumId w:val="3"/>
  </w:num>
  <w:num w:numId="4">
    <w:abstractNumId w:val="2"/>
  </w:num>
  <w:num w:numId="5">
    <w:abstractNumId w:val="4"/>
  </w:num>
  <w:num w:numId="6">
    <w:abstractNumId w:val="13"/>
  </w:num>
  <w:num w:numId="7">
    <w:abstractNumId w:val="5"/>
  </w:num>
  <w:num w:numId="8">
    <w:abstractNumId w:val="12"/>
  </w:num>
  <w:num w:numId="9">
    <w:abstractNumId w:val="9"/>
  </w:num>
  <w:num w:numId="10">
    <w:abstractNumId w:val="0"/>
  </w:num>
  <w:num w:numId="11">
    <w:abstractNumId w:val="7"/>
  </w:num>
  <w:num w:numId="12">
    <w:abstractNumId w:val="8"/>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TrackMoves/>
  <w:documentProtection w:enforcement="0"/>
  <w:defaultTabStop w:val="0"/>
  <w:drawingGridVerticalSpacing w:val="156"/>
  <w:noPunctuationKerning w:val="1"/>
  <w:characterSpacingControl w:val="compressPunctuation"/>
  <w:hdrShapeDefaults>
    <o:shapelayout v:ext="edit">
      <o:idmap v:ext="edit" data="2,3,4,5"/>
    </o:shapelayout>
  </w:hdrShapeDefaults>
  <w:compat>
    <w:spaceForUL/>
    <w:balanceSingleByteDoubleByteWidth/>
    <w:doNotLeaveBackslashAlone/>
    <w:doNotExpandShiftReturn/>
    <w:adjustLineHeightInTable/>
    <w:doNotBreakWrappedTables/>
    <w:doNotWrapTextWithPunct/>
    <w:doNotUseEastAsianBreak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166"/>
    <w:rsid w:val="0000073C"/>
    <w:rsid w:val="000011E0"/>
    <w:rsid w:val="00001200"/>
    <w:rsid w:val="000015D3"/>
    <w:rsid w:val="00001828"/>
    <w:rsid w:val="00001A00"/>
    <w:rsid w:val="00001F23"/>
    <w:rsid w:val="00001FFB"/>
    <w:rsid w:val="000024CD"/>
    <w:rsid w:val="00002505"/>
    <w:rsid w:val="0000277B"/>
    <w:rsid w:val="00002965"/>
    <w:rsid w:val="00002ACB"/>
    <w:rsid w:val="00003469"/>
    <w:rsid w:val="00004279"/>
    <w:rsid w:val="00004380"/>
    <w:rsid w:val="00004492"/>
    <w:rsid w:val="00004940"/>
    <w:rsid w:val="00004F00"/>
    <w:rsid w:val="0000526A"/>
    <w:rsid w:val="0000552F"/>
    <w:rsid w:val="000056FF"/>
    <w:rsid w:val="0000583B"/>
    <w:rsid w:val="000059DC"/>
    <w:rsid w:val="0000671A"/>
    <w:rsid w:val="00006787"/>
    <w:rsid w:val="00006918"/>
    <w:rsid w:val="00006D27"/>
    <w:rsid w:val="00007565"/>
    <w:rsid w:val="00007774"/>
    <w:rsid w:val="000077F0"/>
    <w:rsid w:val="00007F62"/>
    <w:rsid w:val="00007FD4"/>
    <w:rsid w:val="00010443"/>
    <w:rsid w:val="000105EA"/>
    <w:rsid w:val="00010634"/>
    <w:rsid w:val="0001123E"/>
    <w:rsid w:val="0001158D"/>
    <w:rsid w:val="00011B60"/>
    <w:rsid w:val="000121D2"/>
    <w:rsid w:val="0001325A"/>
    <w:rsid w:val="0001392B"/>
    <w:rsid w:val="000139CE"/>
    <w:rsid w:val="00013C61"/>
    <w:rsid w:val="000144B2"/>
    <w:rsid w:val="000144D8"/>
    <w:rsid w:val="0001458B"/>
    <w:rsid w:val="00014E6F"/>
    <w:rsid w:val="000159D0"/>
    <w:rsid w:val="0001686E"/>
    <w:rsid w:val="0001764E"/>
    <w:rsid w:val="00017735"/>
    <w:rsid w:val="00017938"/>
    <w:rsid w:val="00017A25"/>
    <w:rsid w:val="00020046"/>
    <w:rsid w:val="00020092"/>
    <w:rsid w:val="00020930"/>
    <w:rsid w:val="0002141E"/>
    <w:rsid w:val="00021813"/>
    <w:rsid w:val="00021AC3"/>
    <w:rsid w:val="00021F56"/>
    <w:rsid w:val="0002278E"/>
    <w:rsid w:val="00022965"/>
    <w:rsid w:val="00022A14"/>
    <w:rsid w:val="00023687"/>
    <w:rsid w:val="00023903"/>
    <w:rsid w:val="00023C21"/>
    <w:rsid w:val="000240C5"/>
    <w:rsid w:val="000246C6"/>
    <w:rsid w:val="00024D31"/>
    <w:rsid w:val="0002503B"/>
    <w:rsid w:val="0002523D"/>
    <w:rsid w:val="000255D5"/>
    <w:rsid w:val="000261B6"/>
    <w:rsid w:val="0002631D"/>
    <w:rsid w:val="00027664"/>
    <w:rsid w:val="000279C1"/>
    <w:rsid w:val="00027ADA"/>
    <w:rsid w:val="00027DF5"/>
    <w:rsid w:val="00030067"/>
    <w:rsid w:val="0003040B"/>
    <w:rsid w:val="00030703"/>
    <w:rsid w:val="0003085E"/>
    <w:rsid w:val="00030D61"/>
    <w:rsid w:val="00030E47"/>
    <w:rsid w:val="0003125B"/>
    <w:rsid w:val="00031A51"/>
    <w:rsid w:val="00032230"/>
    <w:rsid w:val="0003265C"/>
    <w:rsid w:val="0003285F"/>
    <w:rsid w:val="000328B2"/>
    <w:rsid w:val="00032B5E"/>
    <w:rsid w:val="00032B99"/>
    <w:rsid w:val="00032EFC"/>
    <w:rsid w:val="0003303B"/>
    <w:rsid w:val="00033095"/>
    <w:rsid w:val="000330C3"/>
    <w:rsid w:val="00033223"/>
    <w:rsid w:val="00033245"/>
    <w:rsid w:val="00033E5C"/>
    <w:rsid w:val="000342B1"/>
    <w:rsid w:val="0003436D"/>
    <w:rsid w:val="000345A7"/>
    <w:rsid w:val="000347C1"/>
    <w:rsid w:val="00034A7B"/>
    <w:rsid w:val="00034CF8"/>
    <w:rsid w:val="0003515D"/>
    <w:rsid w:val="00035B14"/>
    <w:rsid w:val="00035E20"/>
    <w:rsid w:val="00035E83"/>
    <w:rsid w:val="000369DC"/>
    <w:rsid w:val="000370EE"/>
    <w:rsid w:val="0003791E"/>
    <w:rsid w:val="00037B98"/>
    <w:rsid w:val="000404A6"/>
    <w:rsid w:val="00040BF3"/>
    <w:rsid w:val="00040EDF"/>
    <w:rsid w:val="0004135E"/>
    <w:rsid w:val="0004189E"/>
    <w:rsid w:val="00041F01"/>
    <w:rsid w:val="0004239A"/>
    <w:rsid w:val="00042449"/>
    <w:rsid w:val="0004368E"/>
    <w:rsid w:val="000439AE"/>
    <w:rsid w:val="00043ECE"/>
    <w:rsid w:val="00044570"/>
    <w:rsid w:val="0004484A"/>
    <w:rsid w:val="00044BA7"/>
    <w:rsid w:val="00044FAA"/>
    <w:rsid w:val="000450C0"/>
    <w:rsid w:val="00045271"/>
    <w:rsid w:val="0004542F"/>
    <w:rsid w:val="00045599"/>
    <w:rsid w:val="000455A2"/>
    <w:rsid w:val="00045BEA"/>
    <w:rsid w:val="00045F86"/>
    <w:rsid w:val="000461BB"/>
    <w:rsid w:val="0004663D"/>
    <w:rsid w:val="000469F1"/>
    <w:rsid w:val="00046BDB"/>
    <w:rsid w:val="00047D12"/>
    <w:rsid w:val="00047FAC"/>
    <w:rsid w:val="0005000C"/>
    <w:rsid w:val="0005042C"/>
    <w:rsid w:val="00050611"/>
    <w:rsid w:val="000507EC"/>
    <w:rsid w:val="00051595"/>
    <w:rsid w:val="00051787"/>
    <w:rsid w:val="000525E7"/>
    <w:rsid w:val="00052993"/>
    <w:rsid w:val="0005366B"/>
    <w:rsid w:val="00053A59"/>
    <w:rsid w:val="0005403E"/>
    <w:rsid w:val="0005468E"/>
    <w:rsid w:val="0005471A"/>
    <w:rsid w:val="00054786"/>
    <w:rsid w:val="00054CC0"/>
    <w:rsid w:val="00054D5D"/>
    <w:rsid w:val="000551D2"/>
    <w:rsid w:val="000553D4"/>
    <w:rsid w:val="0005541E"/>
    <w:rsid w:val="00055794"/>
    <w:rsid w:val="000558E6"/>
    <w:rsid w:val="00055BB5"/>
    <w:rsid w:val="00055EA3"/>
    <w:rsid w:val="00055F58"/>
    <w:rsid w:val="000561A6"/>
    <w:rsid w:val="00056366"/>
    <w:rsid w:val="00057054"/>
    <w:rsid w:val="000573A5"/>
    <w:rsid w:val="0006018B"/>
    <w:rsid w:val="00060725"/>
    <w:rsid w:val="000607B7"/>
    <w:rsid w:val="000610E4"/>
    <w:rsid w:val="0006111D"/>
    <w:rsid w:val="00061413"/>
    <w:rsid w:val="000614B2"/>
    <w:rsid w:val="0006192B"/>
    <w:rsid w:val="00061DBF"/>
    <w:rsid w:val="00061EC0"/>
    <w:rsid w:val="0006259C"/>
    <w:rsid w:val="00062BCF"/>
    <w:rsid w:val="00062D84"/>
    <w:rsid w:val="00063223"/>
    <w:rsid w:val="00063770"/>
    <w:rsid w:val="00063B15"/>
    <w:rsid w:val="00063FC9"/>
    <w:rsid w:val="00064514"/>
    <w:rsid w:val="000645F5"/>
    <w:rsid w:val="00064B91"/>
    <w:rsid w:val="00065217"/>
    <w:rsid w:val="000658FC"/>
    <w:rsid w:val="00065CC8"/>
    <w:rsid w:val="00065DFF"/>
    <w:rsid w:val="00065EE8"/>
    <w:rsid w:val="00066353"/>
    <w:rsid w:val="000668A5"/>
    <w:rsid w:val="00066B94"/>
    <w:rsid w:val="00066DFF"/>
    <w:rsid w:val="00066EF5"/>
    <w:rsid w:val="0006720F"/>
    <w:rsid w:val="00067482"/>
    <w:rsid w:val="00067548"/>
    <w:rsid w:val="00067F04"/>
    <w:rsid w:val="000704D7"/>
    <w:rsid w:val="000706A2"/>
    <w:rsid w:val="00070AD3"/>
    <w:rsid w:val="00070C65"/>
    <w:rsid w:val="000711A3"/>
    <w:rsid w:val="00071272"/>
    <w:rsid w:val="00071745"/>
    <w:rsid w:val="00071C5E"/>
    <w:rsid w:val="00072906"/>
    <w:rsid w:val="00072B9F"/>
    <w:rsid w:val="00072BAF"/>
    <w:rsid w:val="000732A9"/>
    <w:rsid w:val="000734D5"/>
    <w:rsid w:val="0007440D"/>
    <w:rsid w:val="00075672"/>
    <w:rsid w:val="00075B5B"/>
    <w:rsid w:val="00076098"/>
    <w:rsid w:val="00076939"/>
    <w:rsid w:val="00076967"/>
    <w:rsid w:val="00076B26"/>
    <w:rsid w:val="00076FE5"/>
    <w:rsid w:val="00077111"/>
    <w:rsid w:val="000778F2"/>
    <w:rsid w:val="00077B37"/>
    <w:rsid w:val="000815F7"/>
    <w:rsid w:val="00081BB0"/>
    <w:rsid w:val="0008206B"/>
    <w:rsid w:val="000823E1"/>
    <w:rsid w:val="000823E8"/>
    <w:rsid w:val="00082BD3"/>
    <w:rsid w:val="0008343A"/>
    <w:rsid w:val="00083DE3"/>
    <w:rsid w:val="000840D5"/>
    <w:rsid w:val="00084218"/>
    <w:rsid w:val="000842EE"/>
    <w:rsid w:val="0008457D"/>
    <w:rsid w:val="000847F1"/>
    <w:rsid w:val="00084F02"/>
    <w:rsid w:val="00084F61"/>
    <w:rsid w:val="00085998"/>
    <w:rsid w:val="00085E75"/>
    <w:rsid w:val="0008680D"/>
    <w:rsid w:val="000868DE"/>
    <w:rsid w:val="000869D5"/>
    <w:rsid w:val="00086F6E"/>
    <w:rsid w:val="000873CA"/>
    <w:rsid w:val="00087427"/>
    <w:rsid w:val="000876D0"/>
    <w:rsid w:val="000902FD"/>
    <w:rsid w:val="00090520"/>
    <w:rsid w:val="00090A65"/>
    <w:rsid w:val="00090A77"/>
    <w:rsid w:val="00090F6D"/>
    <w:rsid w:val="00090FD2"/>
    <w:rsid w:val="00091215"/>
    <w:rsid w:val="00091868"/>
    <w:rsid w:val="00091E58"/>
    <w:rsid w:val="00091E5D"/>
    <w:rsid w:val="00092505"/>
    <w:rsid w:val="0009317D"/>
    <w:rsid w:val="00093511"/>
    <w:rsid w:val="00094A21"/>
    <w:rsid w:val="00094A46"/>
    <w:rsid w:val="00094C51"/>
    <w:rsid w:val="00094FB6"/>
    <w:rsid w:val="0009537B"/>
    <w:rsid w:val="0009565D"/>
    <w:rsid w:val="000957B5"/>
    <w:rsid w:val="00095ACB"/>
    <w:rsid w:val="00095F79"/>
    <w:rsid w:val="00096475"/>
    <w:rsid w:val="00096CC9"/>
    <w:rsid w:val="00096CDF"/>
    <w:rsid w:val="00096EF0"/>
    <w:rsid w:val="00096F1C"/>
    <w:rsid w:val="00097085"/>
    <w:rsid w:val="00097A1D"/>
    <w:rsid w:val="00097D41"/>
    <w:rsid w:val="00097F2B"/>
    <w:rsid w:val="000A0139"/>
    <w:rsid w:val="000A0584"/>
    <w:rsid w:val="000A0D48"/>
    <w:rsid w:val="000A1290"/>
    <w:rsid w:val="000A1A4E"/>
    <w:rsid w:val="000A1DCF"/>
    <w:rsid w:val="000A2A45"/>
    <w:rsid w:val="000A2F47"/>
    <w:rsid w:val="000A2F67"/>
    <w:rsid w:val="000A4174"/>
    <w:rsid w:val="000A4812"/>
    <w:rsid w:val="000A4835"/>
    <w:rsid w:val="000A499C"/>
    <w:rsid w:val="000A5379"/>
    <w:rsid w:val="000A53F7"/>
    <w:rsid w:val="000A556C"/>
    <w:rsid w:val="000A5C91"/>
    <w:rsid w:val="000A5F2B"/>
    <w:rsid w:val="000A6392"/>
    <w:rsid w:val="000A67C2"/>
    <w:rsid w:val="000A6A88"/>
    <w:rsid w:val="000A6B9C"/>
    <w:rsid w:val="000A6F71"/>
    <w:rsid w:val="000A6F83"/>
    <w:rsid w:val="000A7372"/>
    <w:rsid w:val="000A745D"/>
    <w:rsid w:val="000A7667"/>
    <w:rsid w:val="000A768E"/>
    <w:rsid w:val="000A7745"/>
    <w:rsid w:val="000B00BB"/>
    <w:rsid w:val="000B013E"/>
    <w:rsid w:val="000B028F"/>
    <w:rsid w:val="000B0A32"/>
    <w:rsid w:val="000B0FB0"/>
    <w:rsid w:val="000B1375"/>
    <w:rsid w:val="000B14EB"/>
    <w:rsid w:val="000B1564"/>
    <w:rsid w:val="000B1946"/>
    <w:rsid w:val="000B1DAA"/>
    <w:rsid w:val="000B272B"/>
    <w:rsid w:val="000B2F70"/>
    <w:rsid w:val="000B3188"/>
    <w:rsid w:val="000B39D7"/>
    <w:rsid w:val="000B49F4"/>
    <w:rsid w:val="000B56E5"/>
    <w:rsid w:val="000B593E"/>
    <w:rsid w:val="000B5ADA"/>
    <w:rsid w:val="000B5E24"/>
    <w:rsid w:val="000B61B5"/>
    <w:rsid w:val="000B6497"/>
    <w:rsid w:val="000B64BF"/>
    <w:rsid w:val="000B6E8D"/>
    <w:rsid w:val="000B6F90"/>
    <w:rsid w:val="000B79BE"/>
    <w:rsid w:val="000B7BFF"/>
    <w:rsid w:val="000C0074"/>
    <w:rsid w:val="000C0CF6"/>
    <w:rsid w:val="000C0EB8"/>
    <w:rsid w:val="000C0F3F"/>
    <w:rsid w:val="000C1072"/>
    <w:rsid w:val="000C12DA"/>
    <w:rsid w:val="000C1A0B"/>
    <w:rsid w:val="000C28AB"/>
    <w:rsid w:val="000C2C4C"/>
    <w:rsid w:val="000C2E3F"/>
    <w:rsid w:val="000C2F63"/>
    <w:rsid w:val="000C2FCA"/>
    <w:rsid w:val="000C2FCD"/>
    <w:rsid w:val="000C3189"/>
    <w:rsid w:val="000C3550"/>
    <w:rsid w:val="000C35A2"/>
    <w:rsid w:val="000C39E0"/>
    <w:rsid w:val="000C3D43"/>
    <w:rsid w:val="000C3DDC"/>
    <w:rsid w:val="000C3F89"/>
    <w:rsid w:val="000C4097"/>
    <w:rsid w:val="000C412F"/>
    <w:rsid w:val="000C4299"/>
    <w:rsid w:val="000C43BB"/>
    <w:rsid w:val="000C43F1"/>
    <w:rsid w:val="000C45A4"/>
    <w:rsid w:val="000C4768"/>
    <w:rsid w:val="000C47A0"/>
    <w:rsid w:val="000C4C47"/>
    <w:rsid w:val="000C5248"/>
    <w:rsid w:val="000C5374"/>
    <w:rsid w:val="000C54A4"/>
    <w:rsid w:val="000C5752"/>
    <w:rsid w:val="000C5A4F"/>
    <w:rsid w:val="000C6017"/>
    <w:rsid w:val="000C6228"/>
    <w:rsid w:val="000C62EC"/>
    <w:rsid w:val="000C667A"/>
    <w:rsid w:val="000C6C78"/>
    <w:rsid w:val="000C711C"/>
    <w:rsid w:val="000C76DB"/>
    <w:rsid w:val="000C7E66"/>
    <w:rsid w:val="000C7E78"/>
    <w:rsid w:val="000D0185"/>
    <w:rsid w:val="000D06B5"/>
    <w:rsid w:val="000D0705"/>
    <w:rsid w:val="000D0AE5"/>
    <w:rsid w:val="000D0E2E"/>
    <w:rsid w:val="000D0F96"/>
    <w:rsid w:val="000D151C"/>
    <w:rsid w:val="000D156C"/>
    <w:rsid w:val="000D211C"/>
    <w:rsid w:val="000D2852"/>
    <w:rsid w:val="000D2B4D"/>
    <w:rsid w:val="000D2DC2"/>
    <w:rsid w:val="000D3105"/>
    <w:rsid w:val="000D3A58"/>
    <w:rsid w:val="000D3BA7"/>
    <w:rsid w:val="000D40DD"/>
    <w:rsid w:val="000D4523"/>
    <w:rsid w:val="000D4659"/>
    <w:rsid w:val="000D4F4A"/>
    <w:rsid w:val="000D4F88"/>
    <w:rsid w:val="000D50BD"/>
    <w:rsid w:val="000D516D"/>
    <w:rsid w:val="000D53FB"/>
    <w:rsid w:val="000D54C3"/>
    <w:rsid w:val="000D556E"/>
    <w:rsid w:val="000D55E4"/>
    <w:rsid w:val="000D5CAE"/>
    <w:rsid w:val="000D5F95"/>
    <w:rsid w:val="000D620A"/>
    <w:rsid w:val="000D6423"/>
    <w:rsid w:val="000D687E"/>
    <w:rsid w:val="000D6ACD"/>
    <w:rsid w:val="000D7086"/>
    <w:rsid w:val="000D7604"/>
    <w:rsid w:val="000D764F"/>
    <w:rsid w:val="000D786E"/>
    <w:rsid w:val="000E0478"/>
    <w:rsid w:val="000E0DA4"/>
    <w:rsid w:val="000E0E66"/>
    <w:rsid w:val="000E1924"/>
    <w:rsid w:val="000E1F9D"/>
    <w:rsid w:val="000E203A"/>
    <w:rsid w:val="000E2088"/>
    <w:rsid w:val="000E2267"/>
    <w:rsid w:val="000E274D"/>
    <w:rsid w:val="000E2C5E"/>
    <w:rsid w:val="000E2CFB"/>
    <w:rsid w:val="000E30F0"/>
    <w:rsid w:val="000E42F1"/>
    <w:rsid w:val="000E43D2"/>
    <w:rsid w:val="000E4A6D"/>
    <w:rsid w:val="000E5037"/>
    <w:rsid w:val="000E51CE"/>
    <w:rsid w:val="000E52C0"/>
    <w:rsid w:val="000E5358"/>
    <w:rsid w:val="000E54B8"/>
    <w:rsid w:val="000E552B"/>
    <w:rsid w:val="000E5918"/>
    <w:rsid w:val="000E5AB9"/>
    <w:rsid w:val="000E6218"/>
    <w:rsid w:val="000E67AA"/>
    <w:rsid w:val="000E6CD2"/>
    <w:rsid w:val="000E7350"/>
    <w:rsid w:val="000E74DA"/>
    <w:rsid w:val="000E78A9"/>
    <w:rsid w:val="000F0A2C"/>
    <w:rsid w:val="000F0B87"/>
    <w:rsid w:val="000F0DC1"/>
    <w:rsid w:val="000F12BD"/>
    <w:rsid w:val="000F1416"/>
    <w:rsid w:val="000F1597"/>
    <w:rsid w:val="000F1859"/>
    <w:rsid w:val="000F2658"/>
    <w:rsid w:val="000F3299"/>
    <w:rsid w:val="000F33B3"/>
    <w:rsid w:val="000F3B23"/>
    <w:rsid w:val="000F3BE0"/>
    <w:rsid w:val="000F432A"/>
    <w:rsid w:val="000F4916"/>
    <w:rsid w:val="000F5371"/>
    <w:rsid w:val="000F5A6A"/>
    <w:rsid w:val="000F5E75"/>
    <w:rsid w:val="000F5EA8"/>
    <w:rsid w:val="000F5EF4"/>
    <w:rsid w:val="000F60BD"/>
    <w:rsid w:val="000F6531"/>
    <w:rsid w:val="000F6BC9"/>
    <w:rsid w:val="000F7B95"/>
    <w:rsid w:val="00100232"/>
    <w:rsid w:val="0010040C"/>
    <w:rsid w:val="00100DC4"/>
    <w:rsid w:val="00100FC7"/>
    <w:rsid w:val="0010155D"/>
    <w:rsid w:val="001029E2"/>
    <w:rsid w:val="00102C43"/>
    <w:rsid w:val="00102E08"/>
    <w:rsid w:val="001031D4"/>
    <w:rsid w:val="00103433"/>
    <w:rsid w:val="00103872"/>
    <w:rsid w:val="00103C62"/>
    <w:rsid w:val="00103FE9"/>
    <w:rsid w:val="0010402A"/>
    <w:rsid w:val="00104098"/>
    <w:rsid w:val="00104411"/>
    <w:rsid w:val="00104F06"/>
    <w:rsid w:val="001051A3"/>
    <w:rsid w:val="00105769"/>
    <w:rsid w:val="0010584D"/>
    <w:rsid w:val="00105EBF"/>
    <w:rsid w:val="00106763"/>
    <w:rsid w:val="00106DB2"/>
    <w:rsid w:val="00106EA4"/>
    <w:rsid w:val="00106F2E"/>
    <w:rsid w:val="0010747F"/>
    <w:rsid w:val="00107607"/>
    <w:rsid w:val="00107C78"/>
    <w:rsid w:val="0011035A"/>
    <w:rsid w:val="00110676"/>
    <w:rsid w:val="00110942"/>
    <w:rsid w:val="00110B1C"/>
    <w:rsid w:val="00110D41"/>
    <w:rsid w:val="00110F6A"/>
    <w:rsid w:val="0011157B"/>
    <w:rsid w:val="00111723"/>
    <w:rsid w:val="001120A1"/>
    <w:rsid w:val="001123FE"/>
    <w:rsid w:val="00112536"/>
    <w:rsid w:val="00112544"/>
    <w:rsid w:val="0011264A"/>
    <w:rsid w:val="0011267D"/>
    <w:rsid w:val="00112C02"/>
    <w:rsid w:val="00112C20"/>
    <w:rsid w:val="00112C3B"/>
    <w:rsid w:val="00113192"/>
    <w:rsid w:val="001135FD"/>
    <w:rsid w:val="00113836"/>
    <w:rsid w:val="00113B88"/>
    <w:rsid w:val="00113C23"/>
    <w:rsid w:val="00113D03"/>
    <w:rsid w:val="00114012"/>
    <w:rsid w:val="001149CD"/>
    <w:rsid w:val="00114A39"/>
    <w:rsid w:val="00114C0C"/>
    <w:rsid w:val="00115338"/>
    <w:rsid w:val="00115416"/>
    <w:rsid w:val="0011580D"/>
    <w:rsid w:val="001159A7"/>
    <w:rsid w:val="00115EE6"/>
    <w:rsid w:val="001165D7"/>
    <w:rsid w:val="001166B3"/>
    <w:rsid w:val="0011678C"/>
    <w:rsid w:val="00116BF4"/>
    <w:rsid w:val="00117553"/>
    <w:rsid w:val="0011761E"/>
    <w:rsid w:val="00117932"/>
    <w:rsid w:val="001200FD"/>
    <w:rsid w:val="001207D3"/>
    <w:rsid w:val="00120B3D"/>
    <w:rsid w:val="00120E0E"/>
    <w:rsid w:val="00120F0D"/>
    <w:rsid w:val="00120F50"/>
    <w:rsid w:val="00121871"/>
    <w:rsid w:val="001220EA"/>
    <w:rsid w:val="001228AB"/>
    <w:rsid w:val="0012293B"/>
    <w:rsid w:val="00122D17"/>
    <w:rsid w:val="00122F0A"/>
    <w:rsid w:val="00123CB0"/>
    <w:rsid w:val="00124585"/>
    <w:rsid w:val="00124739"/>
    <w:rsid w:val="00124AEF"/>
    <w:rsid w:val="00124B0F"/>
    <w:rsid w:val="00124B37"/>
    <w:rsid w:val="00124C73"/>
    <w:rsid w:val="00124F19"/>
    <w:rsid w:val="00125148"/>
    <w:rsid w:val="0012518B"/>
    <w:rsid w:val="001254D3"/>
    <w:rsid w:val="0012604F"/>
    <w:rsid w:val="001260CE"/>
    <w:rsid w:val="00126220"/>
    <w:rsid w:val="00126C91"/>
    <w:rsid w:val="00127483"/>
    <w:rsid w:val="00127C0B"/>
    <w:rsid w:val="00130501"/>
    <w:rsid w:val="001310AE"/>
    <w:rsid w:val="001312B7"/>
    <w:rsid w:val="00131369"/>
    <w:rsid w:val="001314AA"/>
    <w:rsid w:val="001327F5"/>
    <w:rsid w:val="001330B9"/>
    <w:rsid w:val="0013351C"/>
    <w:rsid w:val="001336F0"/>
    <w:rsid w:val="00134120"/>
    <w:rsid w:val="0013437A"/>
    <w:rsid w:val="0013469F"/>
    <w:rsid w:val="00134859"/>
    <w:rsid w:val="00134CF7"/>
    <w:rsid w:val="00134E5C"/>
    <w:rsid w:val="00135424"/>
    <w:rsid w:val="00135685"/>
    <w:rsid w:val="001358DE"/>
    <w:rsid w:val="00135EDC"/>
    <w:rsid w:val="0013642B"/>
    <w:rsid w:val="00136D98"/>
    <w:rsid w:val="0013760F"/>
    <w:rsid w:val="0014034E"/>
    <w:rsid w:val="0014048C"/>
    <w:rsid w:val="0014050C"/>
    <w:rsid w:val="001409FA"/>
    <w:rsid w:val="00140D63"/>
    <w:rsid w:val="00140F74"/>
    <w:rsid w:val="00140FC3"/>
    <w:rsid w:val="00141B72"/>
    <w:rsid w:val="00141DFC"/>
    <w:rsid w:val="00142509"/>
    <w:rsid w:val="00142A05"/>
    <w:rsid w:val="001430CD"/>
    <w:rsid w:val="00143138"/>
    <w:rsid w:val="001433D9"/>
    <w:rsid w:val="001434CE"/>
    <w:rsid w:val="00143DAA"/>
    <w:rsid w:val="00144053"/>
    <w:rsid w:val="001443F9"/>
    <w:rsid w:val="001444C5"/>
    <w:rsid w:val="001446C0"/>
    <w:rsid w:val="00144E24"/>
    <w:rsid w:val="0014561E"/>
    <w:rsid w:val="00145A1B"/>
    <w:rsid w:val="00145C35"/>
    <w:rsid w:val="00146903"/>
    <w:rsid w:val="0014769F"/>
    <w:rsid w:val="001479B6"/>
    <w:rsid w:val="00147AD9"/>
    <w:rsid w:val="00147F44"/>
    <w:rsid w:val="001500F3"/>
    <w:rsid w:val="00150450"/>
    <w:rsid w:val="00150BF1"/>
    <w:rsid w:val="00150D28"/>
    <w:rsid w:val="00150D97"/>
    <w:rsid w:val="00150FEB"/>
    <w:rsid w:val="001514DC"/>
    <w:rsid w:val="00151B46"/>
    <w:rsid w:val="00151C2B"/>
    <w:rsid w:val="001526EE"/>
    <w:rsid w:val="00152B68"/>
    <w:rsid w:val="00152D95"/>
    <w:rsid w:val="00153025"/>
    <w:rsid w:val="0015351C"/>
    <w:rsid w:val="00153638"/>
    <w:rsid w:val="00153C59"/>
    <w:rsid w:val="001550B0"/>
    <w:rsid w:val="00155989"/>
    <w:rsid w:val="00155DF9"/>
    <w:rsid w:val="00156396"/>
    <w:rsid w:val="00156460"/>
    <w:rsid w:val="0015681C"/>
    <w:rsid w:val="00156956"/>
    <w:rsid w:val="00156B05"/>
    <w:rsid w:val="001571B8"/>
    <w:rsid w:val="0015769B"/>
    <w:rsid w:val="00157AB7"/>
    <w:rsid w:val="00157BA2"/>
    <w:rsid w:val="00157FE8"/>
    <w:rsid w:val="001600E8"/>
    <w:rsid w:val="00160138"/>
    <w:rsid w:val="001601B9"/>
    <w:rsid w:val="00160234"/>
    <w:rsid w:val="0016036B"/>
    <w:rsid w:val="001603C0"/>
    <w:rsid w:val="0016070C"/>
    <w:rsid w:val="00160743"/>
    <w:rsid w:val="00160797"/>
    <w:rsid w:val="00160E15"/>
    <w:rsid w:val="0016230D"/>
    <w:rsid w:val="001623A4"/>
    <w:rsid w:val="00162AA0"/>
    <w:rsid w:val="00162B82"/>
    <w:rsid w:val="00162F0B"/>
    <w:rsid w:val="00163F1A"/>
    <w:rsid w:val="0016453C"/>
    <w:rsid w:val="00164F9B"/>
    <w:rsid w:val="001651CB"/>
    <w:rsid w:val="001658AF"/>
    <w:rsid w:val="00165F68"/>
    <w:rsid w:val="001664BE"/>
    <w:rsid w:val="00166AEF"/>
    <w:rsid w:val="001671EF"/>
    <w:rsid w:val="001672F5"/>
    <w:rsid w:val="00170684"/>
    <w:rsid w:val="001706A6"/>
    <w:rsid w:val="001706D6"/>
    <w:rsid w:val="00170AC2"/>
    <w:rsid w:val="00171209"/>
    <w:rsid w:val="0017134F"/>
    <w:rsid w:val="001717C3"/>
    <w:rsid w:val="00171BEA"/>
    <w:rsid w:val="00171D73"/>
    <w:rsid w:val="00172A27"/>
    <w:rsid w:val="00172A2E"/>
    <w:rsid w:val="001733E9"/>
    <w:rsid w:val="00173479"/>
    <w:rsid w:val="00173C65"/>
    <w:rsid w:val="001747B4"/>
    <w:rsid w:val="00174A6C"/>
    <w:rsid w:val="00174A78"/>
    <w:rsid w:val="00174D1B"/>
    <w:rsid w:val="001751AB"/>
    <w:rsid w:val="001758D9"/>
    <w:rsid w:val="00175B1E"/>
    <w:rsid w:val="00175CEC"/>
    <w:rsid w:val="00176282"/>
    <w:rsid w:val="001765BF"/>
    <w:rsid w:val="001777B1"/>
    <w:rsid w:val="00177A9C"/>
    <w:rsid w:val="00180986"/>
    <w:rsid w:val="001809C2"/>
    <w:rsid w:val="001809EA"/>
    <w:rsid w:val="00180F4A"/>
    <w:rsid w:val="00181628"/>
    <w:rsid w:val="001818E7"/>
    <w:rsid w:val="0018199C"/>
    <w:rsid w:val="001822DC"/>
    <w:rsid w:val="001823B7"/>
    <w:rsid w:val="001831CD"/>
    <w:rsid w:val="00183480"/>
    <w:rsid w:val="00183551"/>
    <w:rsid w:val="00183BBE"/>
    <w:rsid w:val="00183F6D"/>
    <w:rsid w:val="001850A3"/>
    <w:rsid w:val="0018512E"/>
    <w:rsid w:val="001856DF"/>
    <w:rsid w:val="001857A1"/>
    <w:rsid w:val="001862CA"/>
    <w:rsid w:val="00186AB2"/>
    <w:rsid w:val="00186F53"/>
    <w:rsid w:val="001876B0"/>
    <w:rsid w:val="00187C81"/>
    <w:rsid w:val="00187F83"/>
    <w:rsid w:val="00190012"/>
    <w:rsid w:val="0019003C"/>
    <w:rsid w:val="00190609"/>
    <w:rsid w:val="001908FE"/>
    <w:rsid w:val="00190C94"/>
    <w:rsid w:val="00191820"/>
    <w:rsid w:val="00191E22"/>
    <w:rsid w:val="001929B5"/>
    <w:rsid w:val="00192A3C"/>
    <w:rsid w:val="00192C71"/>
    <w:rsid w:val="00193303"/>
    <w:rsid w:val="00193FAB"/>
    <w:rsid w:val="001955B6"/>
    <w:rsid w:val="00195C6E"/>
    <w:rsid w:val="00195D77"/>
    <w:rsid w:val="00195FD9"/>
    <w:rsid w:val="00196208"/>
    <w:rsid w:val="001967DF"/>
    <w:rsid w:val="00196822"/>
    <w:rsid w:val="00196D05"/>
    <w:rsid w:val="0019793A"/>
    <w:rsid w:val="00197BBA"/>
    <w:rsid w:val="00197D63"/>
    <w:rsid w:val="001A007F"/>
    <w:rsid w:val="001A0931"/>
    <w:rsid w:val="001A09A5"/>
    <w:rsid w:val="001A0B2E"/>
    <w:rsid w:val="001A1491"/>
    <w:rsid w:val="001A1929"/>
    <w:rsid w:val="001A1AB9"/>
    <w:rsid w:val="001A1D06"/>
    <w:rsid w:val="001A1DA9"/>
    <w:rsid w:val="001A2060"/>
    <w:rsid w:val="001A215A"/>
    <w:rsid w:val="001A25B9"/>
    <w:rsid w:val="001A2952"/>
    <w:rsid w:val="001A29D5"/>
    <w:rsid w:val="001A3418"/>
    <w:rsid w:val="001A3828"/>
    <w:rsid w:val="001A3A8D"/>
    <w:rsid w:val="001A4249"/>
    <w:rsid w:val="001A42D8"/>
    <w:rsid w:val="001A4437"/>
    <w:rsid w:val="001A4527"/>
    <w:rsid w:val="001A49E8"/>
    <w:rsid w:val="001A56C9"/>
    <w:rsid w:val="001A571E"/>
    <w:rsid w:val="001A5840"/>
    <w:rsid w:val="001A6073"/>
    <w:rsid w:val="001A7146"/>
    <w:rsid w:val="001A781A"/>
    <w:rsid w:val="001A7932"/>
    <w:rsid w:val="001A7C03"/>
    <w:rsid w:val="001A7C6E"/>
    <w:rsid w:val="001B0C8E"/>
    <w:rsid w:val="001B1EC3"/>
    <w:rsid w:val="001B2072"/>
    <w:rsid w:val="001B238B"/>
    <w:rsid w:val="001B27D2"/>
    <w:rsid w:val="001B2CCB"/>
    <w:rsid w:val="001B2CF5"/>
    <w:rsid w:val="001B34DE"/>
    <w:rsid w:val="001B3C17"/>
    <w:rsid w:val="001B4231"/>
    <w:rsid w:val="001B441C"/>
    <w:rsid w:val="001B4CB4"/>
    <w:rsid w:val="001B5513"/>
    <w:rsid w:val="001B5626"/>
    <w:rsid w:val="001B5FDC"/>
    <w:rsid w:val="001B678F"/>
    <w:rsid w:val="001B7259"/>
    <w:rsid w:val="001B7AB0"/>
    <w:rsid w:val="001B7B7A"/>
    <w:rsid w:val="001B7C36"/>
    <w:rsid w:val="001B7FCF"/>
    <w:rsid w:val="001C0F37"/>
    <w:rsid w:val="001C1551"/>
    <w:rsid w:val="001C1779"/>
    <w:rsid w:val="001C1A4F"/>
    <w:rsid w:val="001C3A86"/>
    <w:rsid w:val="001C3CA9"/>
    <w:rsid w:val="001C3E42"/>
    <w:rsid w:val="001C3FF9"/>
    <w:rsid w:val="001C4224"/>
    <w:rsid w:val="001C45D3"/>
    <w:rsid w:val="001C460B"/>
    <w:rsid w:val="001C4A25"/>
    <w:rsid w:val="001C50A6"/>
    <w:rsid w:val="001C5613"/>
    <w:rsid w:val="001C5AD5"/>
    <w:rsid w:val="001C5F01"/>
    <w:rsid w:val="001C635C"/>
    <w:rsid w:val="001C6610"/>
    <w:rsid w:val="001C66BE"/>
    <w:rsid w:val="001C6E68"/>
    <w:rsid w:val="001C6F46"/>
    <w:rsid w:val="001C711B"/>
    <w:rsid w:val="001C7287"/>
    <w:rsid w:val="001C738A"/>
    <w:rsid w:val="001C7CBC"/>
    <w:rsid w:val="001C7F32"/>
    <w:rsid w:val="001D0B5F"/>
    <w:rsid w:val="001D0EAC"/>
    <w:rsid w:val="001D11FF"/>
    <w:rsid w:val="001D12B8"/>
    <w:rsid w:val="001D1679"/>
    <w:rsid w:val="001D18D9"/>
    <w:rsid w:val="001D1A3D"/>
    <w:rsid w:val="001D1AB8"/>
    <w:rsid w:val="001D1D43"/>
    <w:rsid w:val="001D2000"/>
    <w:rsid w:val="001D26A5"/>
    <w:rsid w:val="001D2D39"/>
    <w:rsid w:val="001D36DF"/>
    <w:rsid w:val="001D372E"/>
    <w:rsid w:val="001D3745"/>
    <w:rsid w:val="001D45BB"/>
    <w:rsid w:val="001D4822"/>
    <w:rsid w:val="001D4CAC"/>
    <w:rsid w:val="001D53EF"/>
    <w:rsid w:val="001D5480"/>
    <w:rsid w:val="001D59CC"/>
    <w:rsid w:val="001D611D"/>
    <w:rsid w:val="001D6470"/>
    <w:rsid w:val="001D6D2F"/>
    <w:rsid w:val="001D7121"/>
    <w:rsid w:val="001D7764"/>
    <w:rsid w:val="001D7DC3"/>
    <w:rsid w:val="001E05A3"/>
    <w:rsid w:val="001E06EF"/>
    <w:rsid w:val="001E0A09"/>
    <w:rsid w:val="001E144C"/>
    <w:rsid w:val="001E14EC"/>
    <w:rsid w:val="001E293D"/>
    <w:rsid w:val="001E29D1"/>
    <w:rsid w:val="001E2A93"/>
    <w:rsid w:val="001E2BA8"/>
    <w:rsid w:val="001E2CF0"/>
    <w:rsid w:val="001E33B2"/>
    <w:rsid w:val="001E372E"/>
    <w:rsid w:val="001E3BD6"/>
    <w:rsid w:val="001E3D74"/>
    <w:rsid w:val="001E45F1"/>
    <w:rsid w:val="001E52DD"/>
    <w:rsid w:val="001E5C90"/>
    <w:rsid w:val="001E61B9"/>
    <w:rsid w:val="001E671D"/>
    <w:rsid w:val="001E67F2"/>
    <w:rsid w:val="001E6BBB"/>
    <w:rsid w:val="001E733B"/>
    <w:rsid w:val="001E7466"/>
    <w:rsid w:val="001E75A3"/>
    <w:rsid w:val="001E75B0"/>
    <w:rsid w:val="001E75B7"/>
    <w:rsid w:val="001E7811"/>
    <w:rsid w:val="001E79AC"/>
    <w:rsid w:val="001E7D20"/>
    <w:rsid w:val="001F00C8"/>
    <w:rsid w:val="001F03ED"/>
    <w:rsid w:val="001F08D1"/>
    <w:rsid w:val="001F0CB1"/>
    <w:rsid w:val="001F0CF0"/>
    <w:rsid w:val="001F0E99"/>
    <w:rsid w:val="001F13DC"/>
    <w:rsid w:val="001F1456"/>
    <w:rsid w:val="001F175A"/>
    <w:rsid w:val="001F17F4"/>
    <w:rsid w:val="001F1BC1"/>
    <w:rsid w:val="001F2292"/>
    <w:rsid w:val="001F246F"/>
    <w:rsid w:val="001F252E"/>
    <w:rsid w:val="001F2AA5"/>
    <w:rsid w:val="001F43FC"/>
    <w:rsid w:val="001F44FF"/>
    <w:rsid w:val="001F4623"/>
    <w:rsid w:val="001F492C"/>
    <w:rsid w:val="001F4D9D"/>
    <w:rsid w:val="001F51CB"/>
    <w:rsid w:val="001F5755"/>
    <w:rsid w:val="001F5C3D"/>
    <w:rsid w:val="001F5D2D"/>
    <w:rsid w:val="001F6588"/>
    <w:rsid w:val="001F664A"/>
    <w:rsid w:val="001F665F"/>
    <w:rsid w:val="001F6FDF"/>
    <w:rsid w:val="001F72CB"/>
    <w:rsid w:val="001F74F6"/>
    <w:rsid w:val="001F7A31"/>
    <w:rsid w:val="001F7CF5"/>
    <w:rsid w:val="001F7DEC"/>
    <w:rsid w:val="001F7EC7"/>
    <w:rsid w:val="002004FB"/>
    <w:rsid w:val="00200801"/>
    <w:rsid w:val="00200C4A"/>
    <w:rsid w:val="0020181E"/>
    <w:rsid w:val="00201B76"/>
    <w:rsid w:val="00201CED"/>
    <w:rsid w:val="002023D2"/>
    <w:rsid w:val="002023ED"/>
    <w:rsid w:val="00202A5D"/>
    <w:rsid w:val="002031D5"/>
    <w:rsid w:val="002038FB"/>
    <w:rsid w:val="002039C5"/>
    <w:rsid w:val="00203E07"/>
    <w:rsid w:val="00203E5A"/>
    <w:rsid w:val="0020443D"/>
    <w:rsid w:val="00204AD3"/>
    <w:rsid w:val="0020548D"/>
    <w:rsid w:val="0020558D"/>
    <w:rsid w:val="002058D8"/>
    <w:rsid w:val="00205E1A"/>
    <w:rsid w:val="00206603"/>
    <w:rsid w:val="00206830"/>
    <w:rsid w:val="00206861"/>
    <w:rsid w:val="00206D1B"/>
    <w:rsid w:val="002073BF"/>
    <w:rsid w:val="00207731"/>
    <w:rsid w:val="0021063A"/>
    <w:rsid w:val="0021106D"/>
    <w:rsid w:val="002110A8"/>
    <w:rsid w:val="0021142C"/>
    <w:rsid w:val="00211656"/>
    <w:rsid w:val="00211E2A"/>
    <w:rsid w:val="00211F2C"/>
    <w:rsid w:val="00212215"/>
    <w:rsid w:val="00212527"/>
    <w:rsid w:val="0021301A"/>
    <w:rsid w:val="00213234"/>
    <w:rsid w:val="002135CB"/>
    <w:rsid w:val="00213E31"/>
    <w:rsid w:val="00214254"/>
    <w:rsid w:val="00214E51"/>
    <w:rsid w:val="00215983"/>
    <w:rsid w:val="00215CB4"/>
    <w:rsid w:val="00216021"/>
    <w:rsid w:val="0021682B"/>
    <w:rsid w:val="00216B0F"/>
    <w:rsid w:val="00216B7F"/>
    <w:rsid w:val="0021724B"/>
    <w:rsid w:val="0021765E"/>
    <w:rsid w:val="0021774D"/>
    <w:rsid w:val="00217A67"/>
    <w:rsid w:val="00217B83"/>
    <w:rsid w:val="00220512"/>
    <w:rsid w:val="002209B4"/>
    <w:rsid w:val="00220BCA"/>
    <w:rsid w:val="00221A6F"/>
    <w:rsid w:val="00222A43"/>
    <w:rsid w:val="00222C24"/>
    <w:rsid w:val="00222EF8"/>
    <w:rsid w:val="00222F68"/>
    <w:rsid w:val="0022304D"/>
    <w:rsid w:val="002230FF"/>
    <w:rsid w:val="00223711"/>
    <w:rsid w:val="002248F3"/>
    <w:rsid w:val="00224CB0"/>
    <w:rsid w:val="00224D2A"/>
    <w:rsid w:val="00224D3E"/>
    <w:rsid w:val="00224FFB"/>
    <w:rsid w:val="0022520A"/>
    <w:rsid w:val="00225579"/>
    <w:rsid w:val="00225D92"/>
    <w:rsid w:val="0022625C"/>
    <w:rsid w:val="0022641A"/>
    <w:rsid w:val="0022644C"/>
    <w:rsid w:val="002269A6"/>
    <w:rsid w:val="002273B8"/>
    <w:rsid w:val="00227C3C"/>
    <w:rsid w:val="00227CF6"/>
    <w:rsid w:val="002306A4"/>
    <w:rsid w:val="002308C8"/>
    <w:rsid w:val="00230E01"/>
    <w:rsid w:val="00231AC8"/>
    <w:rsid w:val="00231F98"/>
    <w:rsid w:val="00231F9A"/>
    <w:rsid w:val="00232319"/>
    <w:rsid w:val="002323A7"/>
    <w:rsid w:val="002328E4"/>
    <w:rsid w:val="00232A25"/>
    <w:rsid w:val="00232A7C"/>
    <w:rsid w:val="00232B79"/>
    <w:rsid w:val="00232BE8"/>
    <w:rsid w:val="00232E11"/>
    <w:rsid w:val="002330D1"/>
    <w:rsid w:val="00233478"/>
    <w:rsid w:val="0023360A"/>
    <w:rsid w:val="00233A0B"/>
    <w:rsid w:val="00234464"/>
    <w:rsid w:val="0023470F"/>
    <w:rsid w:val="00234D46"/>
    <w:rsid w:val="00234EB1"/>
    <w:rsid w:val="00234F53"/>
    <w:rsid w:val="0023616A"/>
    <w:rsid w:val="00236F50"/>
    <w:rsid w:val="002400BD"/>
    <w:rsid w:val="00240D90"/>
    <w:rsid w:val="00240DC8"/>
    <w:rsid w:val="00240EF5"/>
    <w:rsid w:val="0024134F"/>
    <w:rsid w:val="00241AB8"/>
    <w:rsid w:val="00241FE0"/>
    <w:rsid w:val="0024232F"/>
    <w:rsid w:val="00242760"/>
    <w:rsid w:val="00244083"/>
    <w:rsid w:val="0024462E"/>
    <w:rsid w:val="0024502D"/>
    <w:rsid w:val="00245BCF"/>
    <w:rsid w:val="00245C50"/>
    <w:rsid w:val="00245CFF"/>
    <w:rsid w:val="00245FF5"/>
    <w:rsid w:val="00246027"/>
    <w:rsid w:val="00246773"/>
    <w:rsid w:val="00246AEA"/>
    <w:rsid w:val="00247650"/>
    <w:rsid w:val="00247AE1"/>
    <w:rsid w:val="00247D55"/>
    <w:rsid w:val="00250A41"/>
    <w:rsid w:val="00250F4F"/>
    <w:rsid w:val="00251148"/>
    <w:rsid w:val="00251E76"/>
    <w:rsid w:val="00252914"/>
    <w:rsid w:val="00252A30"/>
    <w:rsid w:val="00252EAC"/>
    <w:rsid w:val="00252F69"/>
    <w:rsid w:val="00253C66"/>
    <w:rsid w:val="0025441A"/>
    <w:rsid w:val="002549CE"/>
    <w:rsid w:val="00254B63"/>
    <w:rsid w:val="00254E56"/>
    <w:rsid w:val="00254E69"/>
    <w:rsid w:val="00254FF6"/>
    <w:rsid w:val="00255321"/>
    <w:rsid w:val="002555D2"/>
    <w:rsid w:val="00255799"/>
    <w:rsid w:val="002560F3"/>
    <w:rsid w:val="002563DB"/>
    <w:rsid w:val="00257161"/>
    <w:rsid w:val="00257175"/>
    <w:rsid w:val="0025734D"/>
    <w:rsid w:val="00257975"/>
    <w:rsid w:val="00257C77"/>
    <w:rsid w:val="00257D92"/>
    <w:rsid w:val="00261811"/>
    <w:rsid w:val="002632A4"/>
    <w:rsid w:val="00263530"/>
    <w:rsid w:val="00263601"/>
    <w:rsid w:val="00263958"/>
    <w:rsid w:val="00263B7A"/>
    <w:rsid w:val="0026424D"/>
    <w:rsid w:val="00264414"/>
    <w:rsid w:val="00264893"/>
    <w:rsid w:val="002648D7"/>
    <w:rsid w:val="00264BEF"/>
    <w:rsid w:val="00264FB0"/>
    <w:rsid w:val="00264FDD"/>
    <w:rsid w:val="002653A1"/>
    <w:rsid w:val="002656BB"/>
    <w:rsid w:val="00265FD8"/>
    <w:rsid w:val="00266051"/>
    <w:rsid w:val="0026623C"/>
    <w:rsid w:val="00266469"/>
    <w:rsid w:val="00266B7C"/>
    <w:rsid w:val="00266C55"/>
    <w:rsid w:val="00266E6F"/>
    <w:rsid w:val="00267014"/>
    <w:rsid w:val="002672CD"/>
    <w:rsid w:val="0026749D"/>
    <w:rsid w:val="002678D4"/>
    <w:rsid w:val="002706FA"/>
    <w:rsid w:val="00270A96"/>
    <w:rsid w:val="00270BA7"/>
    <w:rsid w:val="00270DC1"/>
    <w:rsid w:val="002711D2"/>
    <w:rsid w:val="00271388"/>
    <w:rsid w:val="002714BE"/>
    <w:rsid w:val="002716E8"/>
    <w:rsid w:val="00272C0D"/>
    <w:rsid w:val="00272E0A"/>
    <w:rsid w:val="00272F30"/>
    <w:rsid w:val="002733D8"/>
    <w:rsid w:val="0027392C"/>
    <w:rsid w:val="002739E3"/>
    <w:rsid w:val="00273A3B"/>
    <w:rsid w:val="00273A92"/>
    <w:rsid w:val="00274572"/>
    <w:rsid w:val="00274B3C"/>
    <w:rsid w:val="002752FE"/>
    <w:rsid w:val="002753F1"/>
    <w:rsid w:val="00275505"/>
    <w:rsid w:val="00275D93"/>
    <w:rsid w:val="002769ED"/>
    <w:rsid w:val="00276BA8"/>
    <w:rsid w:val="00276E5B"/>
    <w:rsid w:val="002806B3"/>
    <w:rsid w:val="00280C38"/>
    <w:rsid w:val="00280C91"/>
    <w:rsid w:val="00280DAC"/>
    <w:rsid w:val="00280E5A"/>
    <w:rsid w:val="00280F13"/>
    <w:rsid w:val="0028172D"/>
    <w:rsid w:val="002818E5"/>
    <w:rsid w:val="00281BDA"/>
    <w:rsid w:val="00281F56"/>
    <w:rsid w:val="0028219D"/>
    <w:rsid w:val="0028306F"/>
    <w:rsid w:val="00283099"/>
    <w:rsid w:val="0028339B"/>
    <w:rsid w:val="002833CE"/>
    <w:rsid w:val="002841F5"/>
    <w:rsid w:val="0028560C"/>
    <w:rsid w:val="002857EC"/>
    <w:rsid w:val="00285975"/>
    <w:rsid w:val="00285AB4"/>
    <w:rsid w:val="00285FBE"/>
    <w:rsid w:val="00285FBF"/>
    <w:rsid w:val="002870DB"/>
    <w:rsid w:val="002874CD"/>
    <w:rsid w:val="0028785D"/>
    <w:rsid w:val="00287BE9"/>
    <w:rsid w:val="00287C81"/>
    <w:rsid w:val="00290863"/>
    <w:rsid w:val="00290BDD"/>
    <w:rsid w:val="00290EFC"/>
    <w:rsid w:val="002911E2"/>
    <w:rsid w:val="002912EA"/>
    <w:rsid w:val="00291691"/>
    <w:rsid w:val="00291705"/>
    <w:rsid w:val="00291A83"/>
    <w:rsid w:val="00291BC2"/>
    <w:rsid w:val="00291BDB"/>
    <w:rsid w:val="00291BE6"/>
    <w:rsid w:val="00292485"/>
    <w:rsid w:val="00292567"/>
    <w:rsid w:val="002925EB"/>
    <w:rsid w:val="00292F7E"/>
    <w:rsid w:val="002930E1"/>
    <w:rsid w:val="002936CB"/>
    <w:rsid w:val="002939EB"/>
    <w:rsid w:val="00294CC6"/>
    <w:rsid w:val="0029530B"/>
    <w:rsid w:val="002967EE"/>
    <w:rsid w:val="00297238"/>
    <w:rsid w:val="0029734A"/>
    <w:rsid w:val="0029735F"/>
    <w:rsid w:val="00297826"/>
    <w:rsid w:val="00297A6B"/>
    <w:rsid w:val="00297B8F"/>
    <w:rsid w:val="00297E7E"/>
    <w:rsid w:val="002A057E"/>
    <w:rsid w:val="002A0D03"/>
    <w:rsid w:val="002A10BC"/>
    <w:rsid w:val="002A10E3"/>
    <w:rsid w:val="002A1110"/>
    <w:rsid w:val="002A1922"/>
    <w:rsid w:val="002A1D03"/>
    <w:rsid w:val="002A1DFE"/>
    <w:rsid w:val="002A2212"/>
    <w:rsid w:val="002A252C"/>
    <w:rsid w:val="002A28C4"/>
    <w:rsid w:val="002A2D15"/>
    <w:rsid w:val="002A33E7"/>
    <w:rsid w:val="002A3B81"/>
    <w:rsid w:val="002A4028"/>
    <w:rsid w:val="002A40C9"/>
    <w:rsid w:val="002A460A"/>
    <w:rsid w:val="002A4621"/>
    <w:rsid w:val="002A4739"/>
    <w:rsid w:val="002A4982"/>
    <w:rsid w:val="002A5A70"/>
    <w:rsid w:val="002A5ACD"/>
    <w:rsid w:val="002A5F1B"/>
    <w:rsid w:val="002A5FB6"/>
    <w:rsid w:val="002A6627"/>
    <w:rsid w:val="002A6721"/>
    <w:rsid w:val="002A6D64"/>
    <w:rsid w:val="002A6EB5"/>
    <w:rsid w:val="002A72B6"/>
    <w:rsid w:val="002A75CD"/>
    <w:rsid w:val="002A77E1"/>
    <w:rsid w:val="002A7E69"/>
    <w:rsid w:val="002B0C83"/>
    <w:rsid w:val="002B0F0B"/>
    <w:rsid w:val="002B1990"/>
    <w:rsid w:val="002B1DF3"/>
    <w:rsid w:val="002B1E6A"/>
    <w:rsid w:val="002B200F"/>
    <w:rsid w:val="002B2E3F"/>
    <w:rsid w:val="002B31F9"/>
    <w:rsid w:val="002B332B"/>
    <w:rsid w:val="002B33C6"/>
    <w:rsid w:val="002B3504"/>
    <w:rsid w:val="002B3854"/>
    <w:rsid w:val="002B3B71"/>
    <w:rsid w:val="002B3C0D"/>
    <w:rsid w:val="002B4E56"/>
    <w:rsid w:val="002B5073"/>
    <w:rsid w:val="002B5591"/>
    <w:rsid w:val="002B55F7"/>
    <w:rsid w:val="002B5B73"/>
    <w:rsid w:val="002B5C24"/>
    <w:rsid w:val="002B603E"/>
    <w:rsid w:val="002B62E2"/>
    <w:rsid w:val="002B69DE"/>
    <w:rsid w:val="002B72D7"/>
    <w:rsid w:val="002B79EF"/>
    <w:rsid w:val="002B7A5D"/>
    <w:rsid w:val="002B7A66"/>
    <w:rsid w:val="002B7D33"/>
    <w:rsid w:val="002C084C"/>
    <w:rsid w:val="002C091C"/>
    <w:rsid w:val="002C099C"/>
    <w:rsid w:val="002C10C5"/>
    <w:rsid w:val="002C1537"/>
    <w:rsid w:val="002C17FD"/>
    <w:rsid w:val="002C1840"/>
    <w:rsid w:val="002C1AAC"/>
    <w:rsid w:val="002C1F27"/>
    <w:rsid w:val="002C2B8C"/>
    <w:rsid w:val="002C2B9A"/>
    <w:rsid w:val="002C31A8"/>
    <w:rsid w:val="002C378E"/>
    <w:rsid w:val="002C395A"/>
    <w:rsid w:val="002C3A6B"/>
    <w:rsid w:val="002C4050"/>
    <w:rsid w:val="002C4433"/>
    <w:rsid w:val="002C4D23"/>
    <w:rsid w:val="002C5402"/>
    <w:rsid w:val="002C55E9"/>
    <w:rsid w:val="002C6C67"/>
    <w:rsid w:val="002C6D4A"/>
    <w:rsid w:val="002C7765"/>
    <w:rsid w:val="002C7ACB"/>
    <w:rsid w:val="002C7C9E"/>
    <w:rsid w:val="002D03CB"/>
    <w:rsid w:val="002D08F0"/>
    <w:rsid w:val="002D096B"/>
    <w:rsid w:val="002D0EC0"/>
    <w:rsid w:val="002D0ED7"/>
    <w:rsid w:val="002D171A"/>
    <w:rsid w:val="002D1C9A"/>
    <w:rsid w:val="002D1EDB"/>
    <w:rsid w:val="002D22C5"/>
    <w:rsid w:val="002D3A45"/>
    <w:rsid w:val="002D3C59"/>
    <w:rsid w:val="002D3F4B"/>
    <w:rsid w:val="002D4429"/>
    <w:rsid w:val="002D4A61"/>
    <w:rsid w:val="002D51BC"/>
    <w:rsid w:val="002D5464"/>
    <w:rsid w:val="002D6761"/>
    <w:rsid w:val="002D6AA7"/>
    <w:rsid w:val="002D6D41"/>
    <w:rsid w:val="002D6DB3"/>
    <w:rsid w:val="002D6E5D"/>
    <w:rsid w:val="002E005B"/>
    <w:rsid w:val="002E08CF"/>
    <w:rsid w:val="002E0D5C"/>
    <w:rsid w:val="002E0D91"/>
    <w:rsid w:val="002E0E0C"/>
    <w:rsid w:val="002E1078"/>
    <w:rsid w:val="002E110E"/>
    <w:rsid w:val="002E115D"/>
    <w:rsid w:val="002E1677"/>
    <w:rsid w:val="002E1EFE"/>
    <w:rsid w:val="002E224C"/>
    <w:rsid w:val="002E2D04"/>
    <w:rsid w:val="002E3744"/>
    <w:rsid w:val="002E436B"/>
    <w:rsid w:val="002E4F5E"/>
    <w:rsid w:val="002E504E"/>
    <w:rsid w:val="002E50F3"/>
    <w:rsid w:val="002E5747"/>
    <w:rsid w:val="002E5D98"/>
    <w:rsid w:val="002E5E4F"/>
    <w:rsid w:val="002E62B7"/>
    <w:rsid w:val="002E67C8"/>
    <w:rsid w:val="002E6B95"/>
    <w:rsid w:val="002E6CE7"/>
    <w:rsid w:val="002E7110"/>
    <w:rsid w:val="002E77E2"/>
    <w:rsid w:val="002E7B7A"/>
    <w:rsid w:val="002F054F"/>
    <w:rsid w:val="002F0564"/>
    <w:rsid w:val="002F0CFC"/>
    <w:rsid w:val="002F0E39"/>
    <w:rsid w:val="002F1330"/>
    <w:rsid w:val="002F1444"/>
    <w:rsid w:val="002F1539"/>
    <w:rsid w:val="002F17FE"/>
    <w:rsid w:val="002F2464"/>
    <w:rsid w:val="002F2ADE"/>
    <w:rsid w:val="002F3651"/>
    <w:rsid w:val="002F3832"/>
    <w:rsid w:val="002F3ADE"/>
    <w:rsid w:val="002F3C13"/>
    <w:rsid w:val="002F428A"/>
    <w:rsid w:val="002F438C"/>
    <w:rsid w:val="002F4694"/>
    <w:rsid w:val="002F4B02"/>
    <w:rsid w:val="002F4C07"/>
    <w:rsid w:val="002F559E"/>
    <w:rsid w:val="002F6B60"/>
    <w:rsid w:val="002F6DB5"/>
    <w:rsid w:val="002F6F20"/>
    <w:rsid w:val="002F6F5C"/>
    <w:rsid w:val="002F700F"/>
    <w:rsid w:val="002F737C"/>
    <w:rsid w:val="002F73A0"/>
    <w:rsid w:val="002F73F7"/>
    <w:rsid w:val="002F7B7B"/>
    <w:rsid w:val="002F7B9B"/>
    <w:rsid w:val="002F7C5D"/>
    <w:rsid w:val="002F7FBA"/>
    <w:rsid w:val="0030042E"/>
    <w:rsid w:val="003005A7"/>
    <w:rsid w:val="003005E8"/>
    <w:rsid w:val="00300704"/>
    <w:rsid w:val="0030090C"/>
    <w:rsid w:val="003009BA"/>
    <w:rsid w:val="00301081"/>
    <w:rsid w:val="00301373"/>
    <w:rsid w:val="00301D3B"/>
    <w:rsid w:val="00302058"/>
    <w:rsid w:val="003030BE"/>
    <w:rsid w:val="003039B1"/>
    <w:rsid w:val="00303BE5"/>
    <w:rsid w:val="00304181"/>
    <w:rsid w:val="0030447D"/>
    <w:rsid w:val="00304C2D"/>
    <w:rsid w:val="00304F08"/>
    <w:rsid w:val="003053B1"/>
    <w:rsid w:val="00305824"/>
    <w:rsid w:val="00305B91"/>
    <w:rsid w:val="00305BD9"/>
    <w:rsid w:val="00305C17"/>
    <w:rsid w:val="00305D47"/>
    <w:rsid w:val="00305E18"/>
    <w:rsid w:val="00305F5D"/>
    <w:rsid w:val="00305FC3"/>
    <w:rsid w:val="003060E0"/>
    <w:rsid w:val="00306295"/>
    <w:rsid w:val="00306475"/>
    <w:rsid w:val="00306EBA"/>
    <w:rsid w:val="0030721B"/>
    <w:rsid w:val="003077B3"/>
    <w:rsid w:val="003078DD"/>
    <w:rsid w:val="003079B6"/>
    <w:rsid w:val="00307DF8"/>
    <w:rsid w:val="00307F7E"/>
    <w:rsid w:val="003102B8"/>
    <w:rsid w:val="003102FD"/>
    <w:rsid w:val="003103AB"/>
    <w:rsid w:val="003105EA"/>
    <w:rsid w:val="003107F9"/>
    <w:rsid w:val="00310D0D"/>
    <w:rsid w:val="00310E53"/>
    <w:rsid w:val="003111D5"/>
    <w:rsid w:val="00311DEB"/>
    <w:rsid w:val="00311E13"/>
    <w:rsid w:val="003127F5"/>
    <w:rsid w:val="00312B3B"/>
    <w:rsid w:val="003138FB"/>
    <w:rsid w:val="003139C4"/>
    <w:rsid w:val="003139FE"/>
    <w:rsid w:val="00313AC2"/>
    <w:rsid w:val="00313C9A"/>
    <w:rsid w:val="00313FA5"/>
    <w:rsid w:val="00314CD1"/>
    <w:rsid w:val="00314EDB"/>
    <w:rsid w:val="00314FC4"/>
    <w:rsid w:val="0031547C"/>
    <w:rsid w:val="00315812"/>
    <w:rsid w:val="00315835"/>
    <w:rsid w:val="00315A68"/>
    <w:rsid w:val="00315AA5"/>
    <w:rsid w:val="00315AE5"/>
    <w:rsid w:val="00315F3B"/>
    <w:rsid w:val="0031627F"/>
    <w:rsid w:val="00316813"/>
    <w:rsid w:val="0031688C"/>
    <w:rsid w:val="00316893"/>
    <w:rsid w:val="00317684"/>
    <w:rsid w:val="003205A9"/>
    <w:rsid w:val="00320826"/>
    <w:rsid w:val="00320CCD"/>
    <w:rsid w:val="00320D36"/>
    <w:rsid w:val="00320F26"/>
    <w:rsid w:val="003211BF"/>
    <w:rsid w:val="00321575"/>
    <w:rsid w:val="00321A82"/>
    <w:rsid w:val="00321B09"/>
    <w:rsid w:val="00321C37"/>
    <w:rsid w:val="00321C38"/>
    <w:rsid w:val="00321EE4"/>
    <w:rsid w:val="0032209A"/>
    <w:rsid w:val="003226EC"/>
    <w:rsid w:val="00322AF1"/>
    <w:rsid w:val="00322C7D"/>
    <w:rsid w:val="00323026"/>
    <w:rsid w:val="003230CE"/>
    <w:rsid w:val="003231E8"/>
    <w:rsid w:val="00323325"/>
    <w:rsid w:val="003237D5"/>
    <w:rsid w:val="00323A86"/>
    <w:rsid w:val="00323CAE"/>
    <w:rsid w:val="00323E5C"/>
    <w:rsid w:val="00323FFF"/>
    <w:rsid w:val="003246D3"/>
    <w:rsid w:val="00324FC8"/>
    <w:rsid w:val="00325287"/>
    <w:rsid w:val="0032561B"/>
    <w:rsid w:val="003259B0"/>
    <w:rsid w:val="00325C22"/>
    <w:rsid w:val="00325F21"/>
    <w:rsid w:val="003266E0"/>
    <w:rsid w:val="0032743E"/>
    <w:rsid w:val="00327517"/>
    <w:rsid w:val="00331A9E"/>
    <w:rsid w:val="00331B0E"/>
    <w:rsid w:val="00331BFA"/>
    <w:rsid w:val="00331DB7"/>
    <w:rsid w:val="00331E57"/>
    <w:rsid w:val="0033266C"/>
    <w:rsid w:val="00332C70"/>
    <w:rsid w:val="0033328E"/>
    <w:rsid w:val="00333628"/>
    <w:rsid w:val="00333685"/>
    <w:rsid w:val="00333A3B"/>
    <w:rsid w:val="00333F27"/>
    <w:rsid w:val="00333FBF"/>
    <w:rsid w:val="00334254"/>
    <w:rsid w:val="0033437A"/>
    <w:rsid w:val="003347C3"/>
    <w:rsid w:val="00334B0E"/>
    <w:rsid w:val="00334E71"/>
    <w:rsid w:val="0033586B"/>
    <w:rsid w:val="00336079"/>
    <w:rsid w:val="003366F9"/>
    <w:rsid w:val="00336B22"/>
    <w:rsid w:val="00336D88"/>
    <w:rsid w:val="003375C7"/>
    <w:rsid w:val="00337A2B"/>
    <w:rsid w:val="003400F8"/>
    <w:rsid w:val="003408ED"/>
    <w:rsid w:val="00340A9C"/>
    <w:rsid w:val="00340C77"/>
    <w:rsid w:val="00341FE0"/>
    <w:rsid w:val="003424F6"/>
    <w:rsid w:val="00342CD0"/>
    <w:rsid w:val="0034300B"/>
    <w:rsid w:val="003435A4"/>
    <w:rsid w:val="003437A7"/>
    <w:rsid w:val="00344B61"/>
    <w:rsid w:val="00344C69"/>
    <w:rsid w:val="00345B77"/>
    <w:rsid w:val="00345C2A"/>
    <w:rsid w:val="00345CA3"/>
    <w:rsid w:val="00345EAB"/>
    <w:rsid w:val="0034602A"/>
    <w:rsid w:val="003464F8"/>
    <w:rsid w:val="003466B2"/>
    <w:rsid w:val="003468D9"/>
    <w:rsid w:val="0034693A"/>
    <w:rsid w:val="00346DBA"/>
    <w:rsid w:val="00346FB7"/>
    <w:rsid w:val="003479C3"/>
    <w:rsid w:val="00347C22"/>
    <w:rsid w:val="00347E70"/>
    <w:rsid w:val="003516D0"/>
    <w:rsid w:val="0035205B"/>
    <w:rsid w:val="00352471"/>
    <w:rsid w:val="003528C8"/>
    <w:rsid w:val="00353F1C"/>
    <w:rsid w:val="003542B8"/>
    <w:rsid w:val="003546FC"/>
    <w:rsid w:val="00354808"/>
    <w:rsid w:val="003551FF"/>
    <w:rsid w:val="003553E7"/>
    <w:rsid w:val="00355ABB"/>
    <w:rsid w:val="00355E7A"/>
    <w:rsid w:val="003560EC"/>
    <w:rsid w:val="0035631A"/>
    <w:rsid w:val="003565F7"/>
    <w:rsid w:val="003569ED"/>
    <w:rsid w:val="00356E57"/>
    <w:rsid w:val="00357268"/>
    <w:rsid w:val="00357374"/>
    <w:rsid w:val="00357517"/>
    <w:rsid w:val="00357546"/>
    <w:rsid w:val="00357BFD"/>
    <w:rsid w:val="00357ED5"/>
    <w:rsid w:val="00360729"/>
    <w:rsid w:val="00360F58"/>
    <w:rsid w:val="00361085"/>
    <w:rsid w:val="00361425"/>
    <w:rsid w:val="0036173B"/>
    <w:rsid w:val="00362502"/>
    <w:rsid w:val="003627AD"/>
    <w:rsid w:val="00362A62"/>
    <w:rsid w:val="00362BAF"/>
    <w:rsid w:val="00362D49"/>
    <w:rsid w:val="0036308F"/>
    <w:rsid w:val="0036339F"/>
    <w:rsid w:val="0036349C"/>
    <w:rsid w:val="003637B0"/>
    <w:rsid w:val="00363EE3"/>
    <w:rsid w:val="00363FB2"/>
    <w:rsid w:val="00364009"/>
    <w:rsid w:val="003640B5"/>
    <w:rsid w:val="00364E65"/>
    <w:rsid w:val="00365069"/>
    <w:rsid w:val="003651B4"/>
    <w:rsid w:val="00365228"/>
    <w:rsid w:val="003655E1"/>
    <w:rsid w:val="0036572B"/>
    <w:rsid w:val="003657E2"/>
    <w:rsid w:val="00365915"/>
    <w:rsid w:val="0036604F"/>
    <w:rsid w:val="00366170"/>
    <w:rsid w:val="00366D13"/>
    <w:rsid w:val="00366D94"/>
    <w:rsid w:val="00366EDD"/>
    <w:rsid w:val="00366F15"/>
    <w:rsid w:val="003676DB"/>
    <w:rsid w:val="00367E76"/>
    <w:rsid w:val="00371774"/>
    <w:rsid w:val="0037224C"/>
    <w:rsid w:val="00372C15"/>
    <w:rsid w:val="00373356"/>
    <w:rsid w:val="0037339A"/>
    <w:rsid w:val="0037348C"/>
    <w:rsid w:val="003734B2"/>
    <w:rsid w:val="00374326"/>
    <w:rsid w:val="003749E9"/>
    <w:rsid w:val="00375609"/>
    <w:rsid w:val="00375839"/>
    <w:rsid w:val="003758C8"/>
    <w:rsid w:val="00375B37"/>
    <w:rsid w:val="00375F25"/>
    <w:rsid w:val="00377513"/>
    <w:rsid w:val="003776CD"/>
    <w:rsid w:val="00377924"/>
    <w:rsid w:val="00380413"/>
    <w:rsid w:val="00380493"/>
    <w:rsid w:val="003805C8"/>
    <w:rsid w:val="0038086D"/>
    <w:rsid w:val="00380F77"/>
    <w:rsid w:val="003821E3"/>
    <w:rsid w:val="00382493"/>
    <w:rsid w:val="00382E21"/>
    <w:rsid w:val="00384149"/>
    <w:rsid w:val="00384318"/>
    <w:rsid w:val="00384876"/>
    <w:rsid w:val="003859F9"/>
    <w:rsid w:val="00385C0E"/>
    <w:rsid w:val="00385EED"/>
    <w:rsid w:val="003860BE"/>
    <w:rsid w:val="00386647"/>
    <w:rsid w:val="00386A1B"/>
    <w:rsid w:val="003876C8"/>
    <w:rsid w:val="0038773A"/>
    <w:rsid w:val="00387AF4"/>
    <w:rsid w:val="00387D59"/>
    <w:rsid w:val="0039027A"/>
    <w:rsid w:val="003903AD"/>
    <w:rsid w:val="003905F9"/>
    <w:rsid w:val="003906CC"/>
    <w:rsid w:val="00390ECE"/>
    <w:rsid w:val="00390FB8"/>
    <w:rsid w:val="00391193"/>
    <w:rsid w:val="00392059"/>
    <w:rsid w:val="0039235F"/>
    <w:rsid w:val="003927F0"/>
    <w:rsid w:val="0039299F"/>
    <w:rsid w:val="00392CFB"/>
    <w:rsid w:val="00392ECA"/>
    <w:rsid w:val="00393458"/>
    <w:rsid w:val="00393FEB"/>
    <w:rsid w:val="00394339"/>
    <w:rsid w:val="003948FE"/>
    <w:rsid w:val="003949FC"/>
    <w:rsid w:val="00394E15"/>
    <w:rsid w:val="00395031"/>
    <w:rsid w:val="003953F7"/>
    <w:rsid w:val="003956C7"/>
    <w:rsid w:val="003959B0"/>
    <w:rsid w:val="00395B3B"/>
    <w:rsid w:val="00395CF5"/>
    <w:rsid w:val="00395F75"/>
    <w:rsid w:val="0039655B"/>
    <w:rsid w:val="00396588"/>
    <w:rsid w:val="00396E7D"/>
    <w:rsid w:val="003977F1"/>
    <w:rsid w:val="00397A5C"/>
    <w:rsid w:val="00397B4D"/>
    <w:rsid w:val="00397EEC"/>
    <w:rsid w:val="003A00F5"/>
    <w:rsid w:val="003A05EA"/>
    <w:rsid w:val="003A0FBB"/>
    <w:rsid w:val="003A1581"/>
    <w:rsid w:val="003A1A10"/>
    <w:rsid w:val="003A1E29"/>
    <w:rsid w:val="003A278B"/>
    <w:rsid w:val="003A350B"/>
    <w:rsid w:val="003A3970"/>
    <w:rsid w:val="003A3CAD"/>
    <w:rsid w:val="003A3DD2"/>
    <w:rsid w:val="003A46D1"/>
    <w:rsid w:val="003A4AA5"/>
    <w:rsid w:val="003A644B"/>
    <w:rsid w:val="003A6615"/>
    <w:rsid w:val="003A6DEC"/>
    <w:rsid w:val="003A75AA"/>
    <w:rsid w:val="003A7857"/>
    <w:rsid w:val="003A79F9"/>
    <w:rsid w:val="003A7DE9"/>
    <w:rsid w:val="003B0748"/>
    <w:rsid w:val="003B0E46"/>
    <w:rsid w:val="003B0F1B"/>
    <w:rsid w:val="003B107D"/>
    <w:rsid w:val="003B11A4"/>
    <w:rsid w:val="003B1346"/>
    <w:rsid w:val="003B1588"/>
    <w:rsid w:val="003B1A38"/>
    <w:rsid w:val="003B1B70"/>
    <w:rsid w:val="003B2335"/>
    <w:rsid w:val="003B2729"/>
    <w:rsid w:val="003B2AF1"/>
    <w:rsid w:val="003B2D67"/>
    <w:rsid w:val="003B337D"/>
    <w:rsid w:val="003B41E9"/>
    <w:rsid w:val="003B483A"/>
    <w:rsid w:val="003B4CEA"/>
    <w:rsid w:val="003B5247"/>
    <w:rsid w:val="003B5399"/>
    <w:rsid w:val="003B57FB"/>
    <w:rsid w:val="003B582B"/>
    <w:rsid w:val="003B5C4D"/>
    <w:rsid w:val="003B6C04"/>
    <w:rsid w:val="003B6CCA"/>
    <w:rsid w:val="003B729B"/>
    <w:rsid w:val="003B74C4"/>
    <w:rsid w:val="003B7692"/>
    <w:rsid w:val="003B79C5"/>
    <w:rsid w:val="003B79DD"/>
    <w:rsid w:val="003B7AFD"/>
    <w:rsid w:val="003C0BF3"/>
    <w:rsid w:val="003C107D"/>
    <w:rsid w:val="003C131D"/>
    <w:rsid w:val="003C16D5"/>
    <w:rsid w:val="003C1FB3"/>
    <w:rsid w:val="003C1FE8"/>
    <w:rsid w:val="003C21F5"/>
    <w:rsid w:val="003C2832"/>
    <w:rsid w:val="003C29ED"/>
    <w:rsid w:val="003C2BC4"/>
    <w:rsid w:val="003C33B2"/>
    <w:rsid w:val="003C34D6"/>
    <w:rsid w:val="003C34FA"/>
    <w:rsid w:val="003C3E79"/>
    <w:rsid w:val="003C3FFC"/>
    <w:rsid w:val="003C4614"/>
    <w:rsid w:val="003C482C"/>
    <w:rsid w:val="003C4915"/>
    <w:rsid w:val="003C4AD4"/>
    <w:rsid w:val="003C4CB1"/>
    <w:rsid w:val="003C5035"/>
    <w:rsid w:val="003C5286"/>
    <w:rsid w:val="003C5FD3"/>
    <w:rsid w:val="003C68B7"/>
    <w:rsid w:val="003C6BA3"/>
    <w:rsid w:val="003C72F0"/>
    <w:rsid w:val="003C750C"/>
    <w:rsid w:val="003C785A"/>
    <w:rsid w:val="003C7CBD"/>
    <w:rsid w:val="003D00F6"/>
    <w:rsid w:val="003D0592"/>
    <w:rsid w:val="003D07CA"/>
    <w:rsid w:val="003D09AC"/>
    <w:rsid w:val="003D0CFD"/>
    <w:rsid w:val="003D0EA6"/>
    <w:rsid w:val="003D1260"/>
    <w:rsid w:val="003D1279"/>
    <w:rsid w:val="003D146E"/>
    <w:rsid w:val="003D19C7"/>
    <w:rsid w:val="003D1B4C"/>
    <w:rsid w:val="003D272A"/>
    <w:rsid w:val="003D2CD8"/>
    <w:rsid w:val="003D2D08"/>
    <w:rsid w:val="003D328C"/>
    <w:rsid w:val="003D344B"/>
    <w:rsid w:val="003D38E8"/>
    <w:rsid w:val="003D3D31"/>
    <w:rsid w:val="003D3E70"/>
    <w:rsid w:val="003D4187"/>
    <w:rsid w:val="003D481F"/>
    <w:rsid w:val="003D493A"/>
    <w:rsid w:val="003D50CD"/>
    <w:rsid w:val="003D596C"/>
    <w:rsid w:val="003D5E15"/>
    <w:rsid w:val="003D64D7"/>
    <w:rsid w:val="003D67A4"/>
    <w:rsid w:val="003D69E0"/>
    <w:rsid w:val="003D6E50"/>
    <w:rsid w:val="003D6FEF"/>
    <w:rsid w:val="003D7858"/>
    <w:rsid w:val="003D7B3F"/>
    <w:rsid w:val="003D7CFF"/>
    <w:rsid w:val="003D7F11"/>
    <w:rsid w:val="003E0352"/>
    <w:rsid w:val="003E075A"/>
    <w:rsid w:val="003E0B9D"/>
    <w:rsid w:val="003E13C9"/>
    <w:rsid w:val="003E1503"/>
    <w:rsid w:val="003E1CFA"/>
    <w:rsid w:val="003E1D48"/>
    <w:rsid w:val="003E1E12"/>
    <w:rsid w:val="003E2120"/>
    <w:rsid w:val="003E2517"/>
    <w:rsid w:val="003E2808"/>
    <w:rsid w:val="003E28F9"/>
    <w:rsid w:val="003E2AB2"/>
    <w:rsid w:val="003E302A"/>
    <w:rsid w:val="003E30CA"/>
    <w:rsid w:val="003E37D9"/>
    <w:rsid w:val="003E3B75"/>
    <w:rsid w:val="003E43BA"/>
    <w:rsid w:val="003E4FBC"/>
    <w:rsid w:val="003E5122"/>
    <w:rsid w:val="003E5E19"/>
    <w:rsid w:val="003E6B66"/>
    <w:rsid w:val="003E6F04"/>
    <w:rsid w:val="003F03D3"/>
    <w:rsid w:val="003F084F"/>
    <w:rsid w:val="003F1183"/>
    <w:rsid w:val="003F13AC"/>
    <w:rsid w:val="003F166F"/>
    <w:rsid w:val="003F1ABA"/>
    <w:rsid w:val="003F1CF9"/>
    <w:rsid w:val="003F29AE"/>
    <w:rsid w:val="003F2D6C"/>
    <w:rsid w:val="003F2E47"/>
    <w:rsid w:val="003F3811"/>
    <w:rsid w:val="003F38E4"/>
    <w:rsid w:val="003F3A85"/>
    <w:rsid w:val="003F3BD6"/>
    <w:rsid w:val="003F4121"/>
    <w:rsid w:val="003F4928"/>
    <w:rsid w:val="003F49B4"/>
    <w:rsid w:val="003F4BEE"/>
    <w:rsid w:val="003F4C79"/>
    <w:rsid w:val="003F4D50"/>
    <w:rsid w:val="003F50B1"/>
    <w:rsid w:val="003F5D9D"/>
    <w:rsid w:val="003F615F"/>
    <w:rsid w:val="003F6313"/>
    <w:rsid w:val="003F64C8"/>
    <w:rsid w:val="003F6727"/>
    <w:rsid w:val="003F67E7"/>
    <w:rsid w:val="003F6CE7"/>
    <w:rsid w:val="003F6F73"/>
    <w:rsid w:val="003F7023"/>
    <w:rsid w:val="003F7646"/>
    <w:rsid w:val="003F7829"/>
    <w:rsid w:val="003F79C4"/>
    <w:rsid w:val="003F7E4B"/>
    <w:rsid w:val="003F7EF7"/>
    <w:rsid w:val="0040012B"/>
    <w:rsid w:val="00400390"/>
    <w:rsid w:val="004006E5"/>
    <w:rsid w:val="004007C1"/>
    <w:rsid w:val="00400D71"/>
    <w:rsid w:val="00401223"/>
    <w:rsid w:val="00401EA6"/>
    <w:rsid w:val="00402949"/>
    <w:rsid w:val="00402A15"/>
    <w:rsid w:val="00402A8F"/>
    <w:rsid w:val="004034EB"/>
    <w:rsid w:val="00403E43"/>
    <w:rsid w:val="004043DA"/>
    <w:rsid w:val="00404F28"/>
    <w:rsid w:val="0040566C"/>
    <w:rsid w:val="0040570E"/>
    <w:rsid w:val="00406210"/>
    <w:rsid w:val="004078EE"/>
    <w:rsid w:val="00407D62"/>
    <w:rsid w:val="00410545"/>
    <w:rsid w:val="00410AF0"/>
    <w:rsid w:val="004115CE"/>
    <w:rsid w:val="00411641"/>
    <w:rsid w:val="004116A7"/>
    <w:rsid w:val="00411D46"/>
    <w:rsid w:val="00412544"/>
    <w:rsid w:val="004125AA"/>
    <w:rsid w:val="004125D4"/>
    <w:rsid w:val="00412906"/>
    <w:rsid w:val="00412C15"/>
    <w:rsid w:val="00413053"/>
    <w:rsid w:val="0041312E"/>
    <w:rsid w:val="00413270"/>
    <w:rsid w:val="004137ED"/>
    <w:rsid w:val="0041383A"/>
    <w:rsid w:val="00413C51"/>
    <w:rsid w:val="00413E30"/>
    <w:rsid w:val="0041407F"/>
    <w:rsid w:val="004141E0"/>
    <w:rsid w:val="00414713"/>
    <w:rsid w:val="00414D32"/>
    <w:rsid w:val="004155F8"/>
    <w:rsid w:val="00415819"/>
    <w:rsid w:val="00415A5F"/>
    <w:rsid w:val="00416406"/>
    <w:rsid w:val="00416425"/>
    <w:rsid w:val="00416429"/>
    <w:rsid w:val="0041673D"/>
    <w:rsid w:val="00416990"/>
    <w:rsid w:val="004175D5"/>
    <w:rsid w:val="00417B77"/>
    <w:rsid w:val="00417BF5"/>
    <w:rsid w:val="00417C19"/>
    <w:rsid w:val="004200CC"/>
    <w:rsid w:val="004204A2"/>
    <w:rsid w:val="004206B5"/>
    <w:rsid w:val="00420B12"/>
    <w:rsid w:val="00420BCA"/>
    <w:rsid w:val="00420E4E"/>
    <w:rsid w:val="00421993"/>
    <w:rsid w:val="00421A29"/>
    <w:rsid w:val="0042269E"/>
    <w:rsid w:val="00423865"/>
    <w:rsid w:val="004239C5"/>
    <w:rsid w:val="00423AC2"/>
    <w:rsid w:val="00423F3C"/>
    <w:rsid w:val="004240A3"/>
    <w:rsid w:val="004242C9"/>
    <w:rsid w:val="00424967"/>
    <w:rsid w:val="00425256"/>
    <w:rsid w:val="004255F9"/>
    <w:rsid w:val="0042562A"/>
    <w:rsid w:val="004257EE"/>
    <w:rsid w:val="004259AE"/>
    <w:rsid w:val="00425D2E"/>
    <w:rsid w:val="00425E68"/>
    <w:rsid w:val="00425F20"/>
    <w:rsid w:val="00426AD8"/>
    <w:rsid w:val="00426CDF"/>
    <w:rsid w:val="00426CEB"/>
    <w:rsid w:val="00427040"/>
    <w:rsid w:val="004272B1"/>
    <w:rsid w:val="0042749A"/>
    <w:rsid w:val="0042752E"/>
    <w:rsid w:val="00427587"/>
    <w:rsid w:val="00427A32"/>
    <w:rsid w:val="00430381"/>
    <w:rsid w:val="004304B0"/>
    <w:rsid w:val="004304C1"/>
    <w:rsid w:val="004305F9"/>
    <w:rsid w:val="00430A26"/>
    <w:rsid w:val="00430E04"/>
    <w:rsid w:val="00430F23"/>
    <w:rsid w:val="004313A7"/>
    <w:rsid w:val="0043161D"/>
    <w:rsid w:val="00432DC5"/>
    <w:rsid w:val="004333E4"/>
    <w:rsid w:val="00433622"/>
    <w:rsid w:val="004336D7"/>
    <w:rsid w:val="00433E07"/>
    <w:rsid w:val="0043415C"/>
    <w:rsid w:val="004341BC"/>
    <w:rsid w:val="004343DF"/>
    <w:rsid w:val="00434504"/>
    <w:rsid w:val="00434D84"/>
    <w:rsid w:val="00434F1C"/>
    <w:rsid w:val="00435186"/>
    <w:rsid w:val="00435883"/>
    <w:rsid w:val="00435FAB"/>
    <w:rsid w:val="00436670"/>
    <w:rsid w:val="00436A79"/>
    <w:rsid w:val="00436A8B"/>
    <w:rsid w:val="00437B82"/>
    <w:rsid w:val="00440445"/>
    <w:rsid w:val="00440553"/>
    <w:rsid w:val="00440777"/>
    <w:rsid w:val="0044087D"/>
    <w:rsid w:val="00440AFC"/>
    <w:rsid w:val="0044162B"/>
    <w:rsid w:val="004417E1"/>
    <w:rsid w:val="004419DF"/>
    <w:rsid w:val="00441ABB"/>
    <w:rsid w:val="00441BE2"/>
    <w:rsid w:val="00441EC6"/>
    <w:rsid w:val="00442AD8"/>
    <w:rsid w:val="00442B6A"/>
    <w:rsid w:val="00442F7A"/>
    <w:rsid w:val="00443513"/>
    <w:rsid w:val="004435DD"/>
    <w:rsid w:val="004436C8"/>
    <w:rsid w:val="00443863"/>
    <w:rsid w:val="00443AA7"/>
    <w:rsid w:val="004440F5"/>
    <w:rsid w:val="004440FD"/>
    <w:rsid w:val="00444D76"/>
    <w:rsid w:val="00445851"/>
    <w:rsid w:val="0044615A"/>
    <w:rsid w:val="0044625B"/>
    <w:rsid w:val="004468DC"/>
    <w:rsid w:val="00446C51"/>
    <w:rsid w:val="00446F5B"/>
    <w:rsid w:val="0044743A"/>
    <w:rsid w:val="004474CD"/>
    <w:rsid w:val="004502DA"/>
    <w:rsid w:val="004503CE"/>
    <w:rsid w:val="0045053A"/>
    <w:rsid w:val="00450ABE"/>
    <w:rsid w:val="00450CD2"/>
    <w:rsid w:val="00450D51"/>
    <w:rsid w:val="00450FFB"/>
    <w:rsid w:val="00451009"/>
    <w:rsid w:val="0045102E"/>
    <w:rsid w:val="004512DE"/>
    <w:rsid w:val="00451328"/>
    <w:rsid w:val="00451AA7"/>
    <w:rsid w:val="00451B6C"/>
    <w:rsid w:val="00451E01"/>
    <w:rsid w:val="00452235"/>
    <w:rsid w:val="00452851"/>
    <w:rsid w:val="004529CA"/>
    <w:rsid w:val="00452FF7"/>
    <w:rsid w:val="00453B99"/>
    <w:rsid w:val="004543F1"/>
    <w:rsid w:val="0045463F"/>
    <w:rsid w:val="004552EB"/>
    <w:rsid w:val="0045579C"/>
    <w:rsid w:val="00455C8C"/>
    <w:rsid w:val="00456CFD"/>
    <w:rsid w:val="00456D48"/>
    <w:rsid w:val="004573F7"/>
    <w:rsid w:val="004574A9"/>
    <w:rsid w:val="00457536"/>
    <w:rsid w:val="004578C6"/>
    <w:rsid w:val="00457ABF"/>
    <w:rsid w:val="004604E2"/>
    <w:rsid w:val="00460A13"/>
    <w:rsid w:val="00460C0F"/>
    <w:rsid w:val="00460C45"/>
    <w:rsid w:val="00461171"/>
    <w:rsid w:val="0046146B"/>
    <w:rsid w:val="004615CE"/>
    <w:rsid w:val="0046165B"/>
    <w:rsid w:val="004619DC"/>
    <w:rsid w:val="00461DDB"/>
    <w:rsid w:val="00462A97"/>
    <w:rsid w:val="00462BA8"/>
    <w:rsid w:val="00463240"/>
    <w:rsid w:val="0046330A"/>
    <w:rsid w:val="00463BF9"/>
    <w:rsid w:val="0046671D"/>
    <w:rsid w:val="004667C4"/>
    <w:rsid w:val="00466828"/>
    <w:rsid w:val="00466D84"/>
    <w:rsid w:val="004674F5"/>
    <w:rsid w:val="0046763B"/>
    <w:rsid w:val="00467AD5"/>
    <w:rsid w:val="00467FAD"/>
    <w:rsid w:val="00470429"/>
    <w:rsid w:val="00470894"/>
    <w:rsid w:val="00470CAB"/>
    <w:rsid w:val="00470FF9"/>
    <w:rsid w:val="0047100B"/>
    <w:rsid w:val="00471273"/>
    <w:rsid w:val="00471442"/>
    <w:rsid w:val="00471969"/>
    <w:rsid w:val="0047197C"/>
    <w:rsid w:val="00471998"/>
    <w:rsid w:val="00471AB7"/>
    <w:rsid w:val="00471AC0"/>
    <w:rsid w:val="00472265"/>
    <w:rsid w:val="00472588"/>
    <w:rsid w:val="004726FF"/>
    <w:rsid w:val="0047277A"/>
    <w:rsid w:val="004727E4"/>
    <w:rsid w:val="00472F3B"/>
    <w:rsid w:val="00473269"/>
    <w:rsid w:val="004732E8"/>
    <w:rsid w:val="0047349A"/>
    <w:rsid w:val="00473679"/>
    <w:rsid w:val="004736FC"/>
    <w:rsid w:val="004737AD"/>
    <w:rsid w:val="00473F73"/>
    <w:rsid w:val="00474C15"/>
    <w:rsid w:val="00474C1E"/>
    <w:rsid w:val="00475600"/>
    <w:rsid w:val="0047566E"/>
    <w:rsid w:val="00476380"/>
    <w:rsid w:val="00476C99"/>
    <w:rsid w:val="004773E3"/>
    <w:rsid w:val="0047796C"/>
    <w:rsid w:val="00477E5A"/>
    <w:rsid w:val="00480047"/>
    <w:rsid w:val="00480144"/>
    <w:rsid w:val="004804B0"/>
    <w:rsid w:val="004804DF"/>
    <w:rsid w:val="00480A5A"/>
    <w:rsid w:val="00480B96"/>
    <w:rsid w:val="00480C3E"/>
    <w:rsid w:val="00480CAD"/>
    <w:rsid w:val="00480D0F"/>
    <w:rsid w:val="00480EA0"/>
    <w:rsid w:val="00480F0F"/>
    <w:rsid w:val="00480FC3"/>
    <w:rsid w:val="00481318"/>
    <w:rsid w:val="00481323"/>
    <w:rsid w:val="00481432"/>
    <w:rsid w:val="00481ACA"/>
    <w:rsid w:val="00481EE4"/>
    <w:rsid w:val="0048217A"/>
    <w:rsid w:val="004822A0"/>
    <w:rsid w:val="00482F03"/>
    <w:rsid w:val="00482FC0"/>
    <w:rsid w:val="004830D8"/>
    <w:rsid w:val="004832C2"/>
    <w:rsid w:val="004837C8"/>
    <w:rsid w:val="00483BA1"/>
    <w:rsid w:val="00483D9C"/>
    <w:rsid w:val="004843F5"/>
    <w:rsid w:val="00485315"/>
    <w:rsid w:val="0048641C"/>
    <w:rsid w:val="004867A0"/>
    <w:rsid w:val="00486993"/>
    <w:rsid w:val="00486DD6"/>
    <w:rsid w:val="00487AAD"/>
    <w:rsid w:val="00487C2E"/>
    <w:rsid w:val="004908C4"/>
    <w:rsid w:val="00490E40"/>
    <w:rsid w:val="0049117A"/>
    <w:rsid w:val="004911CB"/>
    <w:rsid w:val="0049159E"/>
    <w:rsid w:val="004917E5"/>
    <w:rsid w:val="0049202F"/>
    <w:rsid w:val="004925A1"/>
    <w:rsid w:val="004926C0"/>
    <w:rsid w:val="0049279B"/>
    <w:rsid w:val="00492F24"/>
    <w:rsid w:val="00492FAF"/>
    <w:rsid w:val="00493499"/>
    <w:rsid w:val="004937B3"/>
    <w:rsid w:val="004937E5"/>
    <w:rsid w:val="004938AD"/>
    <w:rsid w:val="0049415F"/>
    <w:rsid w:val="00494566"/>
    <w:rsid w:val="004945D0"/>
    <w:rsid w:val="0049468E"/>
    <w:rsid w:val="00494747"/>
    <w:rsid w:val="00494C6B"/>
    <w:rsid w:val="00494DF5"/>
    <w:rsid w:val="00495123"/>
    <w:rsid w:val="00495BCE"/>
    <w:rsid w:val="00495C30"/>
    <w:rsid w:val="00495F59"/>
    <w:rsid w:val="004965F3"/>
    <w:rsid w:val="0049669F"/>
    <w:rsid w:val="00496A78"/>
    <w:rsid w:val="00497A25"/>
    <w:rsid w:val="00497A40"/>
    <w:rsid w:val="00497B4F"/>
    <w:rsid w:val="00497BA5"/>
    <w:rsid w:val="00497C20"/>
    <w:rsid w:val="00497F7D"/>
    <w:rsid w:val="00497FAF"/>
    <w:rsid w:val="004A09D9"/>
    <w:rsid w:val="004A0A21"/>
    <w:rsid w:val="004A0AE0"/>
    <w:rsid w:val="004A0D4D"/>
    <w:rsid w:val="004A0E1F"/>
    <w:rsid w:val="004A1072"/>
    <w:rsid w:val="004A115B"/>
    <w:rsid w:val="004A12EE"/>
    <w:rsid w:val="004A14F2"/>
    <w:rsid w:val="004A2273"/>
    <w:rsid w:val="004A2314"/>
    <w:rsid w:val="004A26FB"/>
    <w:rsid w:val="004A2884"/>
    <w:rsid w:val="004A2BD2"/>
    <w:rsid w:val="004A2E52"/>
    <w:rsid w:val="004A2EF8"/>
    <w:rsid w:val="004A31EB"/>
    <w:rsid w:val="004A350C"/>
    <w:rsid w:val="004A3BC1"/>
    <w:rsid w:val="004A3CAB"/>
    <w:rsid w:val="004A3D24"/>
    <w:rsid w:val="004A404C"/>
    <w:rsid w:val="004A42FD"/>
    <w:rsid w:val="004A44C8"/>
    <w:rsid w:val="004A44E2"/>
    <w:rsid w:val="004A4A3A"/>
    <w:rsid w:val="004A524B"/>
    <w:rsid w:val="004A54E1"/>
    <w:rsid w:val="004A55BF"/>
    <w:rsid w:val="004A57DA"/>
    <w:rsid w:val="004A5D19"/>
    <w:rsid w:val="004A688A"/>
    <w:rsid w:val="004A6A41"/>
    <w:rsid w:val="004A6A90"/>
    <w:rsid w:val="004A6B80"/>
    <w:rsid w:val="004A6D00"/>
    <w:rsid w:val="004A701C"/>
    <w:rsid w:val="004A7352"/>
    <w:rsid w:val="004A767F"/>
    <w:rsid w:val="004A7B0A"/>
    <w:rsid w:val="004A7B81"/>
    <w:rsid w:val="004A7E2B"/>
    <w:rsid w:val="004A7E84"/>
    <w:rsid w:val="004B01C8"/>
    <w:rsid w:val="004B0DC4"/>
    <w:rsid w:val="004B120F"/>
    <w:rsid w:val="004B12AD"/>
    <w:rsid w:val="004B19D8"/>
    <w:rsid w:val="004B1C4E"/>
    <w:rsid w:val="004B217C"/>
    <w:rsid w:val="004B246C"/>
    <w:rsid w:val="004B27C9"/>
    <w:rsid w:val="004B2905"/>
    <w:rsid w:val="004B3CD5"/>
    <w:rsid w:val="004B3FCF"/>
    <w:rsid w:val="004B4988"/>
    <w:rsid w:val="004B4B9D"/>
    <w:rsid w:val="004B4EFA"/>
    <w:rsid w:val="004B5493"/>
    <w:rsid w:val="004B55B0"/>
    <w:rsid w:val="004B5627"/>
    <w:rsid w:val="004B5ADA"/>
    <w:rsid w:val="004B628B"/>
    <w:rsid w:val="004B6842"/>
    <w:rsid w:val="004B6A74"/>
    <w:rsid w:val="004B6F63"/>
    <w:rsid w:val="004B72E7"/>
    <w:rsid w:val="004B76A2"/>
    <w:rsid w:val="004B7E15"/>
    <w:rsid w:val="004C038C"/>
    <w:rsid w:val="004C0669"/>
    <w:rsid w:val="004C0865"/>
    <w:rsid w:val="004C0EA9"/>
    <w:rsid w:val="004C1039"/>
    <w:rsid w:val="004C1119"/>
    <w:rsid w:val="004C1137"/>
    <w:rsid w:val="004C1176"/>
    <w:rsid w:val="004C1185"/>
    <w:rsid w:val="004C1DF7"/>
    <w:rsid w:val="004C204B"/>
    <w:rsid w:val="004C208D"/>
    <w:rsid w:val="004C23FB"/>
    <w:rsid w:val="004C2C2B"/>
    <w:rsid w:val="004C2CC5"/>
    <w:rsid w:val="004C32F3"/>
    <w:rsid w:val="004C3652"/>
    <w:rsid w:val="004C442A"/>
    <w:rsid w:val="004C4BE8"/>
    <w:rsid w:val="004C4C76"/>
    <w:rsid w:val="004C509A"/>
    <w:rsid w:val="004C52EF"/>
    <w:rsid w:val="004C5837"/>
    <w:rsid w:val="004C5C7F"/>
    <w:rsid w:val="004C5E80"/>
    <w:rsid w:val="004C6144"/>
    <w:rsid w:val="004C67B7"/>
    <w:rsid w:val="004C67D1"/>
    <w:rsid w:val="004C681B"/>
    <w:rsid w:val="004C6A73"/>
    <w:rsid w:val="004C6B6E"/>
    <w:rsid w:val="004C6D15"/>
    <w:rsid w:val="004C740E"/>
    <w:rsid w:val="004C7444"/>
    <w:rsid w:val="004C7933"/>
    <w:rsid w:val="004C79CC"/>
    <w:rsid w:val="004C7A19"/>
    <w:rsid w:val="004C7F80"/>
    <w:rsid w:val="004D05EB"/>
    <w:rsid w:val="004D070F"/>
    <w:rsid w:val="004D0B1D"/>
    <w:rsid w:val="004D0CE8"/>
    <w:rsid w:val="004D0DBE"/>
    <w:rsid w:val="004D146D"/>
    <w:rsid w:val="004D16C3"/>
    <w:rsid w:val="004D29FB"/>
    <w:rsid w:val="004D2C68"/>
    <w:rsid w:val="004D3425"/>
    <w:rsid w:val="004D344B"/>
    <w:rsid w:val="004D3A0B"/>
    <w:rsid w:val="004D3C59"/>
    <w:rsid w:val="004D40CD"/>
    <w:rsid w:val="004D4603"/>
    <w:rsid w:val="004D475D"/>
    <w:rsid w:val="004D53AF"/>
    <w:rsid w:val="004D55C3"/>
    <w:rsid w:val="004D592A"/>
    <w:rsid w:val="004D6358"/>
    <w:rsid w:val="004D68DC"/>
    <w:rsid w:val="004D6B0E"/>
    <w:rsid w:val="004D6C2D"/>
    <w:rsid w:val="004D6D68"/>
    <w:rsid w:val="004E0381"/>
    <w:rsid w:val="004E03E2"/>
    <w:rsid w:val="004E11AA"/>
    <w:rsid w:val="004E15DB"/>
    <w:rsid w:val="004E17EF"/>
    <w:rsid w:val="004E20E6"/>
    <w:rsid w:val="004E228E"/>
    <w:rsid w:val="004E22EA"/>
    <w:rsid w:val="004E2AEA"/>
    <w:rsid w:val="004E2DC3"/>
    <w:rsid w:val="004E313A"/>
    <w:rsid w:val="004E37EA"/>
    <w:rsid w:val="004E39B4"/>
    <w:rsid w:val="004E3E4E"/>
    <w:rsid w:val="004E48D8"/>
    <w:rsid w:val="004E4C87"/>
    <w:rsid w:val="004E4CED"/>
    <w:rsid w:val="004E4FE6"/>
    <w:rsid w:val="004E5015"/>
    <w:rsid w:val="004E5034"/>
    <w:rsid w:val="004E510A"/>
    <w:rsid w:val="004E5333"/>
    <w:rsid w:val="004E53F7"/>
    <w:rsid w:val="004E5556"/>
    <w:rsid w:val="004E55D3"/>
    <w:rsid w:val="004E5A7E"/>
    <w:rsid w:val="004E643D"/>
    <w:rsid w:val="004E65A6"/>
    <w:rsid w:val="004E6BC7"/>
    <w:rsid w:val="004E6CDD"/>
    <w:rsid w:val="004E6DED"/>
    <w:rsid w:val="004E73B1"/>
    <w:rsid w:val="004E7729"/>
    <w:rsid w:val="004E7759"/>
    <w:rsid w:val="004E7BA7"/>
    <w:rsid w:val="004E7C9D"/>
    <w:rsid w:val="004E7CAD"/>
    <w:rsid w:val="004F00C8"/>
    <w:rsid w:val="004F0AD9"/>
    <w:rsid w:val="004F0BAB"/>
    <w:rsid w:val="004F0E9A"/>
    <w:rsid w:val="004F1675"/>
    <w:rsid w:val="004F181C"/>
    <w:rsid w:val="004F20D8"/>
    <w:rsid w:val="004F2BC2"/>
    <w:rsid w:val="004F3231"/>
    <w:rsid w:val="004F359B"/>
    <w:rsid w:val="004F3647"/>
    <w:rsid w:val="004F3C75"/>
    <w:rsid w:val="004F3E39"/>
    <w:rsid w:val="004F437B"/>
    <w:rsid w:val="004F4469"/>
    <w:rsid w:val="004F4533"/>
    <w:rsid w:val="004F4556"/>
    <w:rsid w:val="004F4715"/>
    <w:rsid w:val="004F490E"/>
    <w:rsid w:val="004F497F"/>
    <w:rsid w:val="004F4A0B"/>
    <w:rsid w:val="004F4E94"/>
    <w:rsid w:val="004F6035"/>
    <w:rsid w:val="004F6519"/>
    <w:rsid w:val="004F6E35"/>
    <w:rsid w:val="004F77C2"/>
    <w:rsid w:val="005000DC"/>
    <w:rsid w:val="00500DA5"/>
    <w:rsid w:val="00500E8E"/>
    <w:rsid w:val="00501B35"/>
    <w:rsid w:val="00501E45"/>
    <w:rsid w:val="00502646"/>
    <w:rsid w:val="005034A2"/>
    <w:rsid w:val="00503A1C"/>
    <w:rsid w:val="00503B3C"/>
    <w:rsid w:val="00503C3E"/>
    <w:rsid w:val="00503E1A"/>
    <w:rsid w:val="00503E52"/>
    <w:rsid w:val="005040D0"/>
    <w:rsid w:val="005044BA"/>
    <w:rsid w:val="00504CB3"/>
    <w:rsid w:val="005058D2"/>
    <w:rsid w:val="00505D76"/>
    <w:rsid w:val="00506538"/>
    <w:rsid w:val="00507794"/>
    <w:rsid w:val="005077B6"/>
    <w:rsid w:val="005101F6"/>
    <w:rsid w:val="00510FD7"/>
    <w:rsid w:val="00511EF3"/>
    <w:rsid w:val="0051201C"/>
    <w:rsid w:val="00512FB9"/>
    <w:rsid w:val="00512FFB"/>
    <w:rsid w:val="0051319B"/>
    <w:rsid w:val="00513293"/>
    <w:rsid w:val="005132C7"/>
    <w:rsid w:val="0051341C"/>
    <w:rsid w:val="0051350B"/>
    <w:rsid w:val="005140D9"/>
    <w:rsid w:val="005141B0"/>
    <w:rsid w:val="005143E0"/>
    <w:rsid w:val="0051465C"/>
    <w:rsid w:val="0051542F"/>
    <w:rsid w:val="005156CF"/>
    <w:rsid w:val="00515C5B"/>
    <w:rsid w:val="00515CFA"/>
    <w:rsid w:val="00515D04"/>
    <w:rsid w:val="00515D40"/>
    <w:rsid w:val="00516C36"/>
    <w:rsid w:val="00517836"/>
    <w:rsid w:val="005178E0"/>
    <w:rsid w:val="0052039D"/>
    <w:rsid w:val="005206B3"/>
    <w:rsid w:val="005206BC"/>
    <w:rsid w:val="00520953"/>
    <w:rsid w:val="00520E8A"/>
    <w:rsid w:val="00521354"/>
    <w:rsid w:val="00521BCB"/>
    <w:rsid w:val="00521C2C"/>
    <w:rsid w:val="0052210D"/>
    <w:rsid w:val="0052289A"/>
    <w:rsid w:val="00522964"/>
    <w:rsid w:val="005230C2"/>
    <w:rsid w:val="00523284"/>
    <w:rsid w:val="0052351C"/>
    <w:rsid w:val="00523592"/>
    <w:rsid w:val="00523A7E"/>
    <w:rsid w:val="005241C4"/>
    <w:rsid w:val="0052436D"/>
    <w:rsid w:val="005259CD"/>
    <w:rsid w:val="00525B1A"/>
    <w:rsid w:val="00525B84"/>
    <w:rsid w:val="0052694F"/>
    <w:rsid w:val="00526EC5"/>
    <w:rsid w:val="005273C2"/>
    <w:rsid w:val="00527915"/>
    <w:rsid w:val="005300A0"/>
    <w:rsid w:val="00530178"/>
    <w:rsid w:val="0053026D"/>
    <w:rsid w:val="00530DF4"/>
    <w:rsid w:val="00530F4D"/>
    <w:rsid w:val="00531967"/>
    <w:rsid w:val="00531DAF"/>
    <w:rsid w:val="0053263B"/>
    <w:rsid w:val="00532D90"/>
    <w:rsid w:val="0053305E"/>
    <w:rsid w:val="0053322B"/>
    <w:rsid w:val="005333C3"/>
    <w:rsid w:val="00533538"/>
    <w:rsid w:val="0053390D"/>
    <w:rsid w:val="00533DD3"/>
    <w:rsid w:val="0053500D"/>
    <w:rsid w:val="005350A5"/>
    <w:rsid w:val="00535154"/>
    <w:rsid w:val="00535E3D"/>
    <w:rsid w:val="00535FC7"/>
    <w:rsid w:val="0053603A"/>
    <w:rsid w:val="00536178"/>
    <w:rsid w:val="005366AA"/>
    <w:rsid w:val="00536C7C"/>
    <w:rsid w:val="0053707D"/>
    <w:rsid w:val="005370F9"/>
    <w:rsid w:val="0053772C"/>
    <w:rsid w:val="00540559"/>
    <w:rsid w:val="00540AA2"/>
    <w:rsid w:val="00540B90"/>
    <w:rsid w:val="0054124F"/>
    <w:rsid w:val="00542200"/>
    <w:rsid w:val="00542935"/>
    <w:rsid w:val="00542E7B"/>
    <w:rsid w:val="0054313B"/>
    <w:rsid w:val="005432C6"/>
    <w:rsid w:val="005436F9"/>
    <w:rsid w:val="00543BA7"/>
    <w:rsid w:val="005440AB"/>
    <w:rsid w:val="005443B1"/>
    <w:rsid w:val="005444E3"/>
    <w:rsid w:val="00544619"/>
    <w:rsid w:val="00544C65"/>
    <w:rsid w:val="00544CC5"/>
    <w:rsid w:val="005451E3"/>
    <w:rsid w:val="00545906"/>
    <w:rsid w:val="00545A1E"/>
    <w:rsid w:val="00545A8A"/>
    <w:rsid w:val="00546373"/>
    <w:rsid w:val="005463DF"/>
    <w:rsid w:val="0054640B"/>
    <w:rsid w:val="005464E3"/>
    <w:rsid w:val="00546DB6"/>
    <w:rsid w:val="00547024"/>
    <w:rsid w:val="00547AC2"/>
    <w:rsid w:val="00547F4A"/>
    <w:rsid w:val="005501C9"/>
    <w:rsid w:val="005503E1"/>
    <w:rsid w:val="005507C7"/>
    <w:rsid w:val="005510D4"/>
    <w:rsid w:val="0055148F"/>
    <w:rsid w:val="005514A6"/>
    <w:rsid w:val="00551E61"/>
    <w:rsid w:val="00552077"/>
    <w:rsid w:val="00552716"/>
    <w:rsid w:val="0055299E"/>
    <w:rsid w:val="005529E6"/>
    <w:rsid w:val="005530A0"/>
    <w:rsid w:val="00553340"/>
    <w:rsid w:val="00553A52"/>
    <w:rsid w:val="00553EBD"/>
    <w:rsid w:val="005544D4"/>
    <w:rsid w:val="00554A5F"/>
    <w:rsid w:val="00554BAC"/>
    <w:rsid w:val="005555BB"/>
    <w:rsid w:val="005558ED"/>
    <w:rsid w:val="00555917"/>
    <w:rsid w:val="00556392"/>
    <w:rsid w:val="0055712B"/>
    <w:rsid w:val="00557420"/>
    <w:rsid w:val="005575FB"/>
    <w:rsid w:val="00557ACE"/>
    <w:rsid w:val="0056017B"/>
    <w:rsid w:val="00560631"/>
    <w:rsid w:val="00560782"/>
    <w:rsid w:val="00560917"/>
    <w:rsid w:val="00560D20"/>
    <w:rsid w:val="00561097"/>
    <w:rsid w:val="005611B3"/>
    <w:rsid w:val="005612F5"/>
    <w:rsid w:val="0056156F"/>
    <w:rsid w:val="00561B31"/>
    <w:rsid w:val="0056205A"/>
    <w:rsid w:val="00562421"/>
    <w:rsid w:val="00562446"/>
    <w:rsid w:val="00562638"/>
    <w:rsid w:val="0056266B"/>
    <w:rsid w:val="005628E1"/>
    <w:rsid w:val="0056348D"/>
    <w:rsid w:val="00563892"/>
    <w:rsid w:val="005645B1"/>
    <w:rsid w:val="005647EA"/>
    <w:rsid w:val="0056490C"/>
    <w:rsid w:val="00564B5C"/>
    <w:rsid w:val="0056525B"/>
    <w:rsid w:val="005652F0"/>
    <w:rsid w:val="005653C1"/>
    <w:rsid w:val="00565596"/>
    <w:rsid w:val="00565DC2"/>
    <w:rsid w:val="00566124"/>
    <w:rsid w:val="005667D8"/>
    <w:rsid w:val="00566B51"/>
    <w:rsid w:val="00566B69"/>
    <w:rsid w:val="00566B79"/>
    <w:rsid w:val="00566EF1"/>
    <w:rsid w:val="005670C6"/>
    <w:rsid w:val="00567579"/>
    <w:rsid w:val="00567980"/>
    <w:rsid w:val="00570039"/>
    <w:rsid w:val="00570AC3"/>
    <w:rsid w:val="00570B90"/>
    <w:rsid w:val="00570C34"/>
    <w:rsid w:val="0057191D"/>
    <w:rsid w:val="00571E99"/>
    <w:rsid w:val="00572479"/>
    <w:rsid w:val="0057256A"/>
    <w:rsid w:val="005727FC"/>
    <w:rsid w:val="00572855"/>
    <w:rsid w:val="005728EB"/>
    <w:rsid w:val="00572B79"/>
    <w:rsid w:val="00572BFB"/>
    <w:rsid w:val="00573277"/>
    <w:rsid w:val="005733F5"/>
    <w:rsid w:val="005738DC"/>
    <w:rsid w:val="0057397A"/>
    <w:rsid w:val="00573CE4"/>
    <w:rsid w:val="005744DB"/>
    <w:rsid w:val="00574E79"/>
    <w:rsid w:val="00575173"/>
    <w:rsid w:val="00575D5C"/>
    <w:rsid w:val="00576CEE"/>
    <w:rsid w:val="00576EAE"/>
    <w:rsid w:val="00576ECE"/>
    <w:rsid w:val="00576F9F"/>
    <w:rsid w:val="0057702B"/>
    <w:rsid w:val="00577316"/>
    <w:rsid w:val="005777C5"/>
    <w:rsid w:val="00577DE1"/>
    <w:rsid w:val="00577F53"/>
    <w:rsid w:val="00580609"/>
    <w:rsid w:val="005807E0"/>
    <w:rsid w:val="00581658"/>
    <w:rsid w:val="0058172F"/>
    <w:rsid w:val="005817E2"/>
    <w:rsid w:val="0058185E"/>
    <w:rsid w:val="005819EB"/>
    <w:rsid w:val="00581BF7"/>
    <w:rsid w:val="00582013"/>
    <w:rsid w:val="00582165"/>
    <w:rsid w:val="005829F9"/>
    <w:rsid w:val="005830C9"/>
    <w:rsid w:val="00583794"/>
    <w:rsid w:val="00583CCD"/>
    <w:rsid w:val="00583D52"/>
    <w:rsid w:val="00584D20"/>
    <w:rsid w:val="00585392"/>
    <w:rsid w:val="005862D1"/>
    <w:rsid w:val="0058658A"/>
    <w:rsid w:val="0058658D"/>
    <w:rsid w:val="00586817"/>
    <w:rsid w:val="00586975"/>
    <w:rsid w:val="005869DB"/>
    <w:rsid w:val="00586B47"/>
    <w:rsid w:val="00586C28"/>
    <w:rsid w:val="00586FF7"/>
    <w:rsid w:val="0059016C"/>
    <w:rsid w:val="00590840"/>
    <w:rsid w:val="00590B24"/>
    <w:rsid w:val="00590BB5"/>
    <w:rsid w:val="00590D3A"/>
    <w:rsid w:val="0059123B"/>
    <w:rsid w:val="005916A5"/>
    <w:rsid w:val="00592601"/>
    <w:rsid w:val="00592FFA"/>
    <w:rsid w:val="005933A0"/>
    <w:rsid w:val="005946F5"/>
    <w:rsid w:val="00594C07"/>
    <w:rsid w:val="00595710"/>
    <w:rsid w:val="00595E6B"/>
    <w:rsid w:val="0059656F"/>
    <w:rsid w:val="0059673F"/>
    <w:rsid w:val="00596BFF"/>
    <w:rsid w:val="00596E00"/>
    <w:rsid w:val="00596F49"/>
    <w:rsid w:val="0059726B"/>
    <w:rsid w:val="0059737C"/>
    <w:rsid w:val="005974E6"/>
    <w:rsid w:val="005978C4"/>
    <w:rsid w:val="005A0337"/>
    <w:rsid w:val="005A0383"/>
    <w:rsid w:val="005A0806"/>
    <w:rsid w:val="005A0BCA"/>
    <w:rsid w:val="005A111B"/>
    <w:rsid w:val="005A1300"/>
    <w:rsid w:val="005A13D0"/>
    <w:rsid w:val="005A1580"/>
    <w:rsid w:val="005A1A91"/>
    <w:rsid w:val="005A21EF"/>
    <w:rsid w:val="005A22D6"/>
    <w:rsid w:val="005A28D2"/>
    <w:rsid w:val="005A29E9"/>
    <w:rsid w:val="005A2C1F"/>
    <w:rsid w:val="005A39DB"/>
    <w:rsid w:val="005A3A94"/>
    <w:rsid w:val="005A40B2"/>
    <w:rsid w:val="005A4438"/>
    <w:rsid w:val="005A46F1"/>
    <w:rsid w:val="005A4D5B"/>
    <w:rsid w:val="005A507C"/>
    <w:rsid w:val="005A5402"/>
    <w:rsid w:val="005A59DF"/>
    <w:rsid w:val="005A5B88"/>
    <w:rsid w:val="005A65FE"/>
    <w:rsid w:val="005A6909"/>
    <w:rsid w:val="005A696A"/>
    <w:rsid w:val="005A6D6F"/>
    <w:rsid w:val="005A72A9"/>
    <w:rsid w:val="005A72C1"/>
    <w:rsid w:val="005A7C0D"/>
    <w:rsid w:val="005B0067"/>
    <w:rsid w:val="005B0882"/>
    <w:rsid w:val="005B165E"/>
    <w:rsid w:val="005B16CC"/>
    <w:rsid w:val="005B1A1C"/>
    <w:rsid w:val="005B1AF1"/>
    <w:rsid w:val="005B1E3E"/>
    <w:rsid w:val="005B2068"/>
    <w:rsid w:val="005B280B"/>
    <w:rsid w:val="005B2828"/>
    <w:rsid w:val="005B294D"/>
    <w:rsid w:val="005B2B33"/>
    <w:rsid w:val="005B3220"/>
    <w:rsid w:val="005B37D1"/>
    <w:rsid w:val="005B3B77"/>
    <w:rsid w:val="005B498B"/>
    <w:rsid w:val="005B4B95"/>
    <w:rsid w:val="005B4BB1"/>
    <w:rsid w:val="005B4BB6"/>
    <w:rsid w:val="005B4D01"/>
    <w:rsid w:val="005B52C9"/>
    <w:rsid w:val="005B5A6F"/>
    <w:rsid w:val="005B5AAD"/>
    <w:rsid w:val="005B6B50"/>
    <w:rsid w:val="005B6E67"/>
    <w:rsid w:val="005B6FDD"/>
    <w:rsid w:val="005B73E8"/>
    <w:rsid w:val="005B759C"/>
    <w:rsid w:val="005B7975"/>
    <w:rsid w:val="005B7D7A"/>
    <w:rsid w:val="005C003E"/>
    <w:rsid w:val="005C020C"/>
    <w:rsid w:val="005C03BB"/>
    <w:rsid w:val="005C0DD8"/>
    <w:rsid w:val="005C0FE2"/>
    <w:rsid w:val="005C13F9"/>
    <w:rsid w:val="005C1523"/>
    <w:rsid w:val="005C17C7"/>
    <w:rsid w:val="005C1C01"/>
    <w:rsid w:val="005C1DBD"/>
    <w:rsid w:val="005C2016"/>
    <w:rsid w:val="005C2143"/>
    <w:rsid w:val="005C2874"/>
    <w:rsid w:val="005C3F4A"/>
    <w:rsid w:val="005C529F"/>
    <w:rsid w:val="005C5A56"/>
    <w:rsid w:val="005C61A2"/>
    <w:rsid w:val="005C681E"/>
    <w:rsid w:val="005C69A0"/>
    <w:rsid w:val="005C6F8B"/>
    <w:rsid w:val="005C71CE"/>
    <w:rsid w:val="005C7402"/>
    <w:rsid w:val="005C7727"/>
    <w:rsid w:val="005C7F4D"/>
    <w:rsid w:val="005D014B"/>
    <w:rsid w:val="005D0169"/>
    <w:rsid w:val="005D045C"/>
    <w:rsid w:val="005D089A"/>
    <w:rsid w:val="005D0DBF"/>
    <w:rsid w:val="005D0E1D"/>
    <w:rsid w:val="005D14C1"/>
    <w:rsid w:val="005D1C7C"/>
    <w:rsid w:val="005D20BB"/>
    <w:rsid w:val="005D216F"/>
    <w:rsid w:val="005D2186"/>
    <w:rsid w:val="005D2241"/>
    <w:rsid w:val="005D2F05"/>
    <w:rsid w:val="005D2FFF"/>
    <w:rsid w:val="005D361F"/>
    <w:rsid w:val="005D39B7"/>
    <w:rsid w:val="005D3C24"/>
    <w:rsid w:val="005D3C76"/>
    <w:rsid w:val="005D3D65"/>
    <w:rsid w:val="005D441E"/>
    <w:rsid w:val="005D44BC"/>
    <w:rsid w:val="005D4547"/>
    <w:rsid w:val="005D45F7"/>
    <w:rsid w:val="005D4ADB"/>
    <w:rsid w:val="005D4F66"/>
    <w:rsid w:val="005D500B"/>
    <w:rsid w:val="005D578A"/>
    <w:rsid w:val="005D5C00"/>
    <w:rsid w:val="005D5EC8"/>
    <w:rsid w:val="005D61C2"/>
    <w:rsid w:val="005D6922"/>
    <w:rsid w:val="005D6EF5"/>
    <w:rsid w:val="005D70C7"/>
    <w:rsid w:val="005D731C"/>
    <w:rsid w:val="005D7A6A"/>
    <w:rsid w:val="005D7C68"/>
    <w:rsid w:val="005E12AE"/>
    <w:rsid w:val="005E1544"/>
    <w:rsid w:val="005E1C90"/>
    <w:rsid w:val="005E207B"/>
    <w:rsid w:val="005E2962"/>
    <w:rsid w:val="005E29DE"/>
    <w:rsid w:val="005E2FFC"/>
    <w:rsid w:val="005E3237"/>
    <w:rsid w:val="005E3445"/>
    <w:rsid w:val="005E3923"/>
    <w:rsid w:val="005E3A3F"/>
    <w:rsid w:val="005E3C3F"/>
    <w:rsid w:val="005E3D54"/>
    <w:rsid w:val="005E3F49"/>
    <w:rsid w:val="005E4204"/>
    <w:rsid w:val="005E4425"/>
    <w:rsid w:val="005E47AA"/>
    <w:rsid w:val="005E4903"/>
    <w:rsid w:val="005E50DF"/>
    <w:rsid w:val="005E5B9E"/>
    <w:rsid w:val="005E616C"/>
    <w:rsid w:val="005E652D"/>
    <w:rsid w:val="005E6920"/>
    <w:rsid w:val="005E7729"/>
    <w:rsid w:val="005E7B0B"/>
    <w:rsid w:val="005F055E"/>
    <w:rsid w:val="005F1F8B"/>
    <w:rsid w:val="005F2272"/>
    <w:rsid w:val="005F230F"/>
    <w:rsid w:val="005F23FA"/>
    <w:rsid w:val="005F3DA8"/>
    <w:rsid w:val="005F412E"/>
    <w:rsid w:val="005F4DA8"/>
    <w:rsid w:val="005F4E30"/>
    <w:rsid w:val="005F50F9"/>
    <w:rsid w:val="005F53D7"/>
    <w:rsid w:val="005F55A6"/>
    <w:rsid w:val="005F56E6"/>
    <w:rsid w:val="005F5884"/>
    <w:rsid w:val="005F6E5B"/>
    <w:rsid w:val="005F6E5D"/>
    <w:rsid w:val="005F6FDA"/>
    <w:rsid w:val="005F7050"/>
    <w:rsid w:val="005F7131"/>
    <w:rsid w:val="005F7730"/>
    <w:rsid w:val="005F7DDE"/>
    <w:rsid w:val="00600215"/>
    <w:rsid w:val="00600518"/>
    <w:rsid w:val="0060057D"/>
    <w:rsid w:val="00600588"/>
    <w:rsid w:val="00600836"/>
    <w:rsid w:val="0060083C"/>
    <w:rsid w:val="00600A76"/>
    <w:rsid w:val="00600ADC"/>
    <w:rsid w:val="00601207"/>
    <w:rsid w:val="0060142F"/>
    <w:rsid w:val="00601CA5"/>
    <w:rsid w:val="00601DD1"/>
    <w:rsid w:val="006021FE"/>
    <w:rsid w:val="0060265F"/>
    <w:rsid w:val="0060269E"/>
    <w:rsid w:val="00602DB6"/>
    <w:rsid w:val="00602FA8"/>
    <w:rsid w:val="0060325D"/>
    <w:rsid w:val="00603A5D"/>
    <w:rsid w:val="00603C53"/>
    <w:rsid w:val="00603C84"/>
    <w:rsid w:val="00603F8E"/>
    <w:rsid w:val="0060492F"/>
    <w:rsid w:val="00604A94"/>
    <w:rsid w:val="00604EA3"/>
    <w:rsid w:val="0060510E"/>
    <w:rsid w:val="006053E0"/>
    <w:rsid w:val="00605959"/>
    <w:rsid w:val="00605B5A"/>
    <w:rsid w:val="00605E5E"/>
    <w:rsid w:val="00606733"/>
    <w:rsid w:val="00606F96"/>
    <w:rsid w:val="006074BE"/>
    <w:rsid w:val="00607890"/>
    <w:rsid w:val="0060789F"/>
    <w:rsid w:val="00607D54"/>
    <w:rsid w:val="006105AA"/>
    <w:rsid w:val="0061070A"/>
    <w:rsid w:val="006109C3"/>
    <w:rsid w:val="006109C5"/>
    <w:rsid w:val="00610F8C"/>
    <w:rsid w:val="0061121D"/>
    <w:rsid w:val="00611AA0"/>
    <w:rsid w:val="00611D3D"/>
    <w:rsid w:val="00611D53"/>
    <w:rsid w:val="0061211A"/>
    <w:rsid w:val="006125BF"/>
    <w:rsid w:val="0061292D"/>
    <w:rsid w:val="0061338F"/>
    <w:rsid w:val="00613CB9"/>
    <w:rsid w:val="00613D92"/>
    <w:rsid w:val="00613E14"/>
    <w:rsid w:val="0061464A"/>
    <w:rsid w:val="00614C57"/>
    <w:rsid w:val="00614CFB"/>
    <w:rsid w:val="00614D92"/>
    <w:rsid w:val="006153B6"/>
    <w:rsid w:val="006157D7"/>
    <w:rsid w:val="00615B7A"/>
    <w:rsid w:val="00615F4E"/>
    <w:rsid w:val="006163D5"/>
    <w:rsid w:val="00616D7A"/>
    <w:rsid w:val="00617274"/>
    <w:rsid w:val="006173AB"/>
    <w:rsid w:val="006174EC"/>
    <w:rsid w:val="00617BC8"/>
    <w:rsid w:val="006200AD"/>
    <w:rsid w:val="00620100"/>
    <w:rsid w:val="006201B7"/>
    <w:rsid w:val="00620293"/>
    <w:rsid w:val="0062071F"/>
    <w:rsid w:val="00620A14"/>
    <w:rsid w:val="00620A79"/>
    <w:rsid w:val="00620B06"/>
    <w:rsid w:val="00620DD4"/>
    <w:rsid w:val="00621059"/>
    <w:rsid w:val="006213D3"/>
    <w:rsid w:val="00621B6B"/>
    <w:rsid w:val="00621BEA"/>
    <w:rsid w:val="00621C2A"/>
    <w:rsid w:val="0062206F"/>
    <w:rsid w:val="006220A6"/>
    <w:rsid w:val="00622C0B"/>
    <w:rsid w:val="00622E2B"/>
    <w:rsid w:val="0062304D"/>
    <w:rsid w:val="0062311E"/>
    <w:rsid w:val="006237CF"/>
    <w:rsid w:val="00623A1C"/>
    <w:rsid w:val="00623C3D"/>
    <w:rsid w:val="00623D6A"/>
    <w:rsid w:val="00624429"/>
    <w:rsid w:val="00624917"/>
    <w:rsid w:val="00624A6E"/>
    <w:rsid w:val="00624DC1"/>
    <w:rsid w:val="006256DC"/>
    <w:rsid w:val="006257CB"/>
    <w:rsid w:val="00625E59"/>
    <w:rsid w:val="00627313"/>
    <w:rsid w:val="0062757D"/>
    <w:rsid w:val="00627EE5"/>
    <w:rsid w:val="00630224"/>
    <w:rsid w:val="006307D7"/>
    <w:rsid w:val="006309DD"/>
    <w:rsid w:val="006314FE"/>
    <w:rsid w:val="00631868"/>
    <w:rsid w:val="0063186A"/>
    <w:rsid w:val="006321FD"/>
    <w:rsid w:val="00632241"/>
    <w:rsid w:val="00632A33"/>
    <w:rsid w:val="00632AE5"/>
    <w:rsid w:val="00633385"/>
    <w:rsid w:val="006338A6"/>
    <w:rsid w:val="00633A0B"/>
    <w:rsid w:val="00633A1D"/>
    <w:rsid w:val="00633D69"/>
    <w:rsid w:val="00634172"/>
    <w:rsid w:val="006343BB"/>
    <w:rsid w:val="006345CC"/>
    <w:rsid w:val="00634709"/>
    <w:rsid w:val="00635BA4"/>
    <w:rsid w:val="00635F81"/>
    <w:rsid w:val="0063627A"/>
    <w:rsid w:val="0063643B"/>
    <w:rsid w:val="006366DA"/>
    <w:rsid w:val="0063674D"/>
    <w:rsid w:val="00636BD8"/>
    <w:rsid w:val="00636CF1"/>
    <w:rsid w:val="00636E92"/>
    <w:rsid w:val="006372DA"/>
    <w:rsid w:val="006375FC"/>
    <w:rsid w:val="0063774A"/>
    <w:rsid w:val="00637A96"/>
    <w:rsid w:val="00637CBF"/>
    <w:rsid w:val="006400A1"/>
    <w:rsid w:val="006406E5"/>
    <w:rsid w:val="006407C8"/>
    <w:rsid w:val="00640E50"/>
    <w:rsid w:val="00640FD2"/>
    <w:rsid w:val="006410D5"/>
    <w:rsid w:val="006413A2"/>
    <w:rsid w:val="00641481"/>
    <w:rsid w:val="00641D9E"/>
    <w:rsid w:val="00641DBD"/>
    <w:rsid w:val="00642063"/>
    <w:rsid w:val="0064287A"/>
    <w:rsid w:val="00643194"/>
    <w:rsid w:val="00643457"/>
    <w:rsid w:val="00643C80"/>
    <w:rsid w:val="00644052"/>
    <w:rsid w:val="006442C0"/>
    <w:rsid w:val="00645789"/>
    <w:rsid w:val="006460ED"/>
    <w:rsid w:val="0064630F"/>
    <w:rsid w:val="006469B3"/>
    <w:rsid w:val="00646D56"/>
    <w:rsid w:val="00646DB0"/>
    <w:rsid w:val="00646EAD"/>
    <w:rsid w:val="00647373"/>
    <w:rsid w:val="006473A8"/>
    <w:rsid w:val="00647935"/>
    <w:rsid w:val="00650030"/>
    <w:rsid w:val="00650438"/>
    <w:rsid w:val="006509A1"/>
    <w:rsid w:val="006509A6"/>
    <w:rsid w:val="006509E7"/>
    <w:rsid w:val="006510DC"/>
    <w:rsid w:val="006513B0"/>
    <w:rsid w:val="006514C1"/>
    <w:rsid w:val="006518C4"/>
    <w:rsid w:val="00651923"/>
    <w:rsid w:val="00651DB2"/>
    <w:rsid w:val="006520A6"/>
    <w:rsid w:val="0065210F"/>
    <w:rsid w:val="0065219F"/>
    <w:rsid w:val="00652A8E"/>
    <w:rsid w:val="00652AAD"/>
    <w:rsid w:val="00652BA1"/>
    <w:rsid w:val="00652BCF"/>
    <w:rsid w:val="00652D00"/>
    <w:rsid w:val="00652F0D"/>
    <w:rsid w:val="00653AF4"/>
    <w:rsid w:val="0065484D"/>
    <w:rsid w:val="00654A14"/>
    <w:rsid w:val="00654B36"/>
    <w:rsid w:val="006550C4"/>
    <w:rsid w:val="0065573B"/>
    <w:rsid w:val="00656582"/>
    <w:rsid w:val="00656A29"/>
    <w:rsid w:val="00656A41"/>
    <w:rsid w:val="00656C73"/>
    <w:rsid w:val="006579C3"/>
    <w:rsid w:val="00657DFB"/>
    <w:rsid w:val="00660765"/>
    <w:rsid w:val="006608C2"/>
    <w:rsid w:val="00660B79"/>
    <w:rsid w:val="00660C86"/>
    <w:rsid w:val="00660DE5"/>
    <w:rsid w:val="00661A44"/>
    <w:rsid w:val="00661AED"/>
    <w:rsid w:val="00661F93"/>
    <w:rsid w:val="00662134"/>
    <w:rsid w:val="006632D4"/>
    <w:rsid w:val="006637A7"/>
    <w:rsid w:val="006638DC"/>
    <w:rsid w:val="00663B86"/>
    <w:rsid w:val="00663FF0"/>
    <w:rsid w:val="006640B6"/>
    <w:rsid w:val="00664B9F"/>
    <w:rsid w:val="006656CB"/>
    <w:rsid w:val="00665814"/>
    <w:rsid w:val="00665931"/>
    <w:rsid w:val="00665969"/>
    <w:rsid w:val="00665BA0"/>
    <w:rsid w:val="00665C07"/>
    <w:rsid w:val="00665C54"/>
    <w:rsid w:val="00665D0B"/>
    <w:rsid w:val="00665E15"/>
    <w:rsid w:val="006665A8"/>
    <w:rsid w:val="006665C9"/>
    <w:rsid w:val="00666A24"/>
    <w:rsid w:val="00667283"/>
    <w:rsid w:val="00667582"/>
    <w:rsid w:val="006676BE"/>
    <w:rsid w:val="0066788F"/>
    <w:rsid w:val="00670342"/>
    <w:rsid w:val="00670AC1"/>
    <w:rsid w:val="00671381"/>
    <w:rsid w:val="006715CC"/>
    <w:rsid w:val="006715FC"/>
    <w:rsid w:val="00671A97"/>
    <w:rsid w:val="00671FCA"/>
    <w:rsid w:val="006729BC"/>
    <w:rsid w:val="00672A58"/>
    <w:rsid w:val="00673703"/>
    <w:rsid w:val="006742B6"/>
    <w:rsid w:val="0067473B"/>
    <w:rsid w:val="00674EAA"/>
    <w:rsid w:val="00674FA0"/>
    <w:rsid w:val="00675076"/>
    <w:rsid w:val="006752B0"/>
    <w:rsid w:val="006755AD"/>
    <w:rsid w:val="00675742"/>
    <w:rsid w:val="00675990"/>
    <w:rsid w:val="00675FB8"/>
    <w:rsid w:val="006761F0"/>
    <w:rsid w:val="0067636C"/>
    <w:rsid w:val="00676468"/>
    <w:rsid w:val="00676577"/>
    <w:rsid w:val="0067684E"/>
    <w:rsid w:val="00676D67"/>
    <w:rsid w:val="00676EE0"/>
    <w:rsid w:val="0067708D"/>
    <w:rsid w:val="0067717B"/>
    <w:rsid w:val="0067749D"/>
    <w:rsid w:val="00677914"/>
    <w:rsid w:val="00677B17"/>
    <w:rsid w:val="00677C1D"/>
    <w:rsid w:val="0068066E"/>
    <w:rsid w:val="0068098E"/>
    <w:rsid w:val="00680CFA"/>
    <w:rsid w:val="00681648"/>
    <w:rsid w:val="00681D13"/>
    <w:rsid w:val="006823D2"/>
    <w:rsid w:val="00682E32"/>
    <w:rsid w:val="00683083"/>
    <w:rsid w:val="006833F9"/>
    <w:rsid w:val="00683C48"/>
    <w:rsid w:val="00683E6D"/>
    <w:rsid w:val="0068477C"/>
    <w:rsid w:val="00684AC1"/>
    <w:rsid w:val="00684BA6"/>
    <w:rsid w:val="006850F2"/>
    <w:rsid w:val="006851FA"/>
    <w:rsid w:val="00685829"/>
    <w:rsid w:val="00685903"/>
    <w:rsid w:val="00685DA9"/>
    <w:rsid w:val="00685E0E"/>
    <w:rsid w:val="006861B9"/>
    <w:rsid w:val="00686D3E"/>
    <w:rsid w:val="00686DD4"/>
    <w:rsid w:val="00686FE5"/>
    <w:rsid w:val="0068736F"/>
    <w:rsid w:val="0068749E"/>
    <w:rsid w:val="006878E7"/>
    <w:rsid w:val="00690005"/>
    <w:rsid w:val="00690230"/>
    <w:rsid w:val="00690385"/>
    <w:rsid w:val="00690D18"/>
    <w:rsid w:val="00690D3B"/>
    <w:rsid w:val="0069101A"/>
    <w:rsid w:val="006916E5"/>
    <w:rsid w:val="00691BAF"/>
    <w:rsid w:val="00691BCC"/>
    <w:rsid w:val="0069220F"/>
    <w:rsid w:val="00692672"/>
    <w:rsid w:val="00692801"/>
    <w:rsid w:val="006928EF"/>
    <w:rsid w:val="00692A13"/>
    <w:rsid w:val="00692A48"/>
    <w:rsid w:val="00692C7A"/>
    <w:rsid w:val="00692E3D"/>
    <w:rsid w:val="00693540"/>
    <w:rsid w:val="00693B05"/>
    <w:rsid w:val="00693DC6"/>
    <w:rsid w:val="00694015"/>
    <w:rsid w:val="00694112"/>
    <w:rsid w:val="006948A9"/>
    <w:rsid w:val="00694901"/>
    <w:rsid w:val="00694CD6"/>
    <w:rsid w:val="00694CE3"/>
    <w:rsid w:val="00694EC3"/>
    <w:rsid w:val="00695438"/>
    <w:rsid w:val="006954B8"/>
    <w:rsid w:val="006955C3"/>
    <w:rsid w:val="00695A90"/>
    <w:rsid w:val="00695F8C"/>
    <w:rsid w:val="006966A3"/>
    <w:rsid w:val="00696856"/>
    <w:rsid w:val="00696AD1"/>
    <w:rsid w:val="00696E5B"/>
    <w:rsid w:val="00697133"/>
    <w:rsid w:val="00697B1F"/>
    <w:rsid w:val="006A0076"/>
    <w:rsid w:val="006A037C"/>
    <w:rsid w:val="006A0B32"/>
    <w:rsid w:val="006A1160"/>
    <w:rsid w:val="006A119B"/>
    <w:rsid w:val="006A15E3"/>
    <w:rsid w:val="006A1717"/>
    <w:rsid w:val="006A1D7A"/>
    <w:rsid w:val="006A26E6"/>
    <w:rsid w:val="006A26EB"/>
    <w:rsid w:val="006A29B0"/>
    <w:rsid w:val="006A2BFD"/>
    <w:rsid w:val="006A2DE6"/>
    <w:rsid w:val="006A3296"/>
    <w:rsid w:val="006A387B"/>
    <w:rsid w:val="006A3E55"/>
    <w:rsid w:val="006A4198"/>
    <w:rsid w:val="006A4456"/>
    <w:rsid w:val="006A462B"/>
    <w:rsid w:val="006A49FE"/>
    <w:rsid w:val="006A527F"/>
    <w:rsid w:val="006A5337"/>
    <w:rsid w:val="006A5DE9"/>
    <w:rsid w:val="006A60B3"/>
    <w:rsid w:val="006A60FA"/>
    <w:rsid w:val="006A6419"/>
    <w:rsid w:val="006A6704"/>
    <w:rsid w:val="006A6776"/>
    <w:rsid w:val="006A689C"/>
    <w:rsid w:val="006A69A3"/>
    <w:rsid w:val="006A6C7D"/>
    <w:rsid w:val="006A7693"/>
    <w:rsid w:val="006B01BE"/>
    <w:rsid w:val="006B0837"/>
    <w:rsid w:val="006B085E"/>
    <w:rsid w:val="006B099C"/>
    <w:rsid w:val="006B1120"/>
    <w:rsid w:val="006B13D1"/>
    <w:rsid w:val="006B1590"/>
    <w:rsid w:val="006B15D2"/>
    <w:rsid w:val="006B1984"/>
    <w:rsid w:val="006B1C39"/>
    <w:rsid w:val="006B1EE8"/>
    <w:rsid w:val="006B1F50"/>
    <w:rsid w:val="006B238C"/>
    <w:rsid w:val="006B2414"/>
    <w:rsid w:val="006B265D"/>
    <w:rsid w:val="006B272A"/>
    <w:rsid w:val="006B2800"/>
    <w:rsid w:val="006B2CDE"/>
    <w:rsid w:val="006B3224"/>
    <w:rsid w:val="006B3333"/>
    <w:rsid w:val="006B33EB"/>
    <w:rsid w:val="006B34B2"/>
    <w:rsid w:val="006B423F"/>
    <w:rsid w:val="006B49CC"/>
    <w:rsid w:val="006B49FA"/>
    <w:rsid w:val="006B5041"/>
    <w:rsid w:val="006B5091"/>
    <w:rsid w:val="006B5193"/>
    <w:rsid w:val="006B5939"/>
    <w:rsid w:val="006B5A2A"/>
    <w:rsid w:val="006B6002"/>
    <w:rsid w:val="006B668E"/>
    <w:rsid w:val="006B6B8F"/>
    <w:rsid w:val="006B6BBC"/>
    <w:rsid w:val="006B73A4"/>
    <w:rsid w:val="006B7686"/>
    <w:rsid w:val="006B76DB"/>
    <w:rsid w:val="006C090B"/>
    <w:rsid w:val="006C15FF"/>
    <w:rsid w:val="006C1B95"/>
    <w:rsid w:val="006C1E80"/>
    <w:rsid w:val="006C2191"/>
    <w:rsid w:val="006C45A4"/>
    <w:rsid w:val="006C519F"/>
    <w:rsid w:val="006C55FE"/>
    <w:rsid w:val="006C6216"/>
    <w:rsid w:val="006C635C"/>
    <w:rsid w:val="006C6B84"/>
    <w:rsid w:val="006C6D92"/>
    <w:rsid w:val="006C7288"/>
    <w:rsid w:val="006C7C50"/>
    <w:rsid w:val="006C7F24"/>
    <w:rsid w:val="006D009D"/>
    <w:rsid w:val="006D0986"/>
    <w:rsid w:val="006D0A40"/>
    <w:rsid w:val="006D1461"/>
    <w:rsid w:val="006D15CE"/>
    <w:rsid w:val="006D1732"/>
    <w:rsid w:val="006D1788"/>
    <w:rsid w:val="006D17D3"/>
    <w:rsid w:val="006D1B0A"/>
    <w:rsid w:val="006D1D9B"/>
    <w:rsid w:val="006D230A"/>
    <w:rsid w:val="006D29DA"/>
    <w:rsid w:val="006D2DCD"/>
    <w:rsid w:val="006D3AC2"/>
    <w:rsid w:val="006D3B4B"/>
    <w:rsid w:val="006D3FC9"/>
    <w:rsid w:val="006D43EE"/>
    <w:rsid w:val="006D491D"/>
    <w:rsid w:val="006D4D29"/>
    <w:rsid w:val="006D5437"/>
    <w:rsid w:val="006D55EB"/>
    <w:rsid w:val="006D57BA"/>
    <w:rsid w:val="006D58D1"/>
    <w:rsid w:val="006D615C"/>
    <w:rsid w:val="006D63CA"/>
    <w:rsid w:val="006D643A"/>
    <w:rsid w:val="006D686A"/>
    <w:rsid w:val="006D7002"/>
    <w:rsid w:val="006D7742"/>
    <w:rsid w:val="006D7764"/>
    <w:rsid w:val="006D7A2C"/>
    <w:rsid w:val="006D7CDB"/>
    <w:rsid w:val="006D7DA3"/>
    <w:rsid w:val="006D7FAE"/>
    <w:rsid w:val="006E0067"/>
    <w:rsid w:val="006E022B"/>
    <w:rsid w:val="006E0340"/>
    <w:rsid w:val="006E038E"/>
    <w:rsid w:val="006E071D"/>
    <w:rsid w:val="006E0BE7"/>
    <w:rsid w:val="006E0C58"/>
    <w:rsid w:val="006E0D48"/>
    <w:rsid w:val="006E0D90"/>
    <w:rsid w:val="006E0DF5"/>
    <w:rsid w:val="006E1421"/>
    <w:rsid w:val="006E1514"/>
    <w:rsid w:val="006E21BA"/>
    <w:rsid w:val="006E2B95"/>
    <w:rsid w:val="006E2CC9"/>
    <w:rsid w:val="006E30C2"/>
    <w:rsid w:val="006E3219"/>
    <w:rsid w:val="006E34D7"/>
    <w:rsid w:val="006E371B"/>
    <w:rsid w:val="006E3C52"/>
    <w:rsid w:val="006E3D20"/>
    <w:rsid w:val="006E49A8"/>
    <w:rsid w:val="006E4C80"/>
    <w:rsid w:val="006E4EE2"/>
    <w:rsid w:val="006E51C3"/>
    <w:rsid w:val="006E52BE"/>
    <w:rsid w:val="006E54CF"/>
    <w:rsid w:val="006E588E"/>
    <w:rsid w:val="006E6610"/>
    <w:rsid w:val="006E67B9"/>
    <w:rsid w:val="006E6D4C"/>
    <w:rsid w:val="006E712C"/>
    <w:rsid w:val="006E74AA"/>
    <w:rsid w:val="006E779C"/>
    <w:rsid w:val="006E7E49"/>
    <w:rsid w:val="006F008E"/>
    <w:rsid w:val="006F0208"/>
    <w:rsid w:val="006F039C"/>
    <w:rsid w:val="006F0E81"/>
    <w:rsid w:val="006F0F5F"/>
    <w:rsid w:val="006F1A30"/>
    <w:rsid w:val="006F1D8F"/>
    <w:rsid w:val="006F1F5E"/>
    <w:rsid w:val="006F219D"/>
    <w:rsid w:val="006F242C"/>
    <w:rsid w:val="006F24ED"/>
    <w:rsid w:val="006F2CC6"/>
    <w:rsid w:val="006F331A"/>
    <w:rsid w:val="006F3431"/>
    <w:rsid w:val="006F34A6"/>
    <w:rsid w:val="006F3C21"/>
    <w:rsid w:val="006F43DA"/>
    <w:rsid w:val="006F4720"/>
    <w:rsid w:val="006F4C40"/>
    <w:rsid w:val="006F529A"/>
    <w:rsid w:val="006F5A2A"/>
    <w:rsid w:val="006F5ED4"/>
    <w:rsid w:val="006F60B3"/>
    <w:rsid w:val="006F62EA"/>
    <w:rsid w:val="006F63BE"/>
    <w:rsid w:val="006F6561"/>
    <w:rsid w:val="006F6BC0"/>
    <w:rsid w:val="006F6DB0"/>
    <w:rsid w:val="006F6F89"/>
    <w:rsid w:val="006F705B"/>
    <w:rsid w:val="006F7210"/>
    <w:rsid w:val="006F78D8"/>
    <w:rsid w:val="006F7CDF"/>
    <w:rsid w:val="00700423"/>
    <w:rsid w:val="00700638"/>
    <w:rsid w:val="007007D2"/>
    <w:rsid w:val="007011F2"/>
    <w:rsid w:val="007012F8"/>
    <w:rsid w:val="007013DC"/>
    <w:rsid w:val="00701669"/>
    <w:rsid w:val="00701A07"/>
    <w:rsid w:val="00701D51"/>
    <w:rsid w:val="00701F4F"/>
    <w:rsid w:val="0070203E"/>
    <w:rsid w:val="00702355"/>
    <w:rsid w:val="0070266C"/>
    <w:rsid w:val="007026C2"/>
    <w:rsid w:val="007027C3"/>
    <w:rsid w:val="007029BB"/>
    <w:rsid w:val="00702EED"/>
    <w:rsid w:val="00702F21"/>
    <w:rsid w:val="00703E2A"/>
    <w:rsid w:val="00703F7D"/>
    <w:rsid w:val="007042ED"/>
    <w:rsid w:val="00704617"/>
    <w:rsid w:val="0070479C"/>
    <w:rsid w:val="00704CF5"/>
    <w:rsid w:val="00704ECA"/>
    <w:rsid w:val="0070512B"/>
    <w:rsid w:val="00705735"/>
    <w:rsid w:val="00705BD5"/>
    <w:rsid w:val="00705BE1"/>
    <w:rsid w:val="00706D94"/>
    <w:rsid w:val="00706F82"/>
    <w:rsid w:val="00707360"/>
    <w:rsid w:val="0070752F"/>
    <w:rsid w:val="007075CE"/>
    <w:rsid w:val="00707CD8"/>
    <w:rsid w:val="00707F1A"/>
    <w:rsid w:val="0071038B"/>
    <w:rsid w:val="00710683"/>
    <w:rsid w:val="0071086F"/>
    <w:rsid w:val="00710D86"/>
    <w:rsid w:val="0071130D"/>
    <w:rsid w:val="0071160E"/>
    <w:rsid w:val="00711971"/>
    <w:rsid w:val="00711AE4"/>
    <w:rsid w:val="007123C0"/>
    <w:rsid w:val="00712497"/>
    <w:rsid w:val="00712536"/>
    <w:rsid w:val="007127C7"/>
    <w:rsid w:val="00713608"/>
    <w:rsid w:val="007137C1"/>
    <w:rsid w:val="00713D91"/>
    <w:rsid w:val="00713F80"/>
    <w:rsid w:val="00714425"/>
    <w:rsid w:val="007145A3"/>
    <w:rsid w:val="00714810"/>
    <w:rsid w:val="00714E01"/>
    <w:rsid w:val="00714E4E"/>
    <w:rsid w:val="00714E8D"/>
    <w:rsid w:val="00714ECA"/>
    <w:rsid w:val="00715121"/>
    <w:rsid w:val="007153FE"/>
    <w:rsid w:val="00715A66"/>
    <w:rsid w:val="00715EC4"/>
    <w:rsid w:val="00715FC2"/>
    <w:rsid w:val="007161F8"/>
    <w:rsid w:val="0071681D"/>
    <w:rsid w:val="00717666"/>
    <w:rsid w:val="00717EE2"/>
    <w:rsid w:val="00720982"/>
    <w:rsid w:val="00721129"/>
    <w:rsid w:val="007213B8"/>
    <w:rsid w:val="007216DA"/>
    <w:rsid w:val="007217C5"/>
    <w:rsid w:val="00721D13"/>
    <w:rsid w:val="00722203"/>
    <w:rsid w:val="007223B7"/>
    <w:rsid w:val="007226A7"/>
    <w:rsid w:val="00722741"/>
    <w:rsid w:val="0072282C"/>
    <w:rsid w:val="007232A7"/>
    <w:rsid w:val="007236F3"/>
    <w:rsid w:val="00723B77"/>
    <w:rsid w:val="007246F9"/>
    <w:rsid w:val="00724861"/>
    <w:rsid w:val="0072493B"/>
    <w:rsid w:val="0072495D"/>
    <w:rsid w:val="00724AAB"/>
    <w:rsid w:val="00724C3A"/>
    <w:rsid w:val="00724FB7"/>
    <w:rsid w:val="00725858"/>
    <w:rsid w:val="0072585B"/>
    <w:rsid w:val="00725E78"/>
    <w:rsid w:val="00725F59"/>
    <w:rsid w:val="00726245"/>
    <w:rsid w:val="00726481"/>
    <w:rsid w:val="00726499"/>
    <w:rsid w:val="00726BFE"/>
    <w:rsid w:val="00726F28"/>
    <w:rsid w:val="00727128"/>
    <w:rsid w:val="007275D9"/>
    <w:rsid w:val="00727F0F"/>
    <w:rsid w:val="00730FEA"/>
    <w:rsid w:val="00731711"/>
    <w:rsid w:val="007317D0"/>
    <w:rsid w:val="0073204E"/>
    <w:rsid w:val="00732363"/>
    <w:rsid w:val="00732AC3"/>
    <w:rsid w:val="00732ACD"/>
    <w:rsid w:val="00732E3D"/>
    <w:rsid w:val="007332FA"/>
    <w:rsid w:val="007336D5"/>
    <w:rsid w:val="00733AEC"/>
    <w:rsid w:val="00733BBB"/>
    <w:rsid w:val="00733F24"/>
    <w:rsid w:val="007342E4"/>
    <w:rsid w:val="007343B6"/>
    <w:rsid w:val="00734BC3"/>
    <w:rsid w:val="00734D1E"/>
    <w:rsid w:val="00735023"/>
    <w:rsid w:val="0073506E"/>
    <w:rsid w:val="007354AC"/>
    <w:rsid w:val="0073595A"/>
    <w:rsid w:val="007360B7"/>
    <w:rsid w:val="007360FC"/>
    <w:rsid w:val="0073610F"/>
    <w:rsid w:val="00736496"/>
    <w:rsid w:val="00737061"/>
    <w:rsid w:val="0073730B"/>
    <w:rsid w:val="00737AED"/>
    <w:rsid w:val="00737D2B"/>
    <w:rsid w:val="00741271"/>
    <w:rsid w:val="007412A8"/>
    <w:rsid w:val="00741304"/>
    <w:rsid w:val="007415CF"/>
    <w:rsid w:val="00741BCE"/>
    <w:rsid w:val="00741FFA"/>
    <w:rsid w:val="00742032"/>
    <w:rsid w:val="00742154"/>
    <w:rsid w:val="007421AC"/>
    <w:rsid w:val="00742367"/>
    <w:rsid w:val="0074253C"/>
    <w:rsid w:val="0074293C"/>
    <w:rsid w:val="007432E7"/>
    <w:rsid w:val="0074365B"/>
    <w:rsid w:val="007438A8"/>
    <w:rsid w:val="00743F0E"/>
    <w:rsid w:val="007444AF"/>
    <w:rsid w:val="007456BD"/>
    <w:rsid w:val="0074585D"/>
    <w:rsid w:val="00745997"/>
    <w:rsid w:val="00746830"/>
    <w:rsid w:val="00746E2F"/>
    <w:rsid w:val="007470CC"/>
    <w:rsid w:val="0074732B"/>
    <w:rsid w:val="007479D2"/>
    <w:rsid w:val="00747CAA"/>
    <w:rsid w:val="007503BE"/>
    <w:rsid w:val="007508B9"/>
    <w:rsid w:val="00750E1F"/>
    <w:rsid w:val="00750F11"/>
    <w:rsid w:val="0075110F"/>
    <w:rsid w:val="00751248"/>
    <w:rsid w:val="007514DC"/>
    <w:rsid w:val="007514DD"/>
    <w:rsid w:val="007523D6"/>
    <w:rsid w:val="00752A67"/>
    <w:rsid w:val="00752B19"/>
    <w:rsid w:val="00752E1E"/>
    <w:rsid w:val="007538B4"/>
    <w:rsid w:val="00753BE6"/>
    <w:rsid w:val="00754148"/>
    <w:rsid w:val="0075455E"/>
    <w:rsid w:val="00754A5B"/>
    <w:rsid w:val="0075517D"/>
    <w:rsid w:val="0075525F"/>
    <w:rsid w:val="007552E6"/>
    <w:rsid w:val="00755C8F"/>
    <w:rsid w:val="00755E3B"/>
    <w:rsid w:val="00756759"/>
    <w:rsid w:val="00756789"/>
    <w:rsid w:val="007569B6"/>
    <w:rsid w:val="00756B74"/>
    <w:rsid w:val="00757179"/>
    <w:rsid w:val="00757B2A"/>
    <w:rsid w:val="00757D33"/>
    <w:rsid w:val="007603D8"/>
    <w:rsid w:val="00760777"/>
    <w:rsid w:val="007610F9"/>
    <w:rsid w:val="007613B6"/>
    <w:rsid w:val="007614B2"/>
    <w:rsid w:val="007617B3"/>
    <w:rsid w:val="00761EC1"/>
    <w:rsid w:val="00761F74"/>
    <w:rsid w:val="007626DB"/>
    <w:rsid w:val="00762C05"/>
    <w:rsid w:val="00763057"/>
    <w:rsid w:val="0076332B"/>
    <w:rsid w:val="00763817"/>
    <w:rsid w:val="00763E24"/>
    <w:rsid w:val="0076405E"/>
    <w:rsid w:val="00764074"/>
    <w:rsid w:val="007644BC"/>
    <w:rsid w:val="00764680"/>
    <w:rsid w:val="00764893"/>
    <w:rsid w:val="00764A0F"/>
    <w:rsid w:val="00764F2C"/>
    <w:rsid w:val="00764F82"/>
    <w:rsid w:val="007652E4"/>
    <w:rsid w:val="0076530F"/>
    <w:rsid w:val="0076548C"/>
    <w:rsid w:val="00765589"/>
    <w:rsid w:val="007657DA"/>
    <w:rsid w:val="0076581C"/>
    <w:rsid w:val="00766105"/>
    <w:rsid w:val="007662EE"/>
    <w:rsid w:val="0076693A"/>
    <w:rsid w:val="007672D2"/>
    <w:rsid w:val="007676C3"/>
    <w:rsid w:val="00767800"/>
    <w:rsid w:val="00770406"/>
    <w:rsid w:val="00770BC9"/>
    <w:rsid w:val="0077108D"/>
    <w:rsid w:val="007718C3"/>
    <w:rsid w:val="00771A87"/>
    <w:rsid w:val="00771D70"/>
    <w:rsid w:val="00771E13"/>
    <w:rsid w:val="00773C82"/>
    <w:rsid w:val="00773DEC"/>
    <w:rsid w:val="00774077"/>
    <w:rsid w:val="007740E6"/>
    <w:rsid w:val="0077445B"/>
    <w:rsid w:val="00774590"/>
    <w:rsid w:val="00774644"/>
    <w:rsid w:val="00774A8B"/>
    <w:rsid w:val="00774B40"/>
    <w:rsid w:val="00774BE9"/>
    <w:rsid w:val="00774C25"/>
    <w:rsid w:val="00774E35"/>
    <w:rsid w:val="00775426"/>
    <w:rsid w:val="00775465"/>
    <w:rsid w:val="007754D7"/>
    <w:rsid w:val="007759C1"/>
    <w:rsid w:val="007767C4"/>
    <w:rsid w:val="00776CB0"/>
    <w:rsid w:val="00776CFD"/>
    <w:rsid w:val="0077722B"/>
    <w:rsid w:val="0077726C"/>
    <w:rsid w:val="007772ED"/>
    <w:rsid w:val="007775A8"/>
    <w:rsid w:val="00777B27"/>
    <w:rsid w:val="00780405"/>
    <w:rsid w:val="00781359"/>
    <w:rsid w:val="007815A5"/>
    <w:rsid w:val="00781A3D"/>
    <w:rsid w:val="00781F20"/>
    <w:rsid w:val="00782644"/>
    <w:rsid w:val="007826CD"/>
    <w:rsid w:val="00782BFA"/>
    <w:rsid w:val="00782CCE"/>
    <w:rsid w:val="00782DB3"/>
    <w:rsid w:val="00782E7E"/>
    <w:rsid w:val="00782EDD"/>
    <w:rsid w:val="00782F4A"/>
    <w:rsid w:val="00783040"/>
    <w:rsid w:val="0078322D"/>
    <w:rsid w:val="007832AF"/>
    <w:rsid w:val="0078357B"/>
    <w:rsid w:val="0078414B"/>
    <w:rsid w:val="007843A1"/>
    <w:rsid w:val="00785753"/>
    <w:rsid w:val="007859B7"/>
    <w:rsid w:val="00785AD3"/>
    <w:rsid w:val="007862C6"/>
    <w:rsid w:val="007866DC"/>
    <w:rsid w:val="00786CCA"/>
    <w:rsid w:val="00786CD3"/>
    <w:rsid w:val="00786D76"/>
    <w:rsid w:val="00786E50"/>
    <w:rsid w:val="0078761A"/>
    <w:rsid w:val="00787A8E"/>
    <w:rsid w:val="00787ABB"/>
    <w:rsid w:val="00787B4D"/>
    <w:rsid w:val="007905F4"/>
    <w:rsid w:val="00790980"/>
    <w:rsid w:val="00790993"/>
    <w:rsid w:val="00790B4A"/>
    <w:rsid w:val="007913DF"/>
    <w:rsid w:val="0079160C"/>
    <w:rsid w:val="007918B1"/>
    <w:rsid w:val="007918D2"/>
    <w:rsid w:val="00791F32"/>
    <w:rsid w:val="00792D2E"/>
    <w:rsid w:val="007933B6"/>
    <w:rsid w:val="007935D3"/>
    <w:rsid w:val="00793A04"/>
    <w:rsid w:val="00793AAE"/>
    <w:rsid w:val="00793E9A"/>
    <w:rsid w:val="0079410F"/>
    <w:rsid w:val="007941A2"/>
    <w:rsid w:val="0079460E"/>
    <w:rsid w:val="0079497A"/>
    <w:rsid w:val="00794CBB"/>
    <w:rsid w:val="0079565F"/>
    <w:rsid w:val="00795977"/>
    <w:rsid w:val="00795EAB"/>
    <w:rsid w:val="00795ED7"/>
    <w:rsid w:val="00796194"/>
    <w:rsid w:val="0079628F"/>
    <w:rsid w:val="00796B7D"/>
    <w:rsid w:val="00796D89"/>
    <w:rsid w:val="00796FF4"/>
    <w:rsid w:val="00797059"/>
    <w:rsid w:val="00797273"/>
    <w:rsid w:val="00797553"/>
    <w:rsid w:val="007979E7"/>
    <w:rsid w:val="007A01DB"/>
    <w:rsid w:val="007A0802"/>
    <w:rsid w:val="007A0B68"/>
    <w:rsid w:val="007A2134"/>
    <w:rsid w:val="007A27A8"/>
    <w:rsid w:val="007A2DCB"/>
    <w:rsid w:val="007A2E96"/>
    <w:rsid w:val="007A3A1D"/>
    <w:rsid w:val="007A3E29"/>
    <w:rsid w:val="007A4259"/>
    <w:rsid w:val="007A455A"/>
    <w:rsid w:val="007A4825"/>
    <w:rsid w:val="007A49E6"/>
    <w:rsid w:val="007A4CA9"/>
    <w:rsid w:val="007A5690"/>
    <w:rsid w:val="007A5741"/>
    <w:rsid w:val="007A599D"/>
    <w:rsid w:val="007A5C34"/>
    <w:rsid w:val="007A658B"/>
    <w:rsid w:val="007A6987"/>
    <w:rsid w:val="007A6ADE"/>
    <w:rsid w:val="007A6DB9"/>
    <w:rsid w:val="007A71DB"/>
    <w:rsid w:val="007A7963"/>
    <w:rsid w:val="007A7A5B"/>
    <w:rsid w:val="007B0621"/>
    <w:rsid w:val="007B0CC6"/>
    <w:rsid w:val="007B146F"/>
    <w:rsid w:val="007B2BB7"/>
    <w:rsid w:val="007B2C72"/>
    <w:rsid w:val="007B2F17"/>
    <w:rsid w:val="007B3572"/>
    <w:rsid w:val="007B3701"/>
    <w:rsid w:val="007B3C4B"/>
    <w:rsid w:val="007B3C60"/>
    <w:rsid w:val="007B4879"/>
    <w:rsid w:val="007B4A05"/>
    <w:rsid w:val="007B4CC9"/>
    <w:rsid w:val="007B4F4B"/>
    <w:rsid w:val="007B51A5"/>
    <w:rsid w:val="007B5205"/>
    <w:rsid w:val="007B59E5"/>
    <w:rsid w:val="007B60F7"/>
    <w:rsid w:val="007B6682"/>
    <w:rsid w:val="007B692A"/>
    <w:rsid w:val="007B6CFB"/>
    <w:rsid w:val="007B6DEF"/>
    <w:rsid w:val="007B6F01"/>
    <w:rsid w:val="007B6F4A"/>
    <w:rsid w:val="007B7E97"/>
    <w:rsid w:val="007C0158"/>
    <w:rsid w:val="007C0ADB"/>
    <w:rsid w:val="007C0C1C"/>
    <w:rsid w:val="007C0FAC"/>
    <w:rsid w:val="007C1277"/>
    <w:rsid w:val="007C15B3"/>
    <w:rsid w:val="007C20C2"/>
    <w:rsid w:val="007C267D"/>
    <w:rsid w:val="007C26CE"/>
    <w:rsid w:val="007C2A92"/>
    <w:rsid w:val="007C33AE"/>
    <w:rsid w:val="007C33ED"/>
    <w:rsid w:val="007C35F8"/>
    <w:rsid w:val="007C3681"/>
    <w:rsid w:val="007C36BA"/>
    <w:rsid w:val="007C3EBF"/>
    <w:rsid w:val="007C470A"/>
    <w:rsid w:val="007C4B16"/>
    <w:rsid w:val="007C502C"/>
    <w:rsid w:val="007C5108"/>
    <w:rsid w:val="007C56AB"/>
    <w:rsid w:val="007C59CC"/>
    <w:rsid w:val="007C5BFF"/>
    <w:rsid w:val="007C682B"/>
    <w:rsid w:val="007C71D1"/>
    <w:rsid w:val="007D0948"/>
    <w:rsid w:val="007D0AA5"/>
    <w:rsid w:val="007D165B"/>
    <w:rsid w:val="007D21E2"/>
    <w:rsid w:val="007D24E4"/>
    <w:rsid w:val="007D27A3"/>
    <w:rsid w:val="007D2979"/>
    <w:rsid w:val="007D3A0D"/>
    <w:rsid w:val="007D3B49"/>
    <w:rsid w:val="007D407C"/>
    <w:rsid w:val="007D5194"/>
    <w:rsid w:val="007D51AF"/>
    <w:rsid w:val="007D6A56"/>
    <w:rsid w:val="007D6AAD"/>
    <w:rsid w:val="007D6B4F"/>
    <w:rsid w:val="007D6BBA"/>
    <w:rsid w:val="007D6F3A"/>
    <w:rsid w:val="007D704E"/>
    <w:rsid w:val="007D7109"/>
    <w:rsid w:val="007D7854"/>
    <w:rsid w:val="007D79B9"/>
    <w:rsid w:val="007D7DE4"/>
    <w:rsid w:val="007E04D5"/>
    <w:rsid w:val="007E0B84"/>
    <w:rsid w:val="007E0C96"/>
    <w:rsid w:val="007E0DFC"/>
    <w:rsid w:val="007E0E1D"/>
    <w:rsid w:val="007E0EE2"/>
    <w:rsid w:val="007E1530"/>
    <w:rsid w:val="007E193D"/>
    <w:rsid w:val="007E1AA0"/>
    <w:rsid w:val="007E1ADC"/>
    <w:rsid w:val="007E1C3E"/>
    <w:rsid w:val="007E1F2F"/>
    <w:rsid w:val="007E22FC"/>
    <w:rsid w:val="007E292C"/>
    <w:rsid w:val="007E2C5B"/>
    <w:rsid w:val="007E3198"/>
    <w:rsid w:val="007E370A"/>
    <w:rsid w:val="007E4804"/>
    <w:rsid w:val="007E487D"/>
    <w:rsid w:val="007E4E5F"/>
    <w:rsid w:val="007E4FFA"/>
    <w:rsid w:val="007E51D6"/>
    <w:rsid w:val="007E5A56"/>
    <w:rsid w:val="007E6D4E"/>
    <w:rsid w:val="007E736B"/>
    <w:rsid w:val="007E73F8"/>
    <w:rsid w:val="007E7523"/>
    <w:rsid w:val="007E7565"/>
    <w:rsid w:val="007E758E"/>
    <w:rsid w:val="007E7BCD"/>
    <w:rsid w:val="007F06D4"/>
    <w:rsid w:val="007F076D"/>
    <w:rsid w:val="007F0B34"/>
    <w:rsid w:val="007F0F25"/>
    <w:rsid w:val="007F107E"/>
    <w:rsid w:val="007F1791"/>
    <w:rsid w:val="007F1919"/>
    <w:rsid w:val="007F1C06"/>
    <w:rsid w:val="007F1E7C"/>
    <w:rsid w:val="007F225B"/>
    <w:rsid w:val="007F2C52"/>
    <w:rsid w:val="007F2DEE"/>
    <w:rsid w:val="007F2F6D"/>
    <w:rsid w:val="007F340C"/>
    <w:rsid w:val="007F39A2"/>
    <w:rsid w:val="007F3B95"/>
    <w:rsid w:val="007F4310"/>
    <w:rsid w:val="007F43FF"/>
    <w:rsid w:val="007F4440"/>
    <w:rsid w:val="007F465D"/>
    <w:rsid w:val="007F4660"/>
    <w:rsid w:val="007F4AE1"/>
    <w:rsid w:val="007F5009"/>
    <w:rsid w:val="007F5098"/>
    <w:rsid w:val="007F55C8"/>
    <w:rsid w:val="007F57B3"/>
    <w:rsid w:val="007F5A52"/>
    <w:rsid w:val="007F60E8"/>
    <w:rsid w:val="007F662B"/>
    <w:rsid w:val="007F6720"/>
    <w:rsid w:val="007F754E"/>
    <w:rsid w:val="007F78A4"/>
    <w:rsid w:val="007F7976"/>
    <w:rsid w:val="007F7D49"/>
    <w:rsid w:val="008000EA"/>
    <w:rsid w:val="00800BCE"/>
    <w:rsid w:val="00801323"/>
    <w:rsid w:val="0080136E"/>
    <w:rsid w:val="00801490"/>
    <w:rsid w:val="008016D8"/>
    <w:rsid w:val="00801E13"/>
    <w:rsid w:val="00801F30"/>
    <w:rsid w:val="0080267B"/>
    <w:rsid w:val="00802727"/>
    <w:rsid w:val="0080292C"/>
    <w:rsid w:val="0080292D"/>
    <w:rsid w:val="00802A3C"/>
    <w:rsid w:val="00803303"/>
    <w:rsid w:val="0080399C"/>
    <w:rsid w:val="00803F8E"/>
    <w:rsid w:val="00804B91"/>
    <w:rsid w:val="0080527D"/>
    <w:rsid w:val="008053FF"/>
    <w:rsid w:val="008061AB"/>
    <w:rsid w:val="00806719"/>
    <w:rsid w:val="0080714F"/>
    <w:rsid w:val="00807215"/>
    <w:rsid w:val="00807312"/>
    <w:rsid w:val="0080738C"/>
    <w:rsid w:val="00807566"/>
    <w:rsid w:val="008078C5"/>
    <w:rsid w:val="00807A73"/>
    <w:rsid w:val="00807FB4"/>
    <w:rsid w:val="008104F4"/>
    <w:rsid w:val="008106C5"/>
    <w:rsid w:val="00810928"/>
    <w:rsid w:val="00810A3D"/>
    <w:rsid w:val="00810C8A"/>
    <w:rsid w:val="00811046"/>
    <w:rsid w:val="00811068"/>
    <w:rsid w:val="00811191"/>
    <w:rsid w:val="008113FD"/>
    <w:rsid w:val="008118C6"/>
    <w:rsid w:val="008118EC"/>
    <w:rsid w:val="00811C9A"/>
    <w:rsid w:val="00811F81"/>
    <w:rsid w:val="008129D1"/>
    <w:rsid w:val="00812DE1"/>
    <w:rsid w:val="0081338E"/>
    <w:rsid w:val="008133AD"/>
    <w:rsid w:val="00813B04"/>
    <w:rsid w:val="00813F05"/>
    <w:rsid w:val="0081409D"/>
    <w:rsid w:val="008146EB"/>
    <w:rsid w:val="008146FA"/>
    <w:rsid w:val="0081500A"/>
    <w:rsid w:val="0081559B"/>
    <w:rsid w:val="008158B8"/>
    <w:rsid w:val="00815C3A"/>
    <w:rsid w:val="00815C90"/>
    <w:rsid w:val="00815D21"/>
    <w:rsid w:val="00816496"/>
    <w:rsid w:val="008165C6"/>
    <w:rsid w:val="008169C7"/>
    <w:rsid w:val="00816A44"/>
    <w:rsid w:val="00816D1D"/>
    <w:rsid w:val="00816DBD"/>
    <w:rsid w:val="0081756E"/>
    <w:rsid w:val="00817F6A"/>
    <w:rsid w:val="00820311"/>
    <w:rsid w:val="00820367"/>
    <w:rsid w:val="0082047C"/>
    <w:rsid w:val="008208CD"/>
    <w:rsid w:val="00820E4B"/>
    <w:rsid w:val="00821BED"/>
    <w:rsid w:val="00821C60"/>
    <w:rsid w:val="00821FE8"/>
    <w:rsid w:val="008224BA"/>
    <w:rsid w:val="00822BCB"/>
    <w:rsid w:val="008236EC"/>
    <w:rsid w:val="008237D3"/>
    <w:rsid w:val="00823951"/>
    <w:rsid w:val="00823F84"/>
    <w:rsid w:val="00824542"/>
    <w:rsid w:val="00824E9A"/>
    <w:rsid w:val="00824F6D"/>
    <w:rsid w:val="008251C5"/>
    <w:rsid w:val="008258C7"/>
    <w:rsid w:val="008263D7"/>
    <w:rsid w:val="00826948"/>
    <w:rsid w:val="00826AD9"/>
    <w:rsid w:val="0082755A"/>
    <w:rsid w:val="008276F4"/>
    <w:rsid w:val="008278DA"/>
    <w:rsid w:val="00827A64"/>
    <w:rsid w:val="00827B2D"/>
    <w:rsid w:val="00827B5C"/>
    <w:rsid w:val="00830295"/>
    <w:rsid w:val="008302B3"/>
    <w:rsid w:val="008307CB"/>
    <w:rsid w:val="00830E45"/>
    <w:rsid w:val="00830F56"/>
    <w:rsid w:val="0083106C"/>
    <w:rsid w:val="00831284"/>
    <w:rsid w:val="00831DA2"/>
    <w:rsid w:val="00832264"/>
    <w:rsid w:val="00832EA7"/>
    <w:rsid w:val="0083331B"/>
    <w:rsid w:val="008335C0"/>
    <w:rsid w:val="00833B67"/>
    <w:rsid w:val="00833DDF"/>
    <w:rsid w:val="00833F02"/>
    <w:rsid w:val="008344E5"/>
    <w:rsid w:val="00834769"/>
    <w:rsid w:val="00834846"/>
    <w:rsid w:val="00834F8A"/>
    <w:rsid w:val="0083523F"/>
    <w:rsid w:val="00835430"/>
    <w:rsid w:val="00835746"/>
    <w:rsid w:val="008359BE"/>
    <w:rsid w:val="00835C4C"/>
    <w:rsid w:val="0083648A"/>
    <w:rsid w:val="008364C2"/>
    <w:rsid w:val="008366AD"/>
    <w:rsid w:val="00836A3C"/>
    <w:rsid w:val="00836A7C"/>
    <w:rsid w:val="00836E7D"/>
    <w:rsid w:val="00837553"/>
    <w:rsid w:val="00837AD8"/>
    <w:rsid w:val="00837DE9"/>
    <w:rsid w:val="00837E63"/>
    <w:rsid w:val="00837FA7"/>
    <w:rsid w:val="008407E2"/>
    <w:rsid w:val="00840CE6"/>
    <w:rsid w:val="00840D99"/>
    <w:rsid w:val="0084134C"/>
    <w:rsid w:val="008414D7"/>
    <w:rsid w:val="008419FC"/>
    <w:rsid w:val="00841ED2"/>
    <w:rsid w:val="00842EAE"/>
    <w:rsid w:val="00844171"/>
    <w:rsid w:val="0084424A"/>
    <w:rsid w:val="0084485C"/>
    <w:rsid w:val="00844969"/>
    <w:rsid w:val="00844BEC"/>
    <w:rsid w:val="00844C5B"/>
    <w:rsid w:val="00844FDF"/>
    <w:rsid w:val="00845796"/>
    <w:rsid w:val="00845DF2"/>
    <w:rsid w:val="00845F25"/>
    <w:rsid w:val="00846273"/>
    <w:rsid w:val="0084664C"/>
    <w:rsid w:val="00846BF0"/>
    <w:rsid w:val="008477B8"/>
    <w:rsid w:val="008478DA"/>
    <w:rsid w:val="00847A1D"/>
    <w:rsid w:val="00847BEE"/>
    <w:rsid w:val="00847C06"/>
    <w:rsid w:val="0085078F"/>
    <w:rsid w:val="008512E4"/>
    <w:rsid w:val="008514E2"/>
    <w:rsid w:val="00851EF2"/>
    <w:rsid w:val="00852777"/>
    <w:rsid w:val="00852BB0"/>
    <w:rsid w:val="00852C0D"/>
    <w:rsid w:val="00853524"/>
    <w:rsid w:val="0085358E"/>
    <w:rsid w:val="00853791"/>
    <w:rsid w:val="0085490C"/>
    <w:rsid w:val="008549CD"/>
    <w:rsid w:val="00854DA3"/>
    <w:rsid w:val="00854E43"/>
    <w:rsid w:val="0085508C"/>
    <w:rsid w:val="008552A0"/>
    <w:rsid w:val="008553E3"/>
    <w:rsid w:val="00855758"/>
    <w:rsid w:val="008563CA"/>
    <w:rsid w:val="00856966"/>
    <w:rsid w:val="0085698A"/>
    <w:rsid w:val="0085775C"/>
    <w:rsid w:val="008578EC"/>
    <w:rsid w:val="00857902"/>
    <w:rsid w:val="008579AD"/>
    <w:rsid w:val="008579B1"/>
    <w:rsid w:val="0086098F"/>
    <w:rsid w:val="00861034"/>
    <w:rsid w:val="00861193"/>
    <w:rsid w:val="008615FF"/>
    <w:rsid w:val="00861624"/>
    <w:rsid w:val="00861C89"/>
    <w:rsid w:val="00861F3E"/>
    <w:rsid w:val="008622D2"/>
    <w:rsid w:val="0086244D"/>
    <w:rsid w:val="00862483"/>
    <w:rsid w:val="008625D6"/>
    <w:rsid w:val="008628A0"/>
    <w:rsid w:val="008628C1"/>
    <w:rsid w:val="00862C05"/>
    <w:rsid w:val="00863A7A"/>
    <w:rsid w:val="00864037"/>
    <w:rsid w:val="008645BC"/>
    <w:rsid w:val="00864790"/>
    <w:rsid w:val="00864833"/>
    <w:rsid w:val="00864835"/>
    <w:rsid w:val="008649A3"/>
    <w:rsid w:val="008649E7"/>
    <w:rsid w:val="00864B3F"/>
    <w:rsid w:val="00864DEE"/>
    <w:rsid w:val="00865321"/>
    <w:rsid w:val="0086593B"/>
    <w:rsid w:val="008659A6"/>
    <w:rsid w:val="008659EF"/>
    <w:rsid w:val="00867159"/>
    <w:rsid w:val="008673A7"/>
    <w:rsid w:val="008673E1"/>
    <w:rsid w:val="008674D1"/>
    <w:rsid w:val="008676C2"/>
    <w:rsid w:val="0087063A"/>
    <w:rsid w:val="0087074C"/>
    <w:rsid w:val="00870C0E"/>
    <w:rsid w:val="00870E3E"/>
    <w:rsid w:val="00871929"/>
    <w:rsid w:val="0087194F"/>
    <w:rsid w:val="00871C39"/>
    <w:rsid w:val="00872085"/>
    <w:rsid w:val="00872780"/>
    <w:rsid w:val="00872AC8"/>
    <w:rsid w:val="00873056"/>
    <w:rsid w:val="0087307E"/>
    <w:rsid w:val="00873C62"/>
    <w:rsid w:val="008743E3"/>
    <w:rsid w:val="00874ADB"/>
    <w:rsid w:val="00874D8C"/>
    <w:rsid w:val="00874FB8"/>
    <w:rsid w:val="00875314"/>
    <w:rsid w:val="00875D94"/>
    <w:rsid w:val="00875DCD"/>
    <w:rsid w:val="008768AC"/>
    <w:rsid w:val="00876B90"/>
    <w:rsid w:val="00876FD2"/>
    <w:rsid w:val="0087727A"/>
    <w:rsid w:val="008772E7"/>
    <w:rsid w:val="008774D3"/>
    <w:rsid w:val="00877AF3"/>
    <w:rsid w:val="00877B87"/>
    <w:rsid w:val="00877E79"/>
    <w:rsid w:val="008800BD"/>
    <w:rsid w:val="00880118"/>
    <w:rsid w:val="008801CB"/>
    <w:rsid w:val="00880287"/>
    <w:rsid w:val="008803ED"/>
    <w:rsid w:val="008805BD"/>
    <w:rsid w:val="008807B2"/>
    <w:rsid w:val="00880AFE"/>
    <w:rsid w:val="00881382"/>
    <w:rsid w:val="00881681"/>
    <w:rsid w:val="00881949"/>
    <w:rsid w:val="0088229F"/>
    <w:rsid w:val="008828D7"/>
    <w:rsid w:val="00882964"/>
    <w:rsid w:val="00883010"/>
    <w:rsid w:val="008834AE"/>
    <w:rsid w:val="008837A0"/>
    <w:rsid w:val="008839C6"/>
    <w:rsid w:val="00883D5B"/>
    <w:rsid w:val="00883F70"/>
    <w:rsid w:val="0088479C"/>
    <w:rsid w:val="00884B0C"/>
    <w:rsid w:val="00885105"/>
    <w:rsid w:val="008851BF"/>
    <w:rsid w:val="00885376"/>
    <w:rsid w:val="00885AD9"/>
    <w:rsid w:val="00885F1A"/>
    <w:rsid w:val="00886464"/>
    <w:rsid w:val="0088650C"/>
    <w:rsid w:val="008865F5"/>
    <w:rsid w:val="0088769A"/>
    <w:rsid w:val="00890067"/>
    <w:rsid w:val="008900B2"/>
    <w:rsid w:val="008900DE"/>
    <w:rsid w:val="008903C7"/>
    <w:rsid w:val="0089119E"/>
    <w:rsid w:val="0089162C"/>
    <w:rsid w:val="0089178F"/>
    <w:rsid w:val="00891C11"/>
    <w:rsid w:val="00892200"/>
    <w:rsid w:val="00892808"/>
    <w:rsid w:val="0089296F"/>
    <w:rsid w:val="008929CC"/>
    <w:rsid w:val="00892EC9"/>
    <w:rsid w:val="00893925"/>
    <w:rsid w:val="00893BA9"/>
    <w:rsid w:val="00893BD1"/>
    <w:rsid w:val="00894352"/>
    <w:rsid w:val="00894984"/>
    <w:rsid w:val="00894D9D"/>
    <w:rsid w:val="0089518B"/>
    <w:rsid w:val="00895CCC"/>
    <w:rsid w:val="0089668F"/>
    <w:rsid w:val="00896ABA"/>
    <w:rsid w:val="00897292"/>
    <w:rsid w:val="008977F6"/>
    <w:rsid w:val="00897977"/>
    <w:rsid w:val="00897CAE"/>
    <w:rsid w:val="008A0035"/>
    <w:rsid w:val="008A010F"/>
    <w:rsid w:val="008A0347"/>
    <w:rsid w:val="008A043F"/>
    <w:rsid w:val="008A0511"/>
    <w:rsid w:val="008A0993"/>
    <w:rsid w:val="008A0E85"/>
    <w:rsid w:val="008A16FE"/>
    <w:rsid w:val="008A18E1"/>
    <w:rsid w:val="008A2AB6"/>
    <w:rsid w:val="008A2AE1"/>
    <w:rsid w:val="008A2B43"/>
    <w:rsid w:val="008A3245"/>
    <w:rsid w:val="008A3909"/>
    <w:rsid w:val="008A395A"/>
    <w:rsid w:val="008A3BE0"/>
    <w:rsid w:val="008A3BFB"/>
    <w:rsid w:val="008A3C26"/>
    <w:rsid w:val="008A3CC5"/>
    <w:rsid w:val="008A3FD6"/>
    <w:rsid w:val="008A42A9"/>
    <w:rsid w:val="008A5237"/>
    <w:rsid w:val="008A5288"/>
    <w:rsid w:val="008A553F"/>
    <w:rsid w:val="008A55DE"/>
    <w:rsid w:val="008A5768"/>
    <w:rsid w:val="008A5E5E"/>
    <w:rsid w:val="008A5E65"/>
    <w:rsid w:val="008A6060"/>
    <w:rsid w:val="008A636D"/>
    <w:rsid w:val="008A728D"/>
    <w:rsid w:val="008A767A"/>
    <w:rsid w:val="008A7D8D"/>
    <w:rsid w:val="008B007C"/>
    <w:rsid w:val="008B0AC4"/>
    <w:rsid w:val="008B0B38"/>
    <w:rsid w:val="008B106D"/>
    <w:rsid w:val="008B1389"/>
    <w:rsid w:val="008B1458"/>
    <w:rsid w:val="008B1607"/>
    <w:rsid w:val="008B204D"/>
    <w:rsid w:val="008B2154"/>
    <w:rsid w:val="008B235F"/>
    <w:rsid w:val="008B239E"/>
    <w:rsid w:val="008B280C"/>
    <w:rsid w:val="008B281E"/>
    <w:rsid w:val="008B2973"/>
    <w:rsid w:val="008B3337"/>
    <w:rsid w:val="008B3401"/>
    <w:rsid w:val="008B364C"/>
    <w:rsid w:val="008B381B"/>
    <w:rsid w:val="008B478D"/>
    <w:rsid w:val="008B557E"/>
    <w:rsid w:val="008B5C53"/>
    <w:rsid w:val="008B6020"/>
    <w:rsid w:val="008B61E0"/>
    <w:rsid w:val="008B68E7"/>
    <w:rsid w:val="008B6979"/>
    <w:rsid w:val="008B6CBF"/>
    <w:rsid w:val="008B6CCF"/>
    <w:rsid w:val="008B6E34"/>
    <w:rsid w:val="008B6F2E"/>
    <w:rsid w:val="008B7115"/>
    <w:rsid w:val="008B77CD"/>
    <w:rsid w:val="008B78F1"/>
    <w:rsid w:val="008B7C5F"/>
    <w:rsid w:val="008C0358"/>
    <w:rsid w:val="008C06BC"/>
    <w:rsid w:val="008C0D67"/>
    <w:rsid w:val="008C0E50"/>
    <w:rsid w:val="008C11CA"/>
    <w:rsid w:val="008C19A8"/>
    <w:rsid w:val="008C1DB8"/>
    <w:rsid w:val="008C1EC1"/>
    <w:rsid w:val="008C1F74"/>
    <w:rsid w:val="008C20AC"/>
    <w:rsid w:val="008C2107"/>
    <w:rsid w:val="008C22F8"/>
    <w:rsid w:val="008C332C"/>
    <w:rsid w:val="008C3379"/>
    <w:rsid w:val="008C350F"/>
    <w:rsid w:val="008C3659"/>
    <w:rsid w:val="008C3966"/>
    <w:rsid w:val="008C3A7C"/>
    <w:rsid w:val="008C3F4D"/>
    <w:rsid w:val="008C506C"/>
    <w:rsid w:val="008C5182"/>
    <w:rsid w:val="008C5379"/>
    <w:rsid w:val="008C5480"/>
    <w:rsid w:val="008C6864"/>
    <w:rsid w:val="008C6996"/>
    <w:rsid w:val="008C6AEA"/>
    <w:rsid w:val="008C713A"/>
    <w:rsid w:val="008C7147"/>
    <w:rsid w:val="008C72F5"/>
    <w:rsid w:val="008C7482"/>
    <w:rsid w:val="008C773A"/>
    <w:rsid w:val="008C77BE"/>
    <w:rsid w:val="008C7AE0"/>
    <w:rsid w:val="008C7BA7"/>
    <w:rsid w:val="008D07A0"/>
    <w:rsid w:val="008D0B7C"/>
    <w:rsid w:val="008D0B8B"/>
    <w:rsid w:val="008D0C70"/>
    <w:rsid w:val="008D0DF0"/>
    <w:rsid w:val="008D11E7"/>
    <w:rsid w:val="008D196E"/>
    <w:rsid w:val="008D1BB0"/>
    <w:rsid w:val="008D1C08"/>
    <w:rsid w:val="008D1F23"/>
    <w:rsid w:val="008D21F5"/>
    <w:rsid w:val="008D305F"/>
    <w:rsid w:val="008D3264"/>
    <w:rsid w:val="008D336C"/>
    <w:rsid w:val="008D3401"/>
    <w:rsid w:val="008D3B33"/>
    <w:rsid w:val="008D40A0"/>
    <w:rsid w:val="008D453F"/>
    <w:rsid w:val="008D4AA9"/>
    <w:rsid w:val="008D4B66"/>
    <w:rsid w:val="008D4F90"/>
    <w:rsid w:val="008D5923"/>
    <w:rsid w:val="008D5C5C"/>
    <w:rsid w:val="008D613A"/>
    <w:rsid w:val="008D63B0"/>
    <w:rsid w:val="008D6557"/>
    <w:rsid w:val="008D6D7E"/>
    <w:rsid w:val="008D7159"/>
    <w:rsid w:val="008D7798"/>
    <w:rsid w:val="008D7FB4"/>
    <w:rsid w:val="008E002A"/>
    <w:rsid w:val="008E02AE"/>
    <w:rsid w:val="008E0760"/>
    <w:rsid w:val="008E0A49"/>
    <w:rsid w:val="008E0DCD"/>
    <w:rsid w:val="008E152A"/>
    <w:rsid w:val="008E159F"/>
    <w:rsid w:val="008E1628"/>
    <w:rsid w:val="008E1E02"/>
    <w:rsid w:val="008E2C02"/>
    <w:rsid w:val="008E2D36"/>
    <w:rsid w:val="008E2E30"/>
    <w:rsid w:val="008E3206"/>
    <w:rsid w:val="008E3915"/>
    <w:rsid w:val="008E39C7"/>
    <w:rsid w:val="008E3E2D"/>
    <w:rsid w:val="008E40BB"/>
    <w:rsid w:val="008E427C"/>
    <w:rsid w:val="008E4303"/>
    <w:rsid w:val="008E4572"/>
    <w:rsid w:val="008E4C66"/>
    <w:rsid w:val="008E4E1B"/>
    <w:rsid w:val="008E51AA"/>
    <w:rsid w:val="008E51D0"/>
    <w:rsid w:val="008E5402"/>
    <w:rsid w:val="008E55CA"/>
    <w:rsid w:val="008E5712"/>
    <w:rsid w:val="008E59D0"/>
    <w:rsid w:val="008E5A58"/>
    <w:rsid w:val="008E5BD6"/>
    <w:rsid w:val="008E61D4"/>
    <w:rsid w:val="008E68BB"/>
    <w:rsid w:val="008E769C"/>
    <w:rsid w:val="008E79C9"/>
    <w:rsid w:val="008E7B56"/>
    <w:rsid w:val="008E7C76"/>
    <w:rsid w:val="008F040F"/>
    <w:rsid w:val="008F110A"/>
    <w:rsid w:val="008F153A"/>
    <w:rsid w:val="008F2018"/>
    <w:rsid w:val="008F25F0"/>
    <w:rsid w:val="008F26AF"/>
    <w:rsid w:val="008F3053"/>
    <w:rsid w:val="008F3389"/>
    <w:rsid w:val="008F3A14"/>
    <w:rsid w:val="008F3CF5"/>
    <w:rsid w:val="008F40A4"/>
    <w:rsid w:val="008F41E1"/>
    <w:rsid w:val="008F43CD"/>
    <w:rsid w:val="008F4656"/>
    <w:rsid w:val="008F4E2F"/>
    <w:rsid w:val="008F54A6"/>
    <w:rsid w:val="008F5648"/>
    <w:rsid w:val="008F66A1"/>
    <w:rsid w:val="008F6D12"/>
    <w:rsid w:val="008F70F3"/>
    <w:rsid w:val="008F71E6"/>
    <w:rsid w:val="008F74ED"/>
    <w:rsid w:val="008F766A"/>
    <w:rsid w:val="008F76BC"/>
    <w:rsid w:val="008F7AB3"/>
    <w:rsid w:val="008F7B89"/>
    <w:rsid w:val="008F7BE5"/>
    <w:rsid w:val="008F7D82"/>
    <w:rsid w:val="008F7D83"/>
    <w:rsid w:val="009001B4"/>
    <w:rsid w:val="009016D8"/>
    <w:rsid w:val="00901AE7"/>
    <w:rsid w:val="00901F80"/>
    <w:rsid w:val="00902408"/>
    <w:rsid w:val="00902735"/>
    <w:rsid w:val="0090282F"/>
    <w:rsid w:val="00902B47"/>
    <w:rsid w:val="00903044"/>
    <w:rsid w:val="0090339D"/>
    <w:rsid w:val="00903DFA"/>
    <w:rsid w:val="00903F53"/>
    <w:rsid w:val="00903FAF"/>
    <w:rsid w:val="00904225"/>
    <w:rsid w:val="00904B80"/>
    <w:rsid w:val="00904BCC"/>
    <w:rsid w:val="00905078"/>
    <w:rsid w:val="009057F7"/>
    <w:rsid w:val="00905A92"/>
    <w:rsid w:val="00905E0E"/>
    <w:rsid w:val="0090632A"/>
    <w:rsid w:val="00906338"/>
    <w:rsid w:val="009063C3"/>
    <w:rsid w:val="009063DD"/>
    <w:rsid w:val="0090661F"/>
    <w:rsid w:val="009069FD"/>
    <w:rsid w:val="00906BD1"/>
    <w:rsid w:val="00906C02"/>
    <w:rsid w:val="00906D17"/>
    <w:rsid w:val="009071CC"/>
    <w:rsid w:val="00907232"/>
    <w:rsid w:val="009072E3"/>
    <w:rsid w:val="00907767"/>
    <w:rsid w:val="00907990"/>
    <w:rsid w:val="00907A74"/>
    <w:rsid w:val="00907EEA"/>
    <w:rsid w:val="00910003"/>
    <w:rsid w:val="009100F9"/>
    <w:rsid w:val="0091028B"/>
    <w:rsid w:val="0091075A"/>
    <w:rsid w:val="00910764"/>
    <w:rsid w:val="00910AE5"/>
    <w:rsid w:val="0091108E"/>
    <w:rsid w:val="0091138F"/>
    <w:rsid w:val="009115E5"/>
    <w:rsid w:val="009116DB"/>
    <w:rsid w:val="009119FC"/>
    <w:rsid w:val="00911BBD"/>
    <w:rsid w:val="00911E0F"/>
    <w:rsid w:val="0091209E"/>
    <w:rsid w:val="00912268"/>
    <w:rsid w:val="00912625"/>
    <w:rsid w:val="0091301B"/>
    <w:rsid w:val="009137BA"/>
    <w:rsid w:val="00913D02"/>
    <w:rsid w:val="00913D25"/>
    <w:rsid w:val="00914002"/>
    <w:rsid w:val="00914013"/>
    <w:rsid w:val="009140F8"/>
    <w:rsid w:val="0091486C"/>
    <w:rsid w:val="00914A2A"/>
    <w:rsid w:val="009155C0"/>
    <w:rsid w:val="009155DE"/>
    <w:rsid w:val="009157EF"/>
    <w:rsid w:val="00915896"/>
    <w:rsid w:val="00915BE8"/>
    <w:rsid w:val="009163DF"/>
    <w:rsid w:val="0091641F"/>
    <w:rsid w:val="00916611"/>
    <w:rsid w:val="00916EC3"/>
    <w:rsid w:val="00917212"/>
    <w:rsid w:val="00917379"/>
    <w:rsid w:val="00917850"/>
    <w:rsid w:val="009178BE"/>
    <w:rsid w:val="00917ADE"/>
    <w:rsid w:val="00917F26"/>
    <w:rsid w:val="00917FBE"/>
    <w:rsid w:val="009200EF"/>
    <w:rsid w:val="009204E5"/>
    <w:rsid w:val="00920C87"/>
    <w:rsid w:val="00920EDD"/>
    <w:rsid w:val="009211C0"/>
    <w:rsid w:val="009217E4"/>
    <w:rsid w:val="00921C34"/>
    <w:rsid w:val="00922026"/>
    <w:rsid w:val="009232DF"/>
    <w:rsid w:val="00923589"/>
    <w:rsid w:val="009238B7"/>
    <w:rsid w:val="00923946"/>
    <w:rsid w:val="00923AC1"/>
    <w:rsid w:val="00923D79"/>
    <w:rsid w:val="0092400A"/>
    <w:rsid w:val="00924257"/>
    <w:rsid w:val="009244EA"/>
    <w:rsid w:val="0092461A"/>
    <w:rsid w:val="009248F0"/>
    <w:rsid w:val="009248F7"/>
    <w:rsid w:val="00924B10"/>
    <w:rsid w:val="00924D0F"/>
    <w:rsid w:val="00924F91"/>
    <w:rsid w:val="0092512A"/>
    <w:rsid w:val="00925137"/>
    <w:rsid w:val="009264CE"/>
    <w:rsid w:val="0092673E"/>
    <w:rsid w:val="00926C23"/>
    <w:rsid w:val="00926D46"/>
    <w:rsid w:val="0092737C"/>
    <w:rsid w:val="00927511"/>
    <w:rsid w:val="009276C6"/>
    <w:rsid w:val="009304C4"/>
    <w:rsid w:val="009308A0"/>
    <w:rsid w:val="00930E03"/>
    <w:rsid w:val="00931213"/>
    <w:rsid w:val="0093148E"/>
    <w:rsid w:val="009323AE"/>
    <w:rsid w:val="00932489"/>
    <w:rsid w:val="009325F1"/>
    <w:rsid w:val="00932771"/>
    <w:rsid w:val="00932B17"/>
    <w:rsid w:val="00932FC5"/>
    <w:rsid w:val="00933B23"/>
    <w:rsid w:val="0093451D"/>
    <w:rsid w:val="009345E4"/>
    <w:rsid w:val="00934719"/>
    <w:rsid w:val="00934B47"/>
    <w:rsid w:val="00934EB1"/>
    <w:rsid w:val="0093526A"/>
    <w:rsid w:val="0093540E"/>
    <w:rsid w:val="009354C7"/>
    <w:rsid w:val="009355CF"/>
    <w:rsid w:val="00935D4A"/>
    <w:rsid w:val="00935DA3"/>
    <w:rsid w:val="00936837"/>
    <w:rsid w:val="00936B33"/>
    <w:rsid w:val="00936E8F"/>
    <w:rsid w:val="00936F64"/>
    <w:rsid w:val="0093714E"/>
    <w:rsid w:val="00937A9B"/>
    <w:rsid w:val="00937E08"/>
    <w:rsid w:val="00940228"/>
    <w:rsid w:val="00940619"/>
    <w:rsid w:val="00940985"/>
    <w:rsid w:val="00940C1F"/>
    <w:rsid w:val="00940FF8"/>
    <w:rsid w:val="00941747"/>
    <w:rsid w:val="0094192A"/>
    <w:rsid w:val="00941C18"/>
    <w:rsid w:val="00942311"/>
    <w:rsid w:val="00942544"/>
    <w:rsid w:val="00942CB0"/>
    <w:rsid w:val="00942E2C"/>
    <w:rsid w:val="00943049"/>
    <w:rsid w:val="00943234"/>
    <w:rsid w:val="00943480"/>
    <w:rsid w:val="009435BB"/>
    <w:rsid w:val="00943753"/>
    <w:rsid w:val="0094376B"/>
    <w:rsid w:val="009441BA"/>
    <w:rsid w:val="009442A8"/>
    <w:rsid w:val="009443E2"/>
    <w:rsid w:val="00944487"/>
    <w:rsid w:val="009444C2"/>
    <w:rsid w:val="009447C6"/>
    <w:rsid w:val="00944B55"/>
    <w:rsid w:val="00944E24"/>
    <w:rsid w:val="0094595B"/>
    <w:rsid w:val="009461D4"/>
    <w:rsid w:val="00946D0A"/>
    <w:rsid w:val="00946DC0"/>
    <w:rsid w:val="00947108"/>
    <w:rsid w:val="00947B2D"/>
    <w:rsid w:val="00947BED"/>
    <w:rsid w:val="009503A2"/>
    <w:rsid w:val="00950464"/>
    <w:rsid w:val="009517A9"/>
    <w:rsid w:val="00951E98"/>
    <w:rsid w:val="00951F14"/>
    <w:rsid w:val="00951F5D"/>
    <w:rsid w:val="00952303"/>
    <w:rsid w:val="009523B8"/>
    <w:rsid w:val="00952A8E"/>
    <w:rsid w:val="00952AAD"/>
    <w:rsid w:val="00952B71"/>
    <w:rsid w:val="00952DF6"/>
    <w:rsid w:val="009534C3"/>
    <w:rsid w:val="00953727"/>
    <w:rsid w:val="00953D6C"/>
    <w:rsid w:val="00953DD2"/>
    <w:rsid w:val="0095412E"/>
    <w:rsid w:val="0095414A"/>
    <w:rsid w:val="0095435F"/>
    <w:rsid w:val="0095444C"/>
    <w:rsid w:val="00954A2E"/>
    <w:rsid w:val="00954E3D"/>
    <w:rsid w:val="0095591D"/>
    <w:rsid w:val="00955A02"/>
    <w:rsid w:val="00955C1B"/>
    <w:rsid w:val="00956109"/>
    <w:rsid w:val="00956540"/>
    <w:rsid w:val="00956D0E"/>
    <w:rsid w:val="009573B6"/>
    <w:rsid w:val="009573D3"/>
    <w:rsid w:val="009575E0"/>
    <w:rsid w:val="00957BE2"/>
    <w:rsid w:val="00957C94"/>
    <w:rsid w:val="0096060E"/>
    <w:rsid w:val="009607A7"/>
    <w:rsid w:val="009607F6"/>
    <w:rsid w:val="00962C18"/>
    <w:rsid w:val="00962FF6"/>
    <w:rsid w:val="0096335D"/>
    <w:rsid w:val="00964260"/>
    <w:rsid w:val="00964CD1"/>
    <w:rsid w:val="00964EE6"/>
    <w:rsid w:val="00965238"/>
    <w:rsid w:val="0096576C"/>
    <w:rsid w:val="00965964"/>
    <w:rsid w:val="00965FC9"/>
    <w:rsid w:val="00966C27"/>
    <w:rsid w:val="00966C5E"/>
    <w:rsid w:val="00966EFB"/>
    <w:rsid w:val="0096717D"/>
    <w:rsid w:val="00967379"/>
    <w:rsid w:val="009678A9"/>
    <w:rsid w:val="00967963"/>
    <w:rsid w:val="00967D1C"/>
    <w:rsid w:val="00967F60"/>
    <w:rsid w:val="00970352"/>
    <w:rsid w:val="00970A36"/>
    <w:rsid w:val="009711E9"/>
    <w:rsid w:val="0097181A"/>
    <w:rsid w:val="00971DE8"/>
    <w:rsid w:val="009721EB"/>
    <w:rsid w:val="00972E79"/>
    <w:rsid w:val="00973172"/>
    <w:rsid w:val="00973AF4"/>
    <w:rsid w:val="00973C0F"/>
    <w:rsid w:val="00973C29"/>
    <w:rsid w:val="00973F8C"/>
    <w:rsid w:val="009745F2"/>
    <w:rsid w:val="00974985"/>
    <w:rsid w:val="00975076"/>
    <w:rsid w:val="0097521B"/>
    <w:rsid w:val="00975829"/>
    <w:rsid w:val="00975FA0"/>
    <w:rsid w:val="00976FFD"/>
    <w:rsid w:val="00977160"/>
    <w:rsid w:val="009777F1"/>
    <w:rsid w:val="009801DF"/>
    <w:rsid w:val="00980FBE"/>
    <w:rsid w:val="009813E0"/>
    <w:rsid w:val="009813F1"/>
    <w:rsid w:val="00981A10"/>
    <w:rsid w:val="00981DD6"/>
    <w:rsid w:val="009821CC"/>
    <w:rsid w:val="00982310"/>
    <w:rsid w:val="00982606"/>
    <w:rsid w:val="00982668"/>
    <w:rsid w:val="00982A69"/>
    <w:rsid w:val="009835F8"/>
    <w:rsid w:val="0098370E"/>
    <w:rsid w:val="009840A2"/>
    <w:rsid w:val="0098412A"/>
    <w:rsid w:val="00984A9D"/>
    <w:rsid w:val="00984B52"/>
    <w:rsid w:val="00985374"/>
    <w:rsid w:val="00985469"/>
    <w:rsid w:val="00985655"/>
    <w:rsid w:val="00985EED"/>
    <w:rsid w:val="0098667A"/>
    <w:rsid w:val="00986C6F"/>
    <w:rsid w:val="0098730C"/>
    <w:rsid w:val="009903DC"/>
    <w:rsid w:val="0099049E"/>
    <w:rsid w:val="00990829"/>
    <w:rsid w:val="00990A3D"/>
    <w:rsid w:val="00990B13"/>
    <w:rsid w:val="00990C14"/>
    <w:rsid w:val="00990CBB"/>
    <w:rsid w:val="00990D4E"/>
    <w:rsid w:val="009911E9"/>
    <w:rsid w:val="0099188B"/>
    <w:rsid w:val="009918ED"/>
    <w:rsid w:val="00991B09"/>
    <w:rsid w:val="00991E2C"/>
    <w:rsid w:val="00991E56"/>
    <w:rsid w:val="00992932"/>
    <w:rsid w:val="00992A83"/>
    <w:rsid w:val="00992ACD"/>
    <w:rsid w:val="00993053"/>
    <w:rsid w:val="00993074"/>
    <w:rsid w:val="00993344"/>
    <w:rsid w:val="00993FCC"/>
    <w:rsid w:val="00994755"/>
    <w:rsid w:val="00994EAF"/>
    <w:rsid w:val="00994EB0"/>
    <w:rsid w:val="00995317"/>
    <w:rsid w:val="00995406"/>
    <w:rsid w:val="0099584C"/>
    <w:rsid w:val="0099597E"/>
    <w:rsid w:val="00995BC2"/>
    <w:rsid w:val="00995BE9"/>
    <w:rsid w:val="00995D86"/>
    <w:rsid w:val="00995DCC"/>
    <w:rsid w:val="009963FD"/>
    <w:rsid w:val="0099642B"/>
    <w:rsid w:val="0099665A"/>
    <w:rsid w:val="009969E1"/>
    <w:rsid w:val="0099719B"/>
    <w:rsid w:val="0099719E"/>
    <w:rsid w:val="0099726D"/>
    <w:rsid w:val="00997316"/>
    <w:rsid w:val="00997405"/>
    <w:rsid w:val="0099798B"/>
    <w:rsid w:val="00997B80"/>
    <w:rsid w:val="009A008D"/>
    <w:rsid w:val="009A0787"/>
    <w:rsid w:val="009A09E2"/>
    <w:rsid w:val="009A0AC0"/>
    <w:rsid w:val="009A0BD9"/>
    <w:rsid w:val="009A0E21"/>
    <w:rsid w:val="009A1EBA"/>
    <w:rsid w:val="009A2350"/>
    <w:rsid w:val="009A280F"/>
    <w:rsid w:val="009A313C"/>
    <w:rsid w:val="009A31DB"/>
    <w:rsid w:val="009A34E7"/>
    <w:rsid w:val="009A3C62"/>
    <w:rsid w:val="009A3E50"/>
    <w:rsid w:val="009A3F4E"/>
    <w:rsid w:val="009A4067"/>
    <w:rsid w:val="009A4321"/>
    <w:rsid w:val="009A47ED"/>
    <w:rsid w:val="009A4C55"/>
    <w:rsid w:val="009A4D6A"/>
    <w:rsid w:val="009A582D"/>
    <w:rsid w:val="009A59E8"/>
    <w:rsid w:val="009A5D83"/>
    <w:rsid w:val="009A62CC"/>
    <w:rsid w:val="009A676A"/>
    <w:rsid w:val="009A6A36"/>
    <w:rsid w:val="009A71C5"/>
    <w:rsid w:val="009A730C"/>
    <w:rsid w:val="009A76C3"/>
    <w:rsid w:val="009A77A6"/>
    <w:rsid w:val="009A79AA"/>
    <w:rsid w:val="009B0182"/>
    <w:rsid w:val="009B0BA0"/>
    <w:rsid w:val="009B0CD5"/>
    <w:rsid w:val="009B1041"/>
    <w:rsid w:val="009B122F"/>
    <w:rsid w:val="009B151D"/>
    <w:rsid w:val="009B1627"/>
    <w:rsid w:val="009B172E"/>
    <w:rsid w:val="009B1A43"/>
    <w:rsid w:val="009B1BB7"/>
    <w:rsid w:val="009B1E64"/>
    <w:rsid w:val="009B20A6"/>
    <w:rsid w:val="009B2510"/>
    <w:rsid w:val="009B27D8"/>
    <w:rsid w:val="009B2A34"/>
    <w:rsid w:val="009B2F03"/>
    <w:rsid w:val="009B2F08"/>
    <w:rsid w:val="009B318B"/>
    <w:rsid w:val="009B3710"/>
    <w:rsid w:val="009B426C"/>
    <w:rsid w:val="009B447A"/>
    <w:rsid w:val="009B4681"/>
    <w:rsid w:val="009B495D"/>
    <w:rsid w:val="009B49A0"/>
    <w:rsid w:val="009B4B7D"/>
    <w:rsid w:val="009B4C43"/>
    <w:rsid w:val="009B527E"/>
    <w:rsid w:val="009B5629"/>
    <w:rsid w:val="009B56AA"/>
    <w:rsid w:val="009B6742"/>
    <w:rsid w:val="009B6C30"/>
    <w:rsid w:val="009B6E78"/>
    <w:rsid w:val="009B7119"/>
    <w:rsid w:val="009B71DF"/>
    <w:rsid w:val="009B754C"/>
    <w:rsid w:val="009B76D8"/>
    <w:rsid w:val="009B7C04"/>
    <w:rsid w:val="009B7E14"/>
    <w:rsid w:val="009C0091"/>
    <w:rsid w:val="009C00DB"/>
    <w:rsid w:val="009C0E96"/>
    <w:rsid w:val="009C16F4"/>
    <w:rsid w:val="009C1758"/>
    <w:rsid w:val="009C1880"/>
    <w:rsid w:val="009C1D55"/>
    <w:rsid w:val="009C1DC1"/>
    <w:rsid w:val="009C280F"/>
    <w:rsid w:val="009C3040"/>
    <w:rsid w:val="009C3078"/>
    <w:rsid w:val="009C3392"/>
    <w:rsid w:val="009C33DF"/>
    <w:rsid w:val="009C36FA"/>
    <w:rsid w:val="009C3937"/>
    <w:rsid w:val="009C3B7D"/>
    <w:rsid w:val="009C3EDF"/>
    <w:rsid w:val="009C4081"/>
    <w:rsid w:val="009C43C7"/>
    <w:rsid w:val="009C449B"/>
    <w:rsid w:val="009C4CA1"/>
    <w:rsid w:val="009C51C7"/>
    <w:rsid w:val="009C553A"/>
    <w:rsid w:val="009C6EE4"/>
    <w:rsid w:val="009C6F42"/>
    <w:rsid w:val="009C74D1"/>
    <w:rsid w:val="009C79BE"/>
    <w:rsid w:val="009C7C73"/>
    <w:rsid w:val="009C7EA3"/>
    <w:rsid w:val="009D071A"/>
    <w:rsid w:val="009D0B7C"/>
    <w:rsid w:val="009D12CC"/>
    <w:rsid w:val="009D15D3"/>
    <w:rsid w:val="009D1C2C"/>
    <w:rsid w:val="009D2030"/>
    <w:rsid w:val="009D2FA5"/>
    <w:rsid w:val="009D3133"/>
    <w:rsid w:val="009D33EA"/>
    <w:rsid w:val="009D33ED"/>
    <w:rsid w:val="009D359A"/>
    <w:rsid w:val="009D35E4"/>
    <w:rsid w:val="009D3D8C"/>
    <w:rsid w:val="009D3DE2"/>
    <w:rsid w:val="009D402D"/>
    <w:rsid w:val="009D4551"/>
    <w:rsid w:val="009D4F9E"/>
    <w:rsid w:val="009D53A9"/>
    <w:rsid w:val="009D5984"/>
    <w:rsid w:val="009D5D54"/>
    <w:rsid w:val="009D5F6C"/>
    <w:rsid w:val="009D643C"/>
    <w:rsid w:val="009D653F"/>
    <w:rsid w:val="009D699D"/>
    <w:rsid w:val="009D69B9"/>
    <w:rsid w:val="009D6AC0"/>
    <w:rsid w:val="009D6CFA"/>
    <w:rsid w:val="009D7035"/>
    <w:rsid w:val="009D7257"/>
    <w:rsid w:val="009D7646"/>
    <w:rsid w:val="009E011C"/>
    <w:rsid w:val="009E0A72"/>
    <w:rsid w:val="009E0FAC"/>
    <w:rsid w:val="009E12F9"/>
    <w:rsid w:val="009E14C3"/>
    <w:rsid w:val="009E165D"/>
    <w:rsid w:val="009E1F33"/>
    <w:rsid w:val="009E2186"/>
    <w:rsid w:val="009E22CB"/>
    <w:rsid w:val="009E2530"/>
    <w:rsid w:val="009E2646"/>
    <w:rsid w:val="009E372E"/>
    <w:rsid w:val="009E3734"/>
    <w:rsid w:val="009E3C6C"/>
    <w:rsid w:val="009E3C9B"/>
    <w:rsid w:val="009E3D23"/>
    <w:rsid w:val="009E3F13"/>
    <w:rsid w:val="009E447C"/>
    <w:rsid w:val="009E45D0"/>
    <w:rsid w:val="009E4BF3"/>
    <w:rsid w:val="009E4CC5"/>
    <w:rsid w:val="009E5356"/>
    <w:rsid w:val="009E6DDA"/>
    <w:rsid w:val="009E7112"/>
    <w:rsid w:val="009E763B"/>
    <w:rsid w:val="009E77AF"/>
    <w:rsid w:val="009E792A"/>
    <w:rsid w:val="009E7A33"/>
    <w:rsid w:val="009F055B"/>
    <w:rsid w:val="009F0BED"/>
    <w:rsid w:val="009F1879"/>
    <w:rsid w:val="009F1AC9"/>
    <w:rsid w:val="009F21FD"/>
    <w:rsid w:val="009F22AF"/>
    <w:rsid w:val="009F242C"/>
    <w:rsid w:val="009F25BA"/>
    <w:rsid w:val="009F25EC"/>
    <w:rsid w:val="009F2CC4"/>
    <w:rsid w:val="009F2DA5"/>
    <w:rsid w:val="009F30D6"/>
    <w:rsid w:val="009F3AF2"/>
    <w:rsid w:val="009F3BDF"/>
    <w:rsid w:val="009F4184"/>
    <w:rsid w:val="009F4EB2"/>
    <w:rsid w:val="009F5740"/>
    <w:rsid w:val="009F5784"/>
    <w:rsid w:val="009F5A42"/>
    <w:rsid w:val="009F629A"/>
    <w:rsid w:val="009F6314"/>
    <w:rsid w:val="009F6644"/>
    <w:rsid w:val="009F6C43"/>
    <w:rsid w:val="009F6C64"/>
    <w:rsid w:val="009F6E77"/>
    <w:rsid w:val="009F6F91"/>
    <w:rsid w:val="009F718F"/>
    <w:rsid w:val="009F7438"/>
    <w:rsid w:val="009F775A"/>
    <w:rsid w:val="009F77F1"/>
    <w:rsid w:val="00A000EE"/>
    <w:rsid w:val="00A0063B"/>
    <w:rsid w:val="00A006C9"/>
    <w:rsid w:val="00A006F9"/>
    <w:rsid w:val="00A009F7"/>
    <w:rsid w:val="00A00A0C"/>
    <w:rsid w:val="00A01216"/>
    <w:rsid w:val="00A0125D"/>
    <w:rsid w:val="00A015FB"/>
    <w:rsid w:val="00A0168D"/>
    <w:rsid w:val="00A01B5A"/>
    <w:rsid w:val="00A01DE0"/>
    <w:rsid w:val="00A02CAF"/>
    <w:rsid w:val="00A02F90"/>
    <w:rsid w:val="00A02FA7"/>
    <w:rsid w:val="00A0334D"/>
    <w:rsid w:val="00A034E3"/>
    <w:rsid w:val="00A03955"/>
    <w:rsid w:val="00A03C79"/>
    <w:rsid w:val="00A03CE9"/>
    <w:rsid w:val="00A048AC"/>
    <w:rsid w:val="00A04CA3"/>
    <w:rsid w:val="00A04D70"/>
    <w:rsid w:val="00A0505B"/>
    <w:rsid w:val="00A052A3"/>
    <w:rsid w:val="00A0530A"/>
    <w:rsid w:val="00A05384"/>
    <w:rsid w:val="00A05643"/>
    <w:rsid w:val="00A05920"/>
    <w:rsid w:val="00A05A48"/>
    <w:rsid w:val="00A05AEA"/>
    <w:rsid w:val="00A05B4B"/>
    <w:rsid w:val="00A05B56"/>
    <w:rsid w:val="00A060B2"/>
    <w:rsid w:val="00A06396"/>
    <w:rsid w:val="00A065D0"/>
    <w:rsid w:val="00A065E7"/>
    <w:rsid w:val="00A068D5"/>
    <w:rsid w:val="00A06BDA"/>
    <w:rsid w:val="00A06C10"/>
    <w:rsid w:val="00A06D69"/>
    <w:rsid w:val="00A06F91"/>
    <w:rsid w:val="00A07350"/>
    <w:rsid w:val="00A07368"/>
    <w:rsid w:val="00A075F9"/>
    <w:rsid w:val="00A07B67"/>
    <w:rsid w:val="00A10698"/>
    <w:rsid w:val="00A10917"/>
    <w:rsid w:val="00A125A2"/>
    <w:rsid w:val="00A12876"/>
    <w:rsid w:val="00A12B76"/>
    <w:rsid w:val="00A1341F"/>
    <w:rsid w:val="00A13D8B"/>
    <w:rsid w:val="00A13ECE"/>
    <w:rsid w:val="00A141DA"/>
    <w:rsid w:val="00A1429F"/>
    <w:rsid w:val="00A14563"/>
    <w:rsid w:val="00A14930"/>
    <w:rsid w:val="00A14F50"/>
    <w:rsid w:val="00A152D2"/>
    <w:rsid w:val="00A166A9"/>
    <w:rsid w:val="00A167DC"/>
    <w:rsid w:val="00A17028"/>
    <w:rsid w:val="00A1725C"/>
    <w:rsid w:val="00A17BD6"/>
    <w:rsid w:val="00A17D3F"/>
    <w:rsid w:val="00A21017"/>
    <w:rsid w:val="00A2142C"/>
    <w:rsid w:val="00A21505"/>
    <w:rsid w:val="00A21635"/>
    <w:rsid w:val="00A218B1"/>
    <w:rsid w:val="00A21C4C"/>
    <w:rsid w:val="00A22111"/>
    <w:rsid w:val="00A225B7"/>
    <w:rsid w:val="00A225D5"/>
    <w:rsid w:val="00A234A0"/>
    <w:rsid w:val="00A2365C"/>
    <w:rsid w:val="00A236CF"/>
    <w:rsid w:val="00A23B0F"/>
    <w:rsid w:val="00A23E16"/>
    <w:rsid w:val="00A2411B"/>
    <w:rsid w:val="00A2466E"/>
    <w:rsid w:val="00A2568E"/>
    <w:rsid w:val="00A25DE8"/>
    <w:rsid w:val="00A25E96"/>
    <w:rsid w:val="00A26112"/>
    <w:rsid w:val="00A26B57"/>
    <w:rsid w:val="00A26F84"/>
    <w:rsid w:val="00A2709C"/>
    <w:rsid w:val="00A302BB"/>
    <w:rsid w:val="00A30807"/>
    <w:rsid w:val="00A30E88"/>
    <w:rsid w:val="00A316EF"/>
    <w:rsid w:val="00A3330C"/>
    <w:rsid w:val="00A335CC"/>
    <w:rsid w:val="00A3366C"/>
    <w:rsid w:val="00A337DF"/>
    <w:rsid w:val="00A33A56"/>
    <w:rsid w:val="00A33B8D"/>
    <w:rsid w:val="00A33C7F"/>
    <w:rsid w:val="00A341B4"/>
    <w:rsid w:val="00A349AC"/>
    <w:rsid w:val="00A34C6A"/>
    <w:rsid w:val="00A34D03"/>
    <w:rsid w:val="00A34D70"/>
    <w:rsid w:val="00A35114"/>
    <w:rsid w:val="00A35221"/>
    <w:rsid w:val="00A35248"/>
    <w:rsid w:val="00A352C8"/>
    <w:rsid w:val="00A3531C"/>
    <w:rsid w:val="00A35567"/>
    <w:rsid w:val="00A35588"/>
    <w:rsid w:val="00A35C2F"/>
    <w:rsid w:val="00A35D5C"/>
    <w:rsid w:val="00A35E04"/>
    <w:rsid w:val="00A3640B"/>
    <w:rsid w:val="00A364A4"/>
    <w:rsid w:val="00A364B8"/>
    <w:rsid w:val="00A36B68"/>
    <w:rsid w:val="00A36C34"/>
    <w:rsid w:val="00A36DAF"/>
    <w:rsid w:val="00A370BB"/>
    <w:rsid w:val="00A37983"/>
    <w:rsid w:val="00A379EA"/>
    <w:rsid w:val="00A37C06"/>
    <w:rsid w:val="00A37F39"/>
    <w:rsid w:val="00A37F88"/>
    <w:rsid w:val="00A40076"/>
    <w:rsid w:val="00A40093"/>
    <w:rsid w:val="00A4073F"/>
    <w:rsid w:val="00A40884"/>
    <w:rsid w:val="00A40ACC"/>
    <w:rsid w:val="00A41537"/>
    <w:rsid w:val="00A41ADD"/>
    <w:rsid w:val="00A41E1A"/>
    <w:rsid w:val="00A41EAD"/>
    <w:rsid w:val="00A4213E"/>
    <w:rsid w:val="00A4238B"/>
    <w:rsid w:val="00A42B00"/>
    <w:rsid w:val="00A42BA4"/>
    <w:rsid w:val="00A42F25"/>
    <w:rsid w:val="00A42FA3"/>
    <w:rsid w:val="00A42FE4"/>
    <w:rsid w:val="00A43312"/>
    <w:rsid w:val="00A43453"/>
    <w:rsid w:val="00A4395C"/>
    <w:rsid w:val="00A43AE3"/>
    <w:rsid w:val="00A43D61"/>
    <w:rsid w:val="00A43E22"/>
    <w:rsid w:val="00A4413E"/>
    <w:rsid w:val="00A44A65"/>
    <w:rsid w:val="00A45054"/>
    <w:rsid w:val="00A458EB"/>
    <w:rsid w:val="00A45AA7"/>
    <w:rsid w:val="00A46004"/>
    <w:rsid w:val="00A46350"/>
    <w:rsid w:val="00A468D3"/>
    <w:rsid w:val="00A46B9A"/>
    <w:rsid w:val="00A46F18"/>
    <w:rsid w:val="00A47454"/>
    <w:rsid w:val="00A474C0"/>
    <w:rsid w:val="00A4788F"/>
    <w:rsid w:val="00A47ADF"/>
    <w:rsid w:val="00A50024"/>
    <w:rsid w:val="00A50419"/>
    <w:rsid w:val="00A508C8"/>
    <w:rsid w:val="00A50AA0"/>
    <w:rsid w:val="00A510ED"/>
    <w:rsid w:val="00A514B2"/>
    <w:rsid w:val="00A51A3F"/>
    <w:rsid w:val="00A51E5B"/>
    <w:rsid w:val="00A52D4F"/>
    <w:rsid w:val="00A53605"/>
    <w:rsid w:val="00A53AB4"/>
    <w:rsid w:val="00A53E81"/>
    <w:rsid w:val="00A540F8"/>
    <w:rsid w:val="00A540FE"/>
    <w:rsid w:val="00A54469"/>
    <w:rsid w:val="00A547E5"/>
    <w:rsid w:val="00A54E90"/>
    <w:rsid w:val="00A550B7"/>
    <w:rsid w:val="00A55257"/>
    <w:rsid w:val="00A55FFB"/>
    <w:rsid w:val="00A5613F"/>
    <w:rsid w:val="00A563B9"/>
    <w:rsid w:val="00A565ED"/>
    <w:rsid w:val="00A5679D"/>
    <w:rsid w:val="00A5789B"/>
    <w:rsid w:val="00A60669"/>
    <w:rsid w:val="00A6126F"/>
    <w:rsid w:val="00A613FA"/>
    <w:rsid w:val="00A617B0"/>
    <w:rsid w:val="00A618C4"/>
    <w:rsid w:val="00A61C62"/>
    <w:rsid w:val="00A61DCA"/>
    <w:rsid w:val="00A61EE3"/>
    <w:rsid w:val="00A6224B"/>
    <w:rsid w:val="00A624F9"/>
    <w:rsid w:val="00A62CE6"/>
    <w:rsid w:val="00A6318C"/>
    <w:rsid w:val="00A63394"/>
    <w:rsid w:val="00A63B91"/>
    <w:rsid w:val="00A63BF8"/>
    <w:rsid w:val="00A64327"/>
    <w:rsid w:val="00A647A7"/>
    <w:rsid w:val="00A64E12"/>
    <w:rsid w:val="00A65414"/>
    <w:rsid w:val="00A65751"/>
    <w:rsid w:val="00A660CE"/>
    <w:rsid w:val="00A665B6"/>
    <w:rsid w:val="00A66BE8"/>
    <w:rsid w:val="00A66BEB"/>
    <w:rsid w:val="00A67C6C"/>
    <w:rsid w:val="00A70488"/>
    <w:rsid w:val="00A707AE"/>
    <w:rsid w:val="00A707C6"/>
    <w:rsid w:val="00A70D88"/>
    <w:rsid w:val="00A710C8"/>
    <w:rsid w:val="00A723CC"/>
    <w:rsid w:val="00A72F4D"/>
    <w:rsid w:val="00A73383"/>
    <w:rsid w:val="00A739DA"/>
    <w:rsid w:val="00A75051"/>
    <w:rsid w:val="00A75C11"/>
    <w:rsid w:val="00A75CC4"/>
    <w:rsid w:val="00A75F98"/>
    <w:rsid w:val="00A76444"/>
    <w:rsid w:val="00A766FF"/>
    <w:rsid w:val="00A768C3"/>
    <w:rsid w:val="00A7696D"/>
    <w:rsid w:val="00A76A32"/>
    <w:rsid w:val="00A76E84"/>
    <w:rsid w:val="00A771CD"/>
    <w:rsid w:val="00A77310"/>
    <w:rsid w:val="00A77783"/>
    <w:rsid w:val="00A7790C"/>
    <w:rsid w:val="00A81BE6"/>
    <w:rsid w:val="00A82084"/>
    <w:rsid w:val="00A824B5"/>
    <w:rsid w:val="00A8257F"/>
    <w:rsid w:val="00A825BB"/>
    <w:rsid w:val="00A82766"/>
    <w:rsid w:val="00A82984"/>
    <w:rsid w:val="00A82BA7"/>
    <w:rsid w:val="00A82F9B"/>
    <w:rsid w:val="00A833FF"/>
    <w:rsid w:val="00A8394B"/>
    <w:rsid w:val="00A83AED"/>
    <w:rsid w:val="00A83F62"/>
    <w:rsid w:val="00A83F7B"/>
    <w:rsid w:val="00A840A3"/>
    <w:rsid w:val="00A84781"/>
    <w:rsid w:val="00A847B1"/>
    <w:rsid w:val="00A84969"/>
    <w:rsid w:val="00A849D6"/>
    <w:rsid w:val="00A84A63"/>
    <w:rsid w:val="00A84BF1"/>
    <w:rsid w:val="00A84DA1"/>
    <w:rsid w:val="00A85006"/>
    <w:rsid w:val="00A85532"/>
    <w:rsid w:val="00A8631D"/>
    <w:rsid w:val="00A86933"/>
    <w:rsid w:val="00A86B00"/>
    <w:rsid w:val="00A86C1E"/>
    <w:rsid w:val="00A86E9D"/>
    <w:rsid w:val="00A86EFA"/>
    <w:rsid w:val="00A86FC2"/>
    <w:rsid w:val="00A87AFD"/>
    <w:rsid w:val="00A87B83"/>
    <w:rsid w:val="00A87BF7"/>
    <w:rsid w:val="00A905D3"/>
    <w:rsid w:val="00A9081D"/>
    <w:rsid w:val="00A90C0C"/>
    <w:rsid w:val="00A91042"/>
    <w:rsid w:val="00A91180"/>
    <w:rsid w:val="00A915CC"/>
    <w:rsid w:val="00A915F0"/>
    <w:rsid w:val="00A928B9"/>
    <w:rsid w:val="00A928EA"/>
    <w:rsid w:val="00A92E4F"/>
    <w:rsid w:val="00A92F1B"/>
    <w:rsid w:val="00A93513"/>
    <w:rsid w:val="00A9358D"/>
    <w:rsid w:val="00A9367E"/>
    <w:rsid w:val="00A936CF"/>
    <w:rsid w:val="00A93D0E"/>
    <w:rsid w:val="00A93EA4"/>
    <w:rsid w:val="00A93FD2"/>
    <w:rsid w:val="00A944E2"/>
    <w:rsid w:val="00A948E5"/>
    <w:rsid w:val="00A949D0"/>
    <w:rsid w:val="00A94A91"/>
    <w:rsid w:val="00A94BB2"/>
    <w:rsid w:val="00A94F66"/>
    <w:rsid w:val="00A95282"/>
    <w:rsid w:val="00A956C6"/>
    <w:rsid w:val="00A95BBC"/>
    <w:rsid w:val="00A95F9E"/>
    <w:rsid w:val="00A968FB"/>
    <w:rsid w:val="00A96E4D"/>
    <w:rsid w:val="00A970D1"/>
    <w:rsid w:val="00A970DD"/>
    <w:rsid w:val="00A972B5"/>
    <w:rsid w:val="00A977D2"/>
    <w:rsid w:val="00AA148C"/>
    <w:rsid w:val="00AA1742"/>
    <w:rsid w:val="00AA175C"/>
    <w:rsid w:val="00AA18EB"/>
    <w:rsid w:val="00AA1A7F"/>
    <w:rsid w:val="00AA1B3A"/>
    <w:rsid w:val="00AA1D5B"/>
    <w:rsid w:val="00AA21F1"/>
    <w:rsid w:val="00AA247A"/>
    <w:rsid w:val="00AA25C4"/>
    <w:rsid w:val="00AA278D"/>
    <w:rsid w:val="00AA3DC7"/>
    <w:rsid w:val="00AA3FB2"/>
    <w:rsid w:val="00AA44B6"/>
    <w:rsid w:val="00AA4574"/>
    <w:rsid w:val="00AA4609"/>
    <w:rsid w:val="00AA47D9"/>
    <w:rsid w:val="00AA4BA6"/>
    <w:rsid w:val="00AA4BBF"/>
    <w:rsid w:val="00AA541E"/>
    <w:rsid w:val="00AA5521"/>
    <w:rsid w:val="00AA590D"/>
    <w:rsid w:val="00AA6549"/>
    <w:rsid w:val="00AA665F"/>
    <w:rsid w:val="00AA68E8"/>
    <w:rsid w:val="00AA68F3"/>
    <w:rsid w:val="00AB02A2"/>
    <w:rsid w:val="00AB06F3"/>
    <w:rsid w:val="00AB0FEC"/>
    <w:rsid w:val="00AB1002"/>
    <w:rsid w:val="00AB1185"/>
    <w:rsid w:val="00AB11CF"/>
    <w:rsid w:val="00AB1EAC"/>
    <w:rsid w:val="00AB2212"/>
    <w:rsid w:val="00AB25D6"/>
    <w:rsid w:val="00AB25DF"/>
    <w:rsid w:val="00AB27AC"/>
    <w:rsid w:val="00AB2DC1"/>
    <w:rsid w:val="00AB30E8"/>
    <w:rsid w:val="00AB3AB4"/>
    <w:rsid w:val="00AB3F2D"/>
    <w:rsid w:val="00AB4335"/>
    <w:rsid w:val="00AB4B1A"/>
    <w:rsid w:val="00AB4D10"/>
    <w:rsid w:val="00AB5006"/>
    <w:rsid w:val="00AB5151"/>
    <w:rsid w:val="00AB55A6"/>
    <w:rsid w:val="00AB5B83"/>
    <w:rsid w:val="00AB5F16"/>
    <w:rsid w:val="00AB7BDD"/>
    <w:rsid w:val="00AB7E8C"/>
    <w:rsid w:val="00AC0562"/>
    <w:rsid w:val="00AC085B"/>
    <w:rsid w:val="00AC0D80"/>
    <w:rsid w:val="00AC15DD"/>
    <w:rsid w:val="00AC184D"/>
    <w:rsid w:val="00AC208A"/>
    <w:rsid w:val="00AC262E"/>
    <w:rsid w:val="00AC2CD0"/>
    <w:rsid w:val="00AC2E8E"/>
    <w:rsid w:val="00AC2E97"/>
    <w:rsid w:val="00AC3170"/>
    <w:rsid w:val="00AC36B4"/>
    <w:rsid w:val="00AC3CA1"/>
    <w:rsid w:val="00AC4083"/>
    <w:rsid w:val="00AC4A82"/>
    <w:rsid w:val="00AC4CA9"/>
    <w:rsid w:val="00AC57F2"/>
    <w:rsid w:val="00AC5FE9"/>
    <w:rsid w:val="00AC60CB"/>
    <w:rsid w:val="00AC64DC"/>
    <w:rsid w:val="00AC6641"/>
    <w:rsid w:val="00AC6B84"/>
    <w:rsid w:val="00AC6DE5"/>
    <w:rsid w:val="00AC6F18"/>
    <w:rsid w:val="00AC73EA"/>
    <w:rsid w:val="00AC74E1"/>
    <w:rsid w:val="00AC7B6A"/>
    <w:rsid w:val="00AC7D43"/>
    <w:rsid w:val="00AC7DB3"/>
    <w:rsid w:val="00AD00EF"/>
    <w:rsid w:val="00AD0AD1"/>
    <w:rsid w:val="00AD1000"/>
    <w:rsid w:val="00AD103E"/>
    <w:rsid w:val="00AD1636"/>
    <w:rsid w:val="00AD1B74"/>
    <w:rsid w:val="00AD1CA2"/>
    <w:rsid w:val="00AD2628"/>
    <w:rsid w:val="00AD2995"/>
    <w:rsid w:val="00AD34B6"/>
    <w:rsid w:val="00AD3850"/>
    <w:rsid w:val="00AD3B72"/>
    <w:rsid w:val="00AD3D3F"/>
    <w:rsid w:val="00AD40EA"/>
    <w:rsid w:val="00AD4130"/>
    <w:rsid w:val="00AD444F"/>
    <w:rsid w:val="00AD481F"/>
    <w:rsid w:val="00AD515D"/>
    <w:rsid w:val="00AD52DC"/>
    <w:rsid w:val="00AD5CF5"/>
    <w:rsid w:val="00AD6476"/>
    <w:rsid w:val="00AD6E13"/>
    <w:rsid w:val="00AD7263"/>
    <w:rsid w:val="00AD7917"/>
    <w:rsid w:val="00AD7AC6"/>
    <w:rsid w:val="00AE001C"/>
    <w:rsid w:val="00AE020C"/>
    <w:rsid w:val="00AE0701"/>
    <w:rsid w:val="00AE099B"/>
    <w:rsid w:val="00AE0E23"/>
    <w:rsid w:val="00AE0E56"/>
    <w:rsid w:val="00AE135A"/>
    <w:rsid w:val="00AE17B8"/>
    <w:rsid w:val="00AE20ED"/>
    <w:rsid w:val="00AE22DE"/>
    <w:rsid w:val="00AE2716"/>
    <w:rsid w:val="00AE32FA"/>
    <w:rsid w:val="00AE3BE8"/>
    <w:rsid w:val="00AE5336"/>
    <w:rsid w:val="00AE53B4"/>
    <w:rsid w:val="00AE5673"/>
    <w:rsid w:val="00AE59AB"/>
    <w:rsid w:val="00AE5AE8"/>
    <w:rsid w:val="00AE697C"/>
    <w:rsid w:val="00AE6A61"/>
    <w:rsid w:val="00AE6E83"/>
    <w:rsid w:val="00AE6E8E"/>
    <w:rsid w:val="00AE6FF8"/>
    <w:rsid w:val="00AE77AE"/>
    <w:rsid w:val="00AE7B88"/>
    <w:rsid w:val="00AE7C93"/>
    <w:rsid w:val="00AE7DB5"/>
    <w:rsid w:val="00AF0D46"/>
    <w:rsid w:val="00AF0DD4"/>
    <w:rsid w:val="00AF10DA"/>
    <w:rsid w:val="00AF15D6"/>
    <w:rsid w:val="00AF2774"/>
    <w:rsid w:val="00AF2878"/>
    <w:rsid w:val="00AF3B07"/>
    <w:rsid w:val="00AF44C6"/>
    <w:rsid w:val="00AF49FF"/>
    <w:rsid w:val="00AF4AD2"/>
    <w:rsid w:val="00AF4F93"/>
    <w:rsid w:val="00AF50C5"/>
    <w:rsid w:val="00AF5A49"/>
    <w:rsid w:val="00AF5B8B"/>
    <w:rsid w:val="00AF5E71"/>
    <w:rsid w:val="00AF5ECD"/>
    <w:rsid w:val="00AF66D2"/>
    <w:rsid w:val="00AF68F5"/>
    <w:rsid w:val="00AF6989"/>
    <w:rsid w:val="00AF6FFA"/>
    <w:rsid w:val="00AF724A"/>
    <w:rsid w:val="00AF760D"/>
    <w:rsid w:val="00AF7C10"/>
    <w:rsid w:val="00AF7D25"/>
    <w:rsid w:val="00B0034C"/>
    <w:rsid w:val="00B0042B"/>
    <w:rsid w:val="00B00AAD"/>
    <w:rsid w:val="00B01083"/>
    <w:rsid w:val="00B01B9F"/>
    <w:rsid w:val="00B01C45"/>
    <w:rsid w:val="00B01F1A"/>
    <w:rsid w:val="00B02087"/>
    <w:rsid w:val="00B023FE"/>
    <w:rsid w:val="00B03034"/>
    <w:rsid w:val="00B0322F"/>
    <w:rsid w:val="00B03DE4"/>
    <w:rsid w:val="00B03DE6"/>
    <w:rsid w:val="00B04194"/>
    <w:rsid w:val="00B0468B"/>
    <w:rsid w:val="00B04F0C"/>
    <w:rsid w:val="00B05662"/>
    <w:rsid w:val="00B059C0"/>
    <w:rsid w:val="00B06051"/>
    <w:rsid w:val="00B06DDE"/>
    <w:rsid w:val="00B06ED8"/>
    <w:rsid w:val="00B076C1"/>
    <w:rsid w:val="00B078F8"/>
    <w:rsid w:val="00B07BC5"/>
    <w:rsid w:val="00B1021F"/>
    <w:rsid w:val="00B1047D"/>
    <w:rsid w:val="00B10840"/>
    <w:rsid w:val="00B10D03"/>
    <w:rsid w:val="00B11E14"/>
    <w:rsid w:val="00B11F7B"/>
    <w:rsid w:val="00B12452"/>
    <w:rsid w:val="00B12586"/>
    <w:rsid w:val="00B125BD"/>
    <w:rsid w:val="00B127C7"/>
    <w:rsid w:val="00B12F54"/>
    <w:rsid w:val="00B1381F"/>
    <w:rsid w:val="00B139B0"/>
    <w:rsid w:val="00B13AC7"/>
    <w:rsid w:val="00B13D76"/>
    <w:rsid w:val="00B13F24"/>
    <w:rsid w:val="00B1447D"/>
    <w:rsid w:val="00B1473B"/>
    <w:rsid w:val="00B1479E"/>
    <w:rsid w:val="00B14B7F"/>
    <w:rsid w:val="00B15687"/>
    <w:rsid w:val="00B1580E"/>
    <w:rsid w:val="00B15855"/>
    <w:rsid w:val="00B16176"/>
    <w:rsid w:val="00B16E8F"/>
    <w:rsid w:val="00B17725"/>
    <w:rsid w:val="00B17BBF"/>
    <w:rsid w:val="00B17F1D"/>
    <w:rsid w:val="00B205C7"/>
    <w:rsid w:val="00B20997"/>
    <w:rsid w:val="00B20A24"/>
    <w:rsid w:val="00B20D00"/>
    <w:rsid w:val="00B20F30"/>
    <w:rsid w:val="00B21010"/>
    <w:rsid w:val="00B210D4"/>
    <w:rsid w:val="00B2111C"/>
    <w:rsid w:val="00B213E1"/>
    <w:rsid w:val="00B2164D"/>
    <w:rsid w:val="00B21FE6"/>
    <w:rsid w:val="00B220D8"/>
    <w:rsid w:val="00B221EA"/>
    <w:rsid w:val="00B222A6"/>
    <w:rsid w:val="00B2249D"/>
    <w:rsid w:val="00B23133"/>
    <w:rsid w:val="00B246AA"/>
    <w:rsid w:val="00B2477D"/>
    <w:rsid w:val="00B24F7D"/>
    <w:rsid w:val="00B252FB"/>
    <w:rsid w:val="00B256C3"/>
    <w:rsid w:val="00B26BB1"/>
    <w:rsid w:val="00B26BE2"/>
    <w:rsid w:val="00B2722B"/>
    <w:rsid w:val="00B304A1"/>
    <w:rsid w:val="00B307E7"/>
    <w:rsid w:val="00B318A4"/>
    <w:rsid w:val="00B330E9"/>
    <w:rsid w:val="00B33323"/>
    <w:rsid w:val="00B33359"/>
    <w:rsid w:val="00B33980"/>
    <w:rsid w:val="00B33D12"/>
    <w:rsid w:val="00B3405B"/>
    <w:rsid w:val="00B340D3"/>
    <w:rsid w:val="00B341A0"/>
    <w:rsid w:val="00B344D5"/>
    <w:rsid w:val="00B34904"/>
    <w:rsid w:val="00B34996"/>
    <w:rsid w:val="00B34E11"/>
    <w:rsid w:val="00B34FDB"/>
    <w:rsid w:val="00B35546"/>
    <w:rsid w:val="00B35F44"/>
    <w:rsid w:val="00B36E3B"/>
    <w:rsid w:val="00B3706B"/>
    <w:rsid w:val="00B371FE"/>
    <w:rsid w:val="00B372CB"/>
    <w:rsid w:val="00B373F7"/>
    <w:rsid w:val="00B37958"/>
    <w:rsid w:val="00B379B4"/>
    <w:rsid w:val="00B37BF5"/>
    <w:rsid w:val="00B37F56"/>
    <w:rsid w:val="00B400D4"/>
    <w:rsid w:val="00B40C1F"/>
    <w:rsid w:val="00B40D05"/>
    <w:rsid w:val="00B41552"/>
    <w:rsid w:val="00B41A8A"/>
    <w:rsid w:val="00B41B75"/>
    <w:rsid w:val="00B42079"/>
    <w:rsid w:val="00B42134"/>
    <w:rsid w:val="00B42263"/>
    <w:rsid w:val="00B42461"/>
    <w:rsid w:val="00B425CA"/>
    <w:rsid w:val="00B42A02"/>
    <w:rsid w:val="00B42AEF"/>
    <w:rsid w:val="00B431E9"/>
    <w:rsid w:val="00B4337A"/>
    <w:rsid w:val="00B43935"/>
    <w:rsid w:val="00B43E78"/>
    <w:rsid w:val="00B44394"/>
    <w:rsid w:val="00B447A8"/>
    <w:rsid w:val="00B4491B"/>
    <w:rsid w:val="00B44D2F"/>
    <w:rsid w:val="00B4515B"/>
    <w:rsid w:val="00B45194"/>
    <w:rsid w:val="00B45222"/>
    <w:rsid w:val="00B45635"/>
    <w:rsid w:val="00B457E5"/>
    <w:rsid w:val="00B459D1"/>
    <w:rsid w:val="00B45BC1"/>
    <w:rsid w:val="00B45CBD"/>
    <w:rsid w:val="00B46290"/>
    <w:rsid w:val="00B46A00"/>
    <w:rsid w:val="00B4708A"/>
    <w:rsid w:val="00B47090"/>
    <w:rsid w:val="00B47A30"/>
    <w:rsid w:val="00B500FD"/>
    <w:rsid w:val="00B501C1"/>
    <w:rsid w:val="00B5060B"/>
    <w:rsid w:val="00B5061B"/>
    <w:rsid w:val="00B50E82"/>
    <w:rsid w:val="00B51151"/>
    <w:rsid w:val="00B51588"/>
    <w:rsid w:val="00B51591"/>
    <w:rsid w:val="00B5167A"/>
    <w:rsid w:val="00B519DD"/>
    <w:rsid w:val="00B51DFA"/>
    <w:rsid w:val="00B520E9"/>
    <w:rsid w:val="00B52368"/>
    <w:rsid w:val="00B534BF"/>
    <w:rsid w:val="00B54015"/>
    <w:rsid w:val="00B54B72"/>
    <w:rsid w:val="00B5543A"/>
    <w:rsid w:val="00B55564"/>
    <w:rsid w:val="00B555D7"/>
    <w:rsid w:val="00B55A92"/>
    <w:rsid w:val="00B55AAD"/>
    <w:rsid w:val="00B55B0D"/>
    <w:rsid w:val="00B56739"/>
    <w:rsid w:val="00B56D98"/>
    <w:rsid w:val="00B5782B"/>
    <w:rsid w:val="00B57F11"/>
    <w:rsid w:val="00B603D6"/>
    <w:rsid w:val="00B60610"/>
    <w:rsid w:val="00B60C7B"/>
    <w:rsid w:val="00B60E0F"/>
    <w:rsid w:val="00B60F4F"/>
    <w:rsid w:val="00B610F2"/>
    <w:rsid w:val="00B615C5"/>
    <w:rsid w:val="00B62927"/>
    <w:rsid w:val="00B6297E"/>
    <w:rsid w:val="00B62DEF"/>
    <w:rsid w:val="00B635EA"/>
    <w:rsid w:val="00B63EA0"/>
    <w:rsid w:val="00B6409C"/>
    <w:rsid w:val="00B64F81"/>
    <w:rsid w:val="00B65452"/>
    <w:rsid w:val="00B656FD"/>
    <w:rsid w:val="00B6611F"/>
    <w:rsid w:val="00B669F0"/>
    <w:rsid w:val="00B66BF7"/>
    <w:rsid w:val="00B67A27"/>
    <w:rsid w:val="00B70254"/>
    <w:rsid w:val="00B70A26"/>
    <w:rsid w:val="00B70B33"/>
    <w:rsid w:val="00B711A9"/>
    <w:rsid w:val="00B713D8"/>
    <w:rsid w:val="00B719BE"/>
    <w:rsid w:val="00B71D0B"/>
    <w:rsid w:val="00B71EDB"/>
    <w:rsid w:val="00B7268C"/>
    <w:rsid w:val="00B72CC7"/>
    <w:rsid w:val="00B732DB"/>
    <w:rsid w:val="00B73A3A"/>
    <w:rsid w:val="00B73A74"/>
    <w:rsid w:val="00B7401B"/>
    <w:rsid w:val="00B74073"/>
    <w:rsid w:val="00B742E5"/>
    <w:rsid w:val="00B74838"/>
    <w:rsid w:val="00B749D0"/>
    <w:rsid w:val="00B74AD2"/>
    <w:rsid w:val="00B74B99"/>
    <w:rsid w:val="00B74D0C"/>
    <w:rsid w:val="00B74F60"/>
    <w:rsid w:val="00B755DC"/>
    <w:rsid w:val="00B756E2"/>
    <w:rsid w:val="00B75CB6"/>
    <w:rsid w:val="00B75DE6"/>
    <w:rsid w:val="00B768BC"/>
    <w:rsid w:val="00B76AEA"/>
    <w:rsid w:val="00B76E27"/>
    <w:rsid w:val="00B76F4D"/>
    <w:rsid w:val="00B76FD4"/>
    <w:rsid w:val="00B77943"/>
    <w:rsid w:val="00B7797C"/>
    <w:rsid w:val="00B779B9"/>
    <w:rsid w:val="00B80348"/>
    <w:rsid w:val="00B80C4A"/>
    <w:rsid w:val="00B80C78"/>
    <w:rsid w:val="00B81030"/>
    <w:rsid w:val="00B81BE5"/>
    <w:rsid w:val="00B81F08"/>
    <w:rsid w:val="00B826AB"/>
    <w:rsid w:val="00B82C36"/>
    <w:rsid w:val="00B83956"/>
    <w:rsid w:val="00B83F65"/>
    <w:rsid w:val="00B84299"/>
    <w:rsid w:val="00B8474B"/>
    <w:rsid w:val="00B84EF9"/>
    <w:rsid w:val="00B852A1"/>
    <w:rsid w:val="00B8545C"/>
    <w:rsid w:val="00B85640"/>
    <w:rsid w:val="00B863B3"/>
    <w:rsid w:val="00B8646A"/>
    <w:rsid w:val="00B8674A"/>
    <w:rsid w:val="00B86DEC"/>
    <w:rsid w:val="00B8720A"/>
    <w:rsid w:val="00B87CF0"/>
    <w:rsid w:val="00B87F73"/>
    <w:rsid w:val="00B902F9"/>
    <w:rsid w:val="00B90C28"/>
    <w:rsid w:val="00B90FA7"/>
    <w:rsid w:val="00B91038"/>
    <w:rsid w:val="00B9114C"/>
    <w:rsid w:val="00B91483"/>
    <w:rsid w:val="00B9154E"/>
    <w:rsid w:val="00B91B5C"/>
    <w:rsid w:val="00B9210D"/>
    <w:rsid w:val="00B92908"/>
    <w:rsid w:val="00B92C31"/>
    <w:rsid w:val="00B92C84"/>
    <w:rsid w:val="00B92D84"/>
    <w:rsid w:val="00B92D92"/>
    <w:rsid w:val="00B9311E"/>
    <w:rsid w:val="00B93971"/>
    <w:rsid w:val="00B93A79"/>
    <w:rsid w:val="00B93A95"/>
    <w:rsid w:val="00B93B7E"/>
    <w:rsid w:val="00B941B1"/>
    <w:rsid w:val="00B949DA"/>
    <w:rsid w:val="00B9547E"/>
    <w:rsid w:val="00B95AB2"/>
    <w:rsid w:val="00B9642D"/>
    <w:rsid w:val="00B97413"/>
    <w:rsid w:val="00B97563"/>
    <w:rsid w:val="00B977DD"/>
    <w:rsid w:val="00B97D2A"/>
    <w:rsid w:val="00B97DF9"/>
    <w:rsid w:val="00BA0388"/>
    <w:rsid w:val="00BA0610"/>
    <w:rsid w:val="00BA06B3"/>
    <w:rsid w:val="00BA0A0D"/>
    <w:rsid w:val="00BA101D"/>
    <w:rsid w:val="00BA11C4"/>
    <w:rsid w:val="00BA1796"/>
    <w:rsid w:val="00BA2C7A"/>
    <w:rsid w:val="00BA3118"/>
    <w:rsid w:val="00BA37D6"/>
    <w:rsid w:val="00BA3ED4"/>
    <w:rsid w:val="00BA4DF8"/>
    <w:rsid w:val="00BA4F06"/>
    <w:rsid w:val="00BA51D1"/>
    <w:rsid w:val="00BA521A"/>
    <w:rsid w:val="00BA5C9C"/>
    <w:rsid w:val="00BA6529"/>
    <w:rsid w:val="00BA6BCC"/>
    <w:rsid w:val="00BA6BE8"/>
    <w:rsid w:val="00BA6CF5"/>
    <w:rsid w:val="00BA7D4B"/>
    <w:rsid w:val="00BA7E91"/>
    <w:rsid w:val="00BB0106"/>
    <w:rsid w:val="00BB0477"/>
    <w:rsid w:val="00BB04D0"/>
    <w:rsid w:val="00BB0F5C"/>
    <w:rsid w:val="00BB1124"/>
    <w:rsid w:val="00BB151C"/>
    <w:rsid w:val="00BB1946"/>
    <w:rsid w:val="00BB2146"/>
    <w:rsid w:val="00BB28A3"/>
    <w:rsid w:val="00BB2C97"/>
    <w:rsid w:val="00BB2ED7"/>
    <w:rsid w:val="00BB2F34"/>
    <w:rsid w:val="00BB318C"/>
    <w:rsid w:val="00BB31E1"/>
    <w:rsid w:val="00BB34F2"/>
    <w:rsid w:val="00BB3859"/>
    <w:rsid w:val="00BB38EB"/>
    <w:rsid w:val="00BB3C84"/>
    <w:rsid w:val="00BB3E19"/>
    <w:rsid w:val="00BB3E34"/>
    <w:rsid w:val="00BB4781"/>
    <w:rsid w:val="00BB4F13"/>
    <w:rsid w:val="00BB4FFC"/>
    <w:rsid w:val="00BB5183"/>
    <w:rsid w:val="00BB52C2"/>
    <w:rsid w:val="00BB61E1"/>
    <w:rsid w:val="00BB6309"/>
    <w:rsid w:val="00BB634C"/>
    <w:rsid w:val="00BB63B5"/>
    <w:rsid w:val="00BB6FAA"/>
    <w:rsid w:val="00BB7062"/>
    <w:rsid w:val="00BB710B"/>
    <w:rsid w:val="00BB7490"/>
    <w:rsid w:val="00BB7796"/>
    <w:rsid w:val="00BB7B9D"/>
    <w:rsid w:val="00BB7D29"/>
    <w:rsid w:val="00BB7D92"/>
    <w:rsid w:val="00BB7F86"/>
    <w:rsid w:val="00BC04BC"/>
    <w:rsid w:val="00BC0657"/>
    <w:rsid w:val="00BC0D87"/>
    <w:rsid w:val="00BC0FB4"/>
    <w:rsid w:val="00BC124E"/>
    <w:rsid w:val="00BC1FE7"/>
    <w:rsid w:val="00BC22D9"/>
    <w:rsid w:val="00BC2F3C"/>
    <w:rsid w:val="00BC34FC"/>
    <w:rsid w:val="00BC37EE"/>
    <w:rsid w:val="00BC3C08"/>
    <w:rsid w:val="00BC4153"/>
    <w:rsid w:val="00BC4273"/>
    <w:rsid w:val="00BC477B"/>
    <w:rsid w:val="00BC4793"/>
    <w:rsid w:val="00BC4A33"/>
    <w:rsid w:val="00BC4C11"/>
    <w:rsid w:val="00BC5211"/>
    <w:rsid w:val="00BC56E8"/>
    <w:rsid w:val="00BC57D4"/>
    <w:rsid w:val="00BC5E6A"/>
    <w:rsid w:val="00BC68AC"/>
    <w:rsid w:val="00BC6DA2"/>
    <w:rsid w:val="00BC6EF0"/>
    <w:rsid w:val="00BC7D48"/>
    <w:rsid w:val="00BC7F4A"/>
    <w:rsid w:val="00BD02ED"/>
    <w:rsid w:val="00BD078F"/>
    <w:rsid w:val="00BD1085"/>
    <w:rsid w:val="00BD141F"/>
    <w:rsid w:val="00BD189D"/>
    <w:rsid w:val="00BD1C10"/>
    <w:rsid w:val="00BD1E29"/>
    <w:rsid w:val="00BD1F7D"/>
    <w:rsid w:val="00BD20DA"/>
    <w:rsid w:val="00BD222C"/>
    <w:rsid w:val="00BD2755"/>
    <w:rsid w:val="00BD27F6"/>
    <w:rsid w:val="00BD28D3"/>
    <w:rsid w:val="00BD29E9"/>
    <w:rsid w:val="00BD2B80"/>
    <w:rsid w:val="00BD2D58"/>
    <w:rsid w:val="00BD3589"/>
    <w:rsid w:val="00BD3C1E"/>
    <w:rsid w:val="00BD48E5"/>
    <w:rsid w:val="00BD4941"/>
    <w:rsid w:val="00BD4C08"/>
    <w:rsid w:val="00BD4F59"/>
    <w:rsid w:val="00BD5AEF"/>
    <w:rsid w:val="00BD6320"/>
    <w:rsid w:val="00BD6369"/>
    <w:rsid w:val="00BD6401"/>
    <w:rsid w:val="00BD64B0"/>
    <w:rsid w:val="00BD6531"/>
    <w:rsid w:val="00BD66AB"/>
    <w:rsid w:val="00BD69DF"/>
    <w:rsid w:val="00BD6D1D"/>
    <w:rsid w:val="00BD6ECB"/>
    <w:rsid w:val="00BD6FAC"/>
    <w:rsid w:val="00BD71A0"/>
    <w:rsid w:val="00BD7232"/>
    <w:rsid w:val="00BD775A"/>
    <w:rsid w:val="00BE01F3"/>
    <w:rsid w:val="00BE037F"/>
    <w:rsid w:val="00BE05F5"/>
    <w:rsid w:val="00BE0C40"/>
    <w:rsid w:val="00BE0F9B"/>
    <w:rsid w:val="00BE13C7"/>
    <w:rsid w:val="00BE145D"/>
    <w:rsid w:val="00BE1831"/>
    <w:rsid w:val="00BE1A76"/>
    <w:rsid w:val="00BE1CB8"/>
    <w:rsid w:val="00BE2E6C"/>
    <w:rsid w:val="00BE30F6"/>
    <w:rsid w:val="00BE348A"/>
    <w:rsid w:val="00BE3A4B"/>
    <w:rsid w:val="00BE3CA7"/>
    <w:rsid w:val="00BE41F5"/>
    <w:rsid w:val="00BE454E"/>
    <w:rsid w:val="00BE4560"/>
    <w:rsid w:val="00BE4907"/>
    <w:rsid w:val="00BE4AB1"/>
    <w:rsid w:val="00BE50AE"/>
    <w:rsid w:val="00BE50D9"/>
    <w:rsid w:val="00BE50EC"/>
    <w:rsid w:val="00BE51E1"/>
    <w:rsid w:val="00BE61CC"/>
    <w:rsid w:val="00BE6E4D"/>
    <w:rsid w:val="00BF0AF7"/>
    <w:rsid w:val="00BF14E6"/>
    <w:rsid w:val="00BF1CF8"/>
    <w:rsid w:val="00BF2231"/>
    <w:rsid w:val="00BF28E3"/>
    <w:rsid w:val="00BF308C"/>
    <w:rsid w:val="00BF36DF"/>
    <w:rsid w:val="00BF38AB"/>
    <w:rsid w:val="00BF3990"/>
    <w:rsid w:val="00BF3FA4"/>
    <w:rsid w:val="00BF40FE"/>
    <w:rsid w:val="00BF4392"/>
    <w:rsid w:val="00BF46BA"/>
    <w:rsid w:val="00BF4B45"/>
    <w:rsid w:val="00BF57F6"/>
    <w:rsid w:val="00BF6735"/>
    <w:rsid w:val="00BF6C30"/>
    <w:rsid w:val="00BF6D9B"/>
    <w:rsid w:val="00BF6F23"/>
    <w:rsid w:val="00BF73CD"/>
    <w:rsid w:val="00BF79DF"/>
    <w:rsid w:val="00BF7AE7"/>
    <w:rsid w:val="00C00073"/>
    <w:rsid w:val="00C00246"/>
    <w:rsid w:val="00C009B8"/>
    <w:rsid w:val="00C00CC5"/>
    <w:rsid w:val="00C00F58"/>
    <w:rsid w:val="00C0174A"/>
    <w:rsid w:val="00C01886"/>
    <w:rsid w:val="00C01C7F"/>
    <w:rsid w:val="00C01DBE"/>
    <w:rsid w:val="00C01DD6"/>
    <w:rsid w:val="00C01E6A"/>
    <w:rsid w:val="00C01EFC"/>
    <w:rsid w:val="00C02738"/>
    <w:rsid w:val="00C02C73"/>
    <w:rsid w:val="00C03062"/>
    <w:rsid w:val="00C038CE"/>
    <w:rsid w:val="00C03945"/>
    <w:rsid w:val="00C03E02"/>
    <w:rsid w:val="00C0444F"/>
    <w:rsid w:val="00C053D2"/>
    <w:rsid w:val="00C056AF"/>
    <w:rsid w:val="00C058C4"/>
    <w:rsid w:val="00C05CA3"/>
    <w:rsid w:val="00C06402"/>
    <w:rsid w:val="00C0641E"/>
    <w:rsid w:val="00C06DAE"/>
    <w:rsid w:val="00C071DB"/>
    <w:rsid w:val="00C10309"/>
    <w:rsid w:val="00C10752"/>
    <w:rsid w:val="00C10943"/>
    <w:rsid w:val="00C10978"/>
    <w:rsid w:val="00C1097B"/>
    <w:rsid w:val="00C10B41"/>
    <w:rsid w:val="00C118ED"/>
    <w:rsid w:val="00C120F0"/>
    <w:rsid w:val="00C120F2"/>
    <w:rsid w:val="00C12FD4"/>
    <w:rsid w:val="00C133FC"/>
    <w:rsid w:val="00C135B4"/>
    <w:rsid w:val="00C1362E"/>
    <w:rsid w:val="00C137A5"/>
    <w:rsid w:val="00C13885"/>
    <w:rsid w:val="00C13C7C"/>
    <w:rsid w:val="00C13E73"/>
    <w:rsid w:val="00C13F16"/>
    <w:rsid w:val="00C14038"/>
    <w:rsid w:val="00C14325"/>
    <w:rsid w:val="00C14B04"/>
    <w:rsid w:val="00C1522B"/>
    <w:rsid w:val="00C15EA6"/>
    <w:rsid w:val="00C15FBD"/>
    <w:rsid w:val="00C163BA"/>
    <w:rsid w:val="00C16897"/>
    <w:rsid w:val="00C17728"/>
    <w:rsid w:val="00C179E8"/>
    <w:rsid w:val="00C17D1A"/>
    <w:rsid w:val="00C17F54"/>
    <w:rsid w:val="00C20619"/>
    <w:rsid w:val="00C207AC"/>
    <w:rsid w:val="00C209A1"/>
    <w:rsid w:val="00C209BF"/>
    <w:rsid w:val="00C20B04"/>
    <w:rsid w:val="00C20E78"/>
    <w:rsid w:val="00C20EAC"/>
    <w:rsid w:val="00C2113C"/>
    <w:rsid w:val="00C2121E"/>
    <w:rsid w:val="00C215FD"/>
    <w:rsid w:val="00C21EC1"/>
    <w:rsid w:val="00C223CC"/>
    <w:rsid w:val="00C22C3D"/>
    <w:rsid w:val="00C23725"/>
    <w:rsid w:val="00C23D33"/>
    <w:rsid w:val="00C23E37"/>
    <w:rsid w:val="00C24C49"/>
    <w:rsid w:val="00C24C4D"/>
    <w:rsid w:val="00C25136"/>
    <w:rsid w:val="00C25401"/>
    <w:rsid w:val="00C25636"/>
    <w:rsid w:val="00C25A6E"/>
    <w:rsid w:val="00C264D5"/>
    <w:rsid w:val="00C268B2"/>
    <w:rsid w:val="00C26A78"/>
    <w:rsid w:val="00C26D89"/>
    <w:rsid w:val="00C271B5"/>
    <w:rsid w:val="00C2732F"/>
    <w:rsid w:val="00C27572"/>
    <w:rsid w:val="00C27D18"/>
    <w:rsid w:val="00C30800"/>
    <w:rsid w:val="00C30B38"/>
    <w:rsid w:val="00C30DCE"/>
    <w:rsid w:val="00C30FA5"/>
    <w:rsid w:val="00C3143A"/>
    <w:rsid w:val="00C315F6"/>
    <w:rsid w:val="00C3161E"/>
    <w:rsid w:val="00C31803"/>
    <w:rsid w:val="00C31E8E"/>
    <w:rsid w:val="00C32839"/>
    <w:rsid w:val="00C32BDC"/>
    <w:rsid w:val="00C32CAD"/>
    <w:rsid w:val="00C334A3"/>
    <w:rsid w:val="00C344D9"/>
    <w:rsid w:val="00C3464E"/>
    <w:rsid w:val="00C349C2"/>
    <w:rsid w:val="00C34DF1"/>
    <w:rsid w:val="00C34E0A"/>
    <w:rsid w:val="00C3527D"/>
    <w:rsid w:val="00C35D78"/>
    <w:rsid w:val="00C35E06"/>
    <w:rsid w:val="00C35F86"/>
    <w:rsid w:val="00C36313"/>
    <w:rsid w:val="00C36475"/>
    <w:rsid w:val="00C36E4C"/>
    <w:rsid w:val="00C37092"/>
    <w:rsid w:val="00C37393"/>
    <w:rsid w:val="00C37750"/>
    <w:rsid w:val="00C378EC"/>
    <w:rsid w:val="00C37ACC"/>
    <w:rsid w:val="00C40229"/>
    <w:rsid w:val="00C40388"/>
    <w:rsid w:val="00C40465"/>
    <w:rsid w:val="00C4059D"/>
    <w:rsid w:val="00C40916"/>
    <w:rsid w:val="00C41170"/>
    <w:rsid w:val="00C4151A"/>
    <w:rsid w:val="00C41A20"/>
    <w:rsid w:val="00C41F2F"/>
    <w:rsid w:val="00C42C0C"/>
    <w:rsid w:val="00C4345E"/>
    <w:rsid w:val="00C435EE"/>
    <w:rsid w:val="00C43C97"/>
    <w:rsid w:val="00C44E31"/>
    <w:rsid w:val="00C44FE3"/>
    <w:rsid w:val="00C45053"/>
    <w:rsid w:val="00C45455"/>
    <w:rsid w:val="00C457CC"/>
    <w:rsid w:val="00C45B30"/>
    <w:rsid w:val="00C46394"/>
    <w:rsid w:val="00C464E0"/>
    <w:rsid w:val="00C46911"/>
    <w:rsid w:val="00C46A86"/>
    <w:rsid w:val="00C46D1A"/>
    <w:rsid w:val="00C46D8C"/>
    <w:rsid w:val="00C46DB4"/>
    <w:rsid w:val="00C46E76"/>
    <w:rsid w:val="00C4745B"/>
    <w:rsid w:val="00C47670"/>
    <w:rsid w:val="00C476C3"/>
    <w:rsid w:val="00C478B5"/>
    <w:rsid w:val="00C47A31"/>
    <w:rsid w:val="00C5043C"/>
    <w:rsid w:val="00C507C1"/>
    <w:rsid w:val="00C50BC0"/>
    <w:rsid w:val="00C51061"/>
    <w:rsid w:val="00C511B3"/>
    <w:rsid w:val="00C5127C"/>
    <w:rsid w:val="00C51CA0"/>
    <w:rsid w:val="00C5211C"/>
    <w:rsid w:val="00C5217F"/>
    <w:rsid w:val="00C52720"/>
    <w:rsid w:val="00C52787"/>
    <w:rsid w:val="00C528C5"/>
    <w:rsid w:val="00C52B69"/>
    <w:rsid w:val="00C52D8F"/>
    <w:rsid w:val="00C53303"/>
    <w:rsid w:val="00C534A9"/>
    <w:rsid w:val="00C536A3"/>
    <w:rsid w:val="00C542BD"/>
    <w:rsid w:val="00C5456C"/>
    <w:rsid w:val="00C54AC4"/>
    <w:rsid w:val="00C54E29"/>
    <w:rsid w:val="00C54FE1"/>
    <w:rsid w:val="00C55753"/>
    <w:rsid w:val="00C5610F"/>
    <w:rsid w:val="00C56AB2"/>
    <w:rsid w:val="00C57982"/>
    <w:rsid w:val="00C579FF"/>
    <w:rsid w:val="00C57F57"/>
    <w:rsid w:val="00C57FF3"/>
    <w:rsid w:val="00C602FF"/>
    <w:rsid w:val="00C6072F"/>
    <w:rsid w:val="00C608D0"/>
    <w:rsid w:val="00C60DC0"/>
    <w:rsid w:val="00C60DD0"/>
    <w:rsid w:val="00C610EA"/>
    <w:rsid w:val="00C6113D"/>
    <w:rsid w:val="00C61171"/>
    <w:rsid w:val="00C6153D"/>
    <w:rsid w:val="00C61945"/>
    <w:rsid w:val="00C62313"/>
    <w:rsid w:val="00C62E99"/>
    <w:rsid w:val="00C63789"/>
    <w:rsid w:val="00C641F6"/>
    <w:rsid w:val="00C644C7"/>
    <w:rsid w:val="00C647D9"/>
    <w:rsid w:val="00C6492B"/>
    <w:rsid w:val="00C6540C"/>
    <w:rsid w:val="00C65488"/>
    <w:rsid w:val="00C656C6"/>
    <w:rsid w:val="00C65F0D"/>
    <w:rsid w:val="00C65F53"/>
    <w:rsid w:val="00C66535"/>
    <w:rsid w:val="00C66610"/>
    <w:rsid w:val="00C669CE"/>
    <w:rsid w:val="00C678FD"/>
    <w:rsid w:val="00C67CF0"/>
    <w:rsid w:val="00C700B4"/>
    <w:rsid w:val="00C700C5"/>
    <w:rsid w:val="00C705DA"/>
    <w:rsid w:val="00C70816"/>
    <w:rsid w:val="00C7081F"/>
    <w:rsid w:val="00C70DCA"/>
    <w:rsid w:val="00C71B03"/>
    <w:rsid w:val="00C726A4"/>
    <w:rsid w:val="00C72956"/>
    <w:rsid w:val="00C72C12"/>
    <w:rsid w:val="00C72F5A"/>
    <w:rsid w:val="00C735EC"/>
    <w:rsid w:val="00C7370D"/>
    <w:rsid w:val="00C737C4"/>
    <w:rsid w:val="00C73EAE"/>
    <w:rsid w:val="00C73F5A"/>
    <w:rsid w:val="00C74487"/>
    <w:rsid w:val="00C74568"/>
    <w:rsid w:val="00C74AD9"/>
    <w:rsid w:val="00C75463"/>
    <w:rsid w:val="00C75C78"/>
    <w:rsid w:val="00C75EDB"/>
    <w:rsid w:val="00C760A6"/>
    <w:rsid w:val="00C7656D"/>
    <w:rsid w:val="00C76CD5"/>
    <w:rsid w:val="00C770AE"/>
    <w:rsid w:val="00C776F3"/>
    <w:rsid w:val="00C7783C"/>
    <w:rsid w:val="00C77EA0"/>
    <w:rsid w:val="00C808DB"/>
    <w:rsid w:val="00C8097E"/>
    <w:rsid w:val="00C80B9F"/>
    <w:rsid w:val="00C80FF6"/>
    <w:rsid w:val="00C8105B"/>
    <w:rsid w:val="00C8147A"/>
    <w:rsid w:val="00C8173B"/>
    <w:rsid w:val="00C81852"/>
    <w:rsid w:val="00C81E78"/>
    <w:rsid w:val="00C81F40"/>
    <w:rsid w:val="00C82030"/>
    <w:rsid w:val="00C823A0"/>
    <w:rsid w:val="00C8285D"/>
    <w:rsid w:val="00C82A15"/>
    <w:rsid w:val="00C82E01"/>
    <w:rsid w:val="00C83A6E"/>
    <w:rsid w:val="00C83BB8"/>
    <w:rsid w:val="00C83BD2"/>
    <w:rsid w:val="00C83C57"/>
    <w:rsid w:val="00C83C74"/>
    <w:rsid w:val="00C83E2A"/>
    <w:rsid w:val="00C8455C"/>
    <w:rsid w:val="00C848C1"/>
    <w:rsid w:val="00C85394"/>
    <w:rsid w:val="00C8542C"/>
    <w:rsid w:val="00C85450"/>
    <w:rsid w:val="00C85653"/>
    <w:rsid w:val="00C856B3"/>
    <w:rsid w:val="00C8626C"/>
    <w:rsid w:val="00C869D5"/>
    <w:rsid w:val="00C8722D"/>
    <w:rsid w:val="00C874FD"/>
    <w:rsid w:val="00C875C5"/>
    <w:rsid w:val="00C87806"/>
    <w:rsid w:val="00C901D5"/>
    <w:rsid w:val="00C90519"/>
    <w:rsid w:val="00C90767"/>
    <w:rsid w:val="00C908F3"/>
    <w:rsid w:val="00C90E5F"/>
    <w:rsid w:val="00C91112"/>
    <w:rsid w:val="00C912D7"/>
    <w:rsid w:val="00C915DA"/>
    <w:rsid w:val="00C91A40"/>
    <w:rsid w:val="00C93064"/>
    <w:rsid w:val="00C93480"/>
    <w:rsid w:val="00C93CBF"/>
    <w:rsid w:val="00C9458E"/>
    <w:rsid w:val="00C948A9"/>
    <w:rsid w:val="00C94929"/>
    <w:rsid w:val="00C95867"/>
    <w:rsid w:val="00C95A11"/>
    <w:rsid w:val="00C95AAD"/>
    <w:rsid w:val="00C95D3B"/>
    <w:rsid w:val="00C95FF9"/>
    <w:rsid w:val="00C9637D"/>
    <w:rsid w:val="00C969A7"/>
    <w:rsid w:val="00C96F1C"/>
    <w:rsid w:val="00C97076"/>
    <w:rsid w:val="00C973C9"/>
    <w:rsid w:val="00C976D5"/>
    <w:rsid w:val="00CA011C"/>
    <w:rsid w:val="00CA07E0"/>
    <w:rsid w:val="00CA0B46"/>
    <w:rsid w:val="00CA0DEB"/>
    <w:rsid w:val="00CA0FED"/>
    <w:rsid w:val="00CA1073"/>
    <w:rsid w:val="00CA1165"/>
    <w:rsid w:val="00CA12A7"/>
    <w:rsid w:val="00CA16EF"/>
    <w:rsid w:val="00CA17CA"/>
    <w:rsid w:val="00CA1C06"/>
    <w:rsid w:val="00CA2134"/>
    <w:rsid w:val="00CA2247"/>
    <w:rsid w:val="00CA2483"/>
    <w:rsid w:val="00CA2632"/>
    <w:rsid w:val="00CA2BD8"/>
    <w:rsid w:val="00CA351A"/>
    <w:rsid w:val="00CA3663"/>
    <w:rsid w:val="00CA383F"/>
    <w:rsid w:val="00CA3CC6"/>
    <w:rsid w:val="00CA3DC0"/>
    <w:rsid w:val="00CA438E"/>
    <w:rsid w:val="00CA49CB"/>
    <w:rsid w:val="00CA4B12"/>
    <w:rsid w:val="00CA4D04"/>
    <w:rsid w:val="00CA5B72"/>
    <w:rsid w:val="00CA61E0"/>
    <w:rsid w:val="00CA6A4D"/>
    <w:rsid w:val="00CA6D66"/>
    <w:rsid w:val="00CA709D"/>
    <w:rsid w:val="00CA7126"/>
    <w:rsid w:val="00CA728A"/>
    <w:rsid w:val="00CA72AB"/>
    <w:rsid w:val="00CA75DD"/>
    <w:rsid w:val="00CA7C4B"/>
    <w:rsid w:val="00CA7C99"/>
    <w:rsid w:val="00CA7D66"/>
    <w:rsid w:val="00CB0692"/>
    <w:rsid w:val="00CB07C3"/>
    <w:rsid w:val="00CB080D"/>
    <w:rsid w:val="00CB15E9"/>
    <w:rsid w:val="00CB18FB"/>
    <w:rsid w:val="00CB1CD9"/>
    <w:rsid w:val="00CB2295"/>
    <w:rsid w:val="00CB2613"/>
    <w:rsid w:val="00CB27EA"/>
    <w:rsid w:val="00CB2963"/>
    <w:rsid w:val="00CB2A75"/>
    <w:rsid w:val="00CB2E48"/>
    <w:rsid w:val="00CB31CB"/>
    <w:rsid w:val="00CB32BD"/>
    <w:rsid w:val="00CB389D"/>
    <w:rsid w:val="00CB3ABA"/>
    <w:rsid w:val="00CB3AFB"/>
    <w:rsid w:val="00CB3DFA"/>
    <w:rsid w:val="00CB3F94"/>
    <w:rsid w:val="00CB42CA"/>
    <w:rsid w:val="00CB4516"/>
    <w:rsid w:val="00CB46FA"/>
    <w:rsid w:val="00CB4BA6"/>
    <w:rsid w:val="00CB548C"/>
    <w:rsid w:val="00CB54D8"/>
    <w:rsid w:val="00CB668F"/>
    <w:rsid w:val="00CB6934"/>
    <w:rsid w:val="00CB6AA3"/>
    <w:rsid w:val="00CB74B8"/>
    <w:rsid w:val="00CB78EC"/>
    <w:rsid w:val="00CB7BCC"/>
    <w:rsid w:val="00CC0787"/>
    <w:rsid w:val="00CC0BA9"/>
    <w:rsid w:val="00CC0BE1"/>
    <w:rsid w:val="00CC0C10"/>
    <w:rsid w:val="00CC12BF"/>
    <w:rsid w:val="00CC1684"/>
    <w:rsid w:val="00CC1916"/>
    <w:rsid w:val="00CC1AF5"/>
    <w:rsid w:val="00CC1BD2"/>
    <w:rsid w:val="00CC1EBE"/>
    <w:rsid w:val="00CC20FE"/>
    <w:rsid w:val="00CC246B"/>
    <w:rsid w:val="00CC25DA"/>
    <w:rsid w:val="00CC28D9"/>
    <w:rsid w:val="00CC3196"/>
    <w:rsid w:val="00CC31EE"/>
    <w:rsid w:val="00CC345D"/>
    <w:rsid w:val="00CC4473"/>
    <w:rsid w:val="00CC46A2"/>
    <w:rsid w:val="00CC4879"/>
    <w:rsid w:val="00CC4CD2"/>
    <w:rsid w:val="00CC5072"/>
    <w:rsid w:val="00CC5090"/>
    <w:rsid w:val="00CC5100"/>
    <w:rsid w:val="00CC5337"/>
    <w:rsid w:val="00CC5569"/>
    <w:rsid w:val="00CC5914"/>
    <w:rsid w:val="00CC5F1A"/>
    <w:rsid w:val="00CC6513"/>
    <w:rsid w:val="00CC6AA3"/>
    <w:rsid w:val="00CC721E"/>
    <w:rsid w:val="00CC7499"/>
    <w:rsid w:val="00CC76F8"/>
    <w:rsid w:val="00CD00FB"/>
    <w:rsid w:val="00CD0FCB"/>
    <w:rsid w:val="00CD1170"/>
    <w:rsid w:val="00CD19AB"/>
    <w:rsid w:val="00CD1BCD"/>
    <w:rsid w:val="00CD1C4F"/>
    <w:rsid w:val="00CD2C1E"/>
    <w:rsid w:val="00CD2CE4"/>
    <w:rsid w:val="00CD3578"/>
    <w:rsid w:val="00CD3FBF"/>
    <w:rsid w:val="00CD434E"/>
    <w:rsid w:val="00CD45AE"/>
    <w:rsid w:val="00CD48C5"/>
    <w:rsid w:val="00CD5732"/>
    <w:rsid w:val="00CD5750"/>
    <w:rsid w:val="00CD5949"/>
    <w:rsid w:val="00CD5AA2"/>
    <w:rsid w:val="00CD5B6C"/>
    <w:rsid w:val="00CD5BBE"/>
    <w:rsid w:val="00CD6332"/>
    <w:rsid w:val="00CD6AB5"/>
    <w:rsid w:val="00CD6D42"/>
    <w:rsid w:val="00CD6E5E"/>
    <w:rsid w:val="00CD75F0"/>
    <w:rsid w:val="00CD7834"/>
    <w:rsid w:val="00CD7D93"/>
    <w:rsid w:val="00CE149C"/>
    <w:rsid w:val="00CE1D38"/>
    <w:rsid w:val="00CE2574"/>
    <w:rsid w:val="00CE319D"/>
    <w:rsid w:val="00CE31AE"/>
    <w:rsid w:val="00CE3371"/>
    <w:rsid w:val="00CE39D3"/>
    <w:rsid w:val="00CE4403"/>
    <w:rsid w:val="00CE449E"/>
    <w:rsid w:val="00CE4585"/>
    <w:rsid w:val="00CE4848"/>
    <w:rsid w:val="00CE526A"/>
    <w:rsid w:val="00CE5CEC"/>
    <w:rsid w:val="00CE5F8E"/>
    <w:rsid w:val="00CE64E2"/>
    <w:rsid w:val="00CE6D78"/>
    <w:rsid w:val="00CE6E7E"/>
    <w:rsid w:val="00CE6EF1"/>
    <w:rsid w:val="00CE6F0F"/>
    <w:rsid w:val="00CE709B"/>
    <w:rsid w:val="00CE71AE"/>
    <w:rsid w:val="00CE7373"/>
    <w:rsid w:val="00CE75E7"/>
    <w:rsid w:val="00CE7D73"/>
    <w:rsid w:val="00CE7FBE"/>
    <w:rsid w:val="00CF116B"/>
    <w:rsid w:val="00CF12B0"/>
    <w:rsid w:val="00CF1689"/>
    <w:rsid w:val="00CF1BA1"/>
    <w:rsid w:val="00CF1E0A"/>
    <w:rsid w:val="00CF2831"/>
    <w:rsid w:val="00CF2BA6"/>
    <w:rsid w:val="00CF2C60"/>
    <w:rsid w:val="00CF2CE9"/>
    <w:rsid w:val="00CF2FFF"/>
    <w:rsid w:val="00CF3194"/>
    <w:rsid w:val="00CF31D4"/>
    <w:rsid w:val="00CF3373"/>
    <w:rsid w:val="00CF3608"/>
    <w:rsid w:val="00CF3A68"/>
    <w:rsid w:val="00CF3AA5"/>
    <w:rsid w:val="00CF3B01"/>
    <w:rsid w:val="00CF3DF2"/>
    <w:rsid w:val="00CF3E61"/>
    <w:rsid w:val="00CF3FF8"/>
    <w:rsid w:val="00CF4142"/>
    <w:rsid w:val="00CF4239"/>
    <w:rsid w:val="00CF4403"/>
    <w:rsid w:val="00CF45C8"/>
    <w:rsid w:val="00CF464A"/>
    <w:rsid w:val="00CF4E16"/>
    <w:rsid w:val="00CF4EE2"/>
    <w:rsid w:val="00CF545D"/>
    <w:rsid w:val="00CF5CCC"/>
    <w:rsid w:val="00CF5E5A"/>
    <w:rsid w:val="00CF6166"/>
    <w:rsid w:val="00CF6172"/>
    <w:rsid w:val="00CF6363"/>
    <w:rsid w:val="00CF6E86"/>
    <w:rsid w:val="00CF73C0"/>
    <w:rsid w:val="00CF765B"/>
    <w:rsid w:val="00CF7B88"/>
    <w:rsid w:val="00CF7C32"/>
    <w:rsid w:val="00CF7E0B"/>
    <w:rsid w:val="00CF7EC9"/>
    <w:rsid w:val="00D00745"/>
    <w:rsid w:val="00D0084E"/>
    <w:rsid w:val="00D0088C"/>
    <w:rsid w:val="00D00EDB"/>
    <w:rsid w:val="00D01285"/>
    <w:rsid w:val="00D01374"/>
    <w:rsid w:val="00D013B5"/>
    <w:rsid w:val="00D0149D"/>
    <w:rsid w:val="00D01938"/>
    <w:rsid w:val="00D019C9"/>
    <w:rsid w:val="00D01B85"/>
    <w:rsid w:val="00D022F4"/>
    <w:rsid w:val="00D02696"/>
    <w:rsid w:val="00D02951"/>
    <w:rsid w:val="00D029E5"/>
    <w:rsid w:val="00D02BED"/>
    <w:rsid w:val="00D02EBB"/>
    <w:rsid w:val="00D030FF"/>
    <w:rsid w:val="00D034AA"/>
    <w:rsid w:val="00D03586"/>
    <w:rsid w:val="00D041C2"/>
    <w:rsid w:val="00D04848"/>
    <w:rsid w:val="00D050A9"/>
    <w:rsid w:val="00D053E4"/>
    <w:rsid w:val="00D054B8"/>
    <w:rsid w:val="00D05A7E"/>
    <w:rsid w:val="00D06303"/>
    <w:rsid w:val="00D06422"/>
    <w:rsid w:val="00D068E9"/>
    <w:rsid w:val="00D06960"/>
    <w:rsid w:val="00D069AD"/>
    <w:rsid w:val="00D07417"/>
    <w:rsid w:val="00D07D39"/>
    <w:rsid w:val="00D102C3"/>
    <w:rsid w:val="00D10B66"/>
    <w:rsid w:val="00D10B71"/>
    <w:rsid w:val="00D10D22"/>
    <w:rsid w:val="00D11719"/>
    <w:rsid w:val="00D11C1D"/>
    <w:rsid w:val="00D12385"/>
    <w:rsid w:val="00D124C0"/>
    <w:rsid w:val="00D1280F"/>
    <w:rsid w:val="00D12831"/>
    <w:rsid w:val="00D1305B"/>
    <w:rsid w:val="00D13539"/>
    <w:rsid w:val="00D13834"/>
    <w:rsid w:val="00D13876"/>
    <w:rsid w:val="00D139F1"/>
    <w:rsid w:val="00D13A1D"/>
    <w:rsid w:val="00D14077"/>
    <w:rsid w:val="00D140F4"/>
    <w:rsid w:val="00D141C9"/>
    <w:rsid w:val="00D142F2"/>
    <w:rsid w:val="00D14371"/>
    <w:rsid w:val="00D15071"/>
    <w:rsid w:val="00D1512C"/>
    <w:rsid w:val="00D155D5"/>
    <w:rsid w:val="00D15D64"/>
    <w:rsid w:val="00D15E65"/>
    <w:rsid w:val="00D15FFC"/>
    <w:rsid w:val="00D1603E"/>
    <w:rsid w:val="00D163DE"/>
    <w:rsid w:val="00D17466"/>
    <w:rsid w:val="00D178DB"/>
    <w:rsid w:val="00D179CE"/>
    <w:rsid w:val="00D20100"/>
    <w:rsid w:val="00D21167"/>
    <w:rsid w:val="00D21534"/>
    <w:rsid w:val="00D22805"/>
    <w:rsid w:val="00D22B0A"/>
    <w:rsid w:val="00D22DAB"/>
    <w:rsid w:val="00D22FC6"/>
    <w:rsid w:val="00D2328C"/>
    <w:rsid w:val="00D24BD6"/>
    <w:rsid w:val="00D24C18"/>
    <w:rsid w:val="00D24EE8"/>
    <w:rsid w:val="00D25DD9"/>
    <w:rsid w:val="00D25EC1"/>
    <w:rsid w:val="00D26185"/>
    <w:rsid w:val="00D26314"/>
    <w:rsid w:val="00D26588"/>
    <w:rsid w:val="00D267AC"/>
    <w:rsid w:val="00D2757C"/>
    <w:rsid w:val="00D301E4"/>
    <w:rsid w:val="00D3039C"/>
    <w:rsid w:val="00D30461"/>
    <w:rsid w:val="00D30A84"/>
    <w:rsid w:val="00D30CD1"/>
    <w:rsid w:val="00D30E00"/>
    <w:rsid w:val="00D30F79"/>
    <w:rsid w:val="00D31716"/>
    <w:rsid w:val="00D31A1D"/>
    <w:rsid w:val="00D31BDF"/>
    <w:rsid w:val="00D31E8D"/>
    <w:rsid w:val="00D31EA0"/>
    <w:rsid w:val="00D31F44"/>
    <w:rsid w:val="00D323D0"/>
    <w:rsid w:val="00D32A9F"/>
    <w:rsid w:val="00D32BC9"/>
    <w:rsid w:val="00D32D7C"/>
    <w:rsid w:val="00D32F4F"/>
    <w:rsid w:val="00D33954"/>
    <w:rsid w:val="00D33B70"/>
    <w:rsid w:val="00D33EF8"/>
    <w:rsid w:val="00D34858"/>
    <w:rsid w:val="00D34902"/>
    <w:rsid w:val="00D36971"/>
    <w:rsid w:val="00D369E4"/>
    <w:rsid w:val="00D3709B"/>
    <w:rsid w:val="00D37FD1"/>
    <w:rsid w:val="00D400E6"/>
    <w:rsid w:val="00D401F3"/>
    <w:rsid w:val="00D402CA"/>
    <w:rsid w:val="00D403D1"/>
    <w:rsid w:val="00D403EB"/>
    <w:rsid w:val="00D40444"/>
    <w:rsid w:val="00D4090A"/>
    <w:rsid w:val="00D40F17"/>
    <w:rsid w:val="00D410EA"/>
    <w:rsid w:val="00D41BEF"/>
    <w:rsid w:val="00D41CA4"/>
    <w:rsid w:val="00D41E71"/>
    <w:rsid w:val="00D421F6"/>
    <w:rsid w:val="00D427A6"/>
    <w:rsid w:val="00D4284F"/>
    <w:rsid w:val="00D43600"/>
    <w:rsid w:val="00D4380A"/>
    <w:rsid w:val="00D43EAB"/>
    <w:rsid w:val="00D450FF"/>
    <w:rsid w:val="00D451BB"/>
    <w:rsid w:val="00D451EE"/>
    <w:rsid w:val="00D45850"/>
    <w:rsid w:val="00D45A9F"/>
    <w:rsid w:val="00D45B99"/>
    <w:rsid w:val="00D45C7E"/>
    <w:rsid w:val="00D45CB3"/>
    <w:rsid w:val="00D4613E"/>
    <w:rsid w:val="00D461AD"/>
    <w:rsid w:val="00D47500"/>
    <w:rsid w:val="00D47F95"/>
    <w:rsid w:val="00D500F2"/>
    <w:rsid w:val="00D5056D"/>
    <w:rsid w:val="00D50B25"/>
    <w:rsid w:val="00D50C09"/>
    <w:rsid w:val="00D50C19"/>
    <w:rsid w:val="00D50F5F"/>
    <w:rsid w:val="00D51704"/>
    <w:rsid w:val="00D52395"/>
    <w:rsid w:val="00D529CD"/>
    <w:rsid w:val="00D52D9D"/>
    <w:rsid w:val="00D52E08"/>
    <w:rsid w:val="00D5304F"/>
    <w:rsid w:val="00D53126"/>
    <w:rsid w:val="00D53590"/>
    <w:rsid w:val="00D53760"/>
    <w:rsid w:val="00D53E37"/>
    <w:rsid w:val="00D53E80"/>
    <w:rsid w:val="00D5438C"/>
    <w:rsid w:val="00D545D2"/>
    <w:rsid w:val="00D54DFD"/>
    <w:rsid w:val="00D55201"/>
    <w:rsid w:val="00D55CF7"/>
    <w:rsid w:val="00D55E6C"/>
    <w:rsid w:val="00D55F5C"/>
    <w:rsid w:val="00D56D9D"/>
    <w:rsid w:val="00D56F5B"/>
    <w:rsid w:val="00D571F8"/>
    <w:rsid w:val="00D5757D"/>
    <w:rsid w:val="00D57872"/>
    <w:rsid w:val="00D6026E"/>
    <w:rsid w:val="00D60F28"/>
    <w:rsid w:val="00D61AF9"/>
    <w:rsid w:val="00D61C37"/>
    <w:rsid w:val="00D61CC5"/>
    <w:rsid w:val="00D61F55"/>
    <w:rsid w:val="00D621D9"/>
    <w:rsid w:val="00D62436"/>
    <w:rsid w:val="00D62629"/>
    <w:rsid w:val="00D6286E"/>
    <w:rsid w:val="00D62D07"/>
    <w:rsid w:val="00D633FA"/>
    <w:rsid w:val="00D63664"/>
    <w:rsid w:val="00D639EF"/>
    <w:rsid w:val="00D63B3D"/>
    <w:rsid w:val="00D6401D"/>
    <w:rsid w:val="00D64846"/>
    <w:rsid w:val="00D64A72"/>
    <w:rsid w:val="00D64CF8"/>
    <w:rsid w:val="00D6532F"/>
    <w:rsid w:val="00D65522"/>
    <w:rsid w:val="00D65684"/>
    <w:rsid w:val="00D6569E"/>
    <w:rsid w:val="00D6595C"/>
    <w:rsid w:val="00D65BE1"/>
    <w:rsid w:val="00D65F0C"/>
    <w:rsid w:val="00D66134"/>
    <w:rsid w:val="00D667EA"/>
    <w:rsid w:val="00D668A8"/>
    <w:rsid w:val="00D676E5"/>
    <w:rsid w:val="00D677D3"/>
    <w:rsid w:val="00D67C9B"/>
    <w:rsid w:val="00D70798"/>
    <w:rsid w:val="00D70888"/>
    <w:rsid w:val="00D71CE3"/>
    <w:rsid w:val="00D72B6E"/>
    <w:rsid w:val="00D72F73"/>
    <w:rsid w:val="00D73210"/>
    <w:rsid w:val="00D73395"/>
    <w:rsid w:val="00D73500"/>
    <w:rsid w:val="00D73D27"/>
    <w:rsid w:val="00D74110"/>
    <w:rsid w:val="00D744E8"/>
    <w:rsid w:val="00D7479E"/>
    <w:rsid w:val="00D74866"/>
    <w:rsid w:val="00D74F61"/>
    <w:rsid w:val="00D75085"/>
    <w:rsid w:val="00D75187"/>
    <w:rsid w:val="00D75238"/>
    <w:rsid w:val="00D758AC"/>
    <w:rsid w:val="00D75B5F"/>
    <w:rsid w:val="00D75F38"/>
    <w:rsid w:val="00D75F70"/>
    <w:rsid w:val="00D7683E"/>
    <w:rsid w:val="00D76C5F"/>
    <w:rsid w:val="00D76CB2"/>
    <w:rsid w:val="00D77255"/>
    <w:rsid w:val="00D77870"/>
    <w:rsid w:val="00D77C23"/>
    <w:rsid w:val="00D77D46"/>
    <w:rsid w:val="00D80033"/>
    <w:rsid w:val="00D80107"/>
    <w:rsid w:val="00D802DB"/>
    <w:rsid w:val="00D81187"/>
    <w:rsid w:val="00D81445"/>
    <w:rsid w:val="00D8150A"/>
    <w:rsid w:val="00D815C3"/>
    <w:rsid w:val="00D81946"/>
    <w:rsid w:val="00D81D48"/>
    <w:rsid w:val="00D824E3"/>
    <w:rsid w:val="00D82571"/>
    <w:rsid w:val="00D82A78"/>
    <w:rsid w:val="00D82A99"/>
    <w:rsid w:val="00D82DAF"/>
    <w:rsid w:val="00D82F45"/>
    <w:rsid w:val="00D841F7"/>
    <w:rsid w:val="00D8446E"/>
    <w:rsid w:val="00D85EF3"/>
    <w:rsid w:val="00D8643D"/>
    <w:rsid w:val="00D8648C"/>
    <w:rsid w:val="00D864FD"/>
    <w:rsid w:val="00D86BCB"/>
    <w:rsid w:val="00D86C16"/>
    <w:rsid w:val="00D86D55"/>
    <w:rsid w:val="00D86E64"/>
    <w:rsid w:val="00D8727A"/>
    <w:rsid w:val="00D87397"/>
    <w:rsid w:val="00D87419"/>
    <w:rsid w:val="00D875EF"/>
    <w:rsid w:val="00D87D0D"/>
    <w:rsid w:val="00D90037"/>
    <w:rsid w:val="00D900FB"/>
    <w:rsid w:val="00D907DD"/>
    <w:rsid w:val="00D90BDF"/>
    <w:rsid w:val="00D90F81"/>
    <w:rsid w:val="00D912DD"/>
    <w:rsid w:val="00D91719"/>
    <w:rsid w:val="00D91739"/>
    <w:rsid w:val="00D9178D"/>
    <w:rsid w:val="00D9182E"/>
    <w:rsid w:val="00D920E8"/>
    <w:rsid w:val="00D921EB"/>
    <w:rsid w:val="00D92849"/>
    <w:rsid w:val="00D946E9"/>
    <w:rsid w:val="00D94C33"/>
    <w:rsid w:val="00D94ED7"/>
    <w:rsid w:val="00D95181"/>
    <w:rsid w:val="00D96593"/>
    <w:rsid w:val="00D96662"/>
    <w:rsid w:val="00D969B2"/>
    <w:rsid w:val="00D96CE2"/>
    <w:rsid w:val="00D96D19"/>
    <w:rsid w:val="00D96D1B"/>
    <w:rsid w:val="00D9710F"/>
    <w:rsid w:val="00D9759A"/>
    <w:rsid w:val="00D976F9"/>
    <w:rsid w:val="00D97881"/>
    <w:rsid w:val="00D97ABA"/>
    <w:rsid w:val="00DA00AB"/>
    <w:rsid w:val="00DA02E5"/>
    <w:rsid w:val="00DA0CF4"/>
    <w:rsid w:val="00DA16E6"/>
    <w:rsid w:val="00DA1C74"/>
    <w:rsid w:val="00DA1DEB"/>
    <w:rsid w:val="00DA2226"/>
    <w:rsid w:val="00DA30D0"/>
    <w:rsid w:val="00DA36AD"/>
    <w:rsid w:val="00DA4002"/>
    <w:rsid w:val="00DA40B9"/>
    <w:rsid w:val="00DA418A"/>
    <w:rsid w:val="00DA426A"/>
    <w:rsid w:val="00DA429D"/>
    <w:rsid w:val="00DA45E5"/>
    <w:rsid w:val="00DA48C1"/>
    <w:rsid w:val="00DA48FB"/>
    <w:rsid w:val="00DA4A95"/>
    <w:rsid w:val="00DA5277"/>
    <w:rsid w:val="00DA55A1"/>
    <w:rsid w:val="00DA61A0"/>
    <w:rsid w:val="00DA6339"/>
    <w:rsid w:val="00DA64E4"/>
    <w:rsid w:val="00DA66E7"/>
    <w:rsid w:val="00DA697D"/>
    <w:rsid w:val="00DA6D24"/>
    <w:rsid w:val="00DA6D3E"/>
    <w:rsid w:val="00DA710D"/>
    <w:rsid w:val="00DA77E5"/>
    <w:rsid w:val="00DA79EA"/>
    <w:rsid w:val="00DA7A5D"/>
    <w:rsid w:val="00DA7C63"/>
    <w:rsid w:val="00DA7D07"/>
    <w:rsid w:val="00DB05FE"/>
    <w:rsid w:val="00DB06A1"/>
    <w:rsid w:val="00DB0A1B"/>
    <w:rsid w:val="00DB0B3D"/>
    <w:rsid w:val="00DB188A"/>
    <w:rsid w:val="00DB2276"/>
    <w:rsid w:val="00DB2ADA"/>
    <w:rsid w:val="00DB3A73"/>
    <w:rsid w:val="00DB3B89"/>
    <w:rsid w:val="00DB3CD9"/>
    <w:rsid w:val="00DB3D14"/>
    <w:rsid w:val="00DB3E2D"/>
    <w:rsid w:val="00DB4358"/>
    <w:rsid w:val="00DB45E5"/>
    <w:rsid w:val="00DB474A"/>
    <w:rsid w:val="00DB49EC"/>
    <w:rsid w:val="00DB4DB2"/>
    <w:rsid w:val="00DB4E6C"/>
    <w:rsid w:val="00DB4E98"/>
    <w:rsid w:val="00DB52B4"/>
    <w:rsid w:val="00DB594D"/>
    <w:rsid w:val="00DB6BD2"/>
    <w:rsid w:val="00DB6DFC"/>
    <w:rsid w:val="00DB70D0"/>
    <w:rsid w:val="00DB7171"/>
    <w:rsid w:val="00DB77C1"/>
    <w:rsid w:val="00DB7803"/>
    <w:rsid w:val="00DB785B"/>
    <w:rsid w:val="00DC0600"/>
    <w:rsid w:val="00DC0640"/>
    <w:rsid w:val="00DC0D73"/>
    <w:rsid w:val="00DC0F09"/>
    <w:rsid w:val="00DC12B9"/>
    <w:rsid w:val="00DC1B0B"/>
    <w:rsid w:val="00DC233B"/>
    <w:rsid w:val="00DC270B"/>
    <w:rsid w:val="00DC2E05"/>
    <w:rsid w:val="00DC3A02"/>
    <w:rsid w:val="00DC3CEB"/>
    <w:rsid w:val="00DC4424"/>
    <w:rsid w:val="00DC49A4"/>
    <w:rsid w:val="00DC49A5"/>
    <w:rsid w:val="00DC5173"/>
    <w:rsid w:val="00DC5952"/>
    <w:rsid w:val="00DC5B30"/>
    <w:rsid w:val="00DC652C"/>
    <w:rsid w:val="00DC66DF"/>
    <w:rsid w:val="00DC6764"/>
    <w:rsid w:val="00DC685E"/>
    <w:rsid w:val="00DC79B1"/>
    <w:rsid w:val="00DC7B21"/>
    <w:rsid w:val="00DC7BD2"/>
    <w:rsid w:val="00DC7C70"/>
    <w:rsid w:val="00DC7D3A"/>
    <w:rsid w:val="00DC7EB9"/>
    <w:rsid w:val="00DC7FE5"/>
    <w:rsid w:val="00DD013D"/>
    <w:rsid w:val="00DD053B"/>
    <w:rsid w:val="00DD0A62"/>
    <w:rsid w:val="00DD1872"/>
    <w:rsid w:val="00DD18AE"/>
    <w:rsid w:val="00DD1E00"/>
    <w:rsid w:val="00DD23F5"/>
    <w:rsid w:val="00DD31CC"/>
    <w:rsid w:val="00DD3236"/>
    <w:rsid w:val="00DD3279"/>
    <w:rsid w:val="00DD3295"/>
    <w:rsid w:val="00DD38FB"/>
    <w:rsid w:val="00DD3A4F"/>
    <w:rsid w:val="00DD3C98"/>
    <w:rsid w:val="00DD3E4A"/>
    <w:rsid w:val="00DD3FD2"/>
    <w:rsid w:val="00DD3FDF"/>
    <w:rsid w:val="00DD410E"/>
    <w:rsid w:val="00DD558A"/>
    <w:rsid w:val="00DD5862"/>
    <w:rsid w:val="00DD5C8F"/>
    <w:rsid w:val="00DD5D8B"/>
    <w:rsid w:val="00DD5DC4"/>
    <w:rsid w:val="00DD60FF"/>
    <w:rsid w:val="00DD6495"/>
    <w:rsid w:val="00DD6851"/>
    <w:rsid w:val="00DD6CDF"/>
    <w:rsid w:val="00DD703D"/>
    <w:rsid w:val="00DD7051"/>
    <w:rsid w:val="00DD74BD"/>
    <w:rsid w:val="00DD75B4"/>
    <w:rsid w:val="00DE09C7"/>
    <w:rsid w:val="00DE2FBC"/>
    <w:rsid w:val="00DE3F87"/>
    <w:rsid w:val="00DE4310"/>
    <w:rsid w:val="00DE4A5B"/>
    <w:rsid w:val="00DE4AB9"/>
    <w:rsid w:val="00DE5710"/>
    <w:rsid w:val="00DE5B49"/>
    <w:rsid w:val="00DE5D1D"/>
    <w:rsid w:val="00DE60C4"/>
    <w:rsid w:val="00DE6539"/>
    <w:rsid w:val="00DE6B4A"/>
    <w:rsid w:val="00DE74C8"/>
    <w:rsid w:val="00DE7A89"/>
    <w:rsid w:val="00DE7BCA"/>
    <w:rsid w:val="00DE7FBA"/>
    <w:rsid w:val="00DF010F"/>
    <w:rsid w:val="00DF018F"/>
    <w:rsid w:val="00DF0DCB"/>
    <w:rsid w:val="00DF0E90"/>
    <w:rsid w:val="00DF13C4"/>
    <w:rsid w:val="00DF165B"/>
    <w:rsid w:val="00DF1700"/>
    <w:rsid w:val="00DF1978"/>
    <w:rsid w:val="00DF1A97"/>
    <w:rsid w:val="00DF1C40"/>
    <w:rsid w:val="00DF2650"/>
    <w:rsid w:val="00DF38C0"/>
    <w:rsid w:val="00DF38C6"/>
    <w:rsid w:val="00DF3B61"/>
    <w:rsid w:val="00DF3BEE"/>
    <w:rsid w:val="00DF4031"/>
    <w:rsid w:val="00DF40F7"/>
    <w:rsid w:val="00DF412F"/>
    <w:rsid w:val="00DF5EDA"/>
    <w:rsid w:val="00DF6819"/>
    <w:rsid w:val="00DF69BE"/>
    <w:rsid w:val="00DF6EE9"/>
    <w:rsid w:val="00DF71FF"/>
    <w:rsid w:val="00DF72B0"/>
    <w:rsid w:val="00DF79DE"/>
    <w:rsid w:val="00DF7BBC"/>
    <w:rsid w:val="00DF7C91"/>
    <w:rsid w:val="00E000F9"/>
    <w:rsid w:val="00E0038F"/>
    <w:rsid w:val="00E00AD6"/>
    <w:rsid w:val="00E01153"/>
    <w:rsid w:val="00E01646"/>
    <w:rsid w:val="00E01F99"/>
    <w:rsid w:val="00E02210"/>
    <w:rsid w:val="00E022CD"/>
    <w:rsid w:val="00E023BA"/>
    <w:rsid w:val="00E025C1"/>
    <w:rsid w:val="00E025EB"/>
    <w:rsid w:val="00E0287F"/>
    <w:rsid w:val="00E03966"/>
    <w:rsid w:val="00E03C55"/>
    <w:rsid w:val="00E03FA4"/>
    <w:rsid w:val="00E041FB"/>
    <w:rsid w:val="00E04342"/>
    <w:rsid w:val="00E047AE"/>
    <w:rsid w:val="00E04B0B"/>
    <w:rsid w:val="00E04C82"/>
    <w:rsid w:val="00E04DC2"/>
    <w:rsid w:val="00E05520"/>
    <w:rsid w:val="00E05639"/>
    <w:rsid w:val="00E065CA"/>
    <w:rsid w:val="00E07BD7"/>
    <w:rsid w:val="00E07E8A"/>
    <w:rsid w:val="00E10051"/>
    <w:rsid w:val="00E10062"/>
    <w:rsid w:val="00E100A9"/>
    <w:rsid w:val="00E107F2"/>
    <w:rsid w:val="00E108E4"/>
    <w:rsid w:val="00E10EA8"/>
    <w:rsid w:val="00E10F66"/>
    <w:rsid w:val="00E114FF"/>
    <w:rsid w:val="00E118F4"/>
    <w:rsid w:val="00E11AFA"/>
    <w:rsid w:val="00E11CFC"/>
    <w:rsid w:val="00E125C4"/>
    <w:rsid w:val="00E12699"/>
    <w:rsid w:val="00E12BDF"/>
    <w:rsid w:val="00E1344A"/>
    <w:rsid w:val="00E1364D"/>
    <w:rsid w:val="00E137EF"/>
    <w:rsid w:val="00E13E26"/>
    <w:rsid w:val="00E13FB9"/>
    <w:rsid w:val="00E152F9"/>
    <w:rsid w:val="00E156D5"/>
    <w:rsid w:val="00E156F9"/>
    <w:rsid w:val="00E159FD"/>
    <w:rsid w:val="00E163C2"/>
    <w:rsid w:val="00E16957"/>
    <w:rsid w:val="00E1696A"/>
    <w:rsid w:val="00E16A6E"/>
    <w:rsid w:val="00E16C60"/>
    <w:rsid w:val="00E1728A"/>
    <w:rsid w:val="00E1775E"/>
    <w:rsid w:val="00E17BE9"/>
    <w:rsid w:val="00E20634"/>
    <w:rsid w:val="00E21DF5"/>
    <w:rsid w:val="00E21E89"/>
    <w:rsid w:val="00E21FE9"/>
    <w:rsid w:val="00E2201B"/>
    <w:rsid w:val="00E223F6"/>
    <w:rsid w:val="00E22762"/>
    <w:rsid w:val="00E23276"/>
    <w:rsid w:val="00E2345F"/>
    <w:rsid w:val="00E23715"/>
    <w:rsid w:val="00E23837"/>
    <w:rsid w:val="00E23A93"/>
    <w:rsid w:val="00E2413F"/>
    <w:rsid w:val="00E241D8"/>
    <w:rsid w:val="00E2495A"/>
    <w:rsid w:val="00E24D2F"/>
    <w:rsid w:val="00E251DB"/>
    <w:rsid w:val="00E2529C"/>
    <w:rsid w:val="00E253CA"/>
    <w:rsid w:val="00E25533"/>
    <w:rsid w:val="00E25BFA"/>
    <w:rsid w:val="00E26103"/>
    <w:rsid w:val="00E26109"/>
    <w:rsid w:val="00E2623E"/>
    <w:rsid w:val="00E2692D"/>
    <w:rsid w:val="00E26CB1"/>
    <w:rsid w:val="00E26F0E"/>
    <w:rsid w:val="00E3006A"/>
    <w:rsid w:val="00E300D5"/>
    <w:rsid w:val="00E300D8"/>
    <w:rsid w:val="00E30771"/>
    <w:rsid w:val="00E30B56"/>
    <w:rsid w:val="00E30F63"/>
    <w:rsid w:val="00E3145A"/>
    <w:rsid w:val="00E3157B"/>
    <w:rsid w:val="00E3212A"/>
    <w:rsid w:val="00E32B2B"/>
    <w:rsid w:val="00E32C25"/>
    <w:rsid w:val="00E334C4"/>
    <w:rsid w:val="00E33A3D"/>
    <w:rsid w:val="00E33E69"/>
    <w:rsid w:val="00E3405B"/>
    <w:rsid w:val="00E34093"/>
    <w:rsid w:val="00E34267"/>
    <w:rsid w:val="00E34B3E"/>
    <w:rsid w:val="00E350BD"/>
    <w:rsid w:val="00E35115"/>
    <w:rsid w:val="00E35B2F"/>
    <w:rsid w:val="00E364A2"/>
    <w:rsid w:val="00E36B44"/>
    <w:rsid w:val="00E36DB4"/>
    <w:rsid w:val="00E371F9"/>
    <w:rsid w:val="00E373E3"/>
    <w:rsid w:val="00E4004E"/>
    <w:rsid w:val="00E40179"/>
    <w:rsid w:val="00E40225"/>
    <w:rsid w:val="00E40DA6"/>
    <w:rsid w:val="00E411FE"/>
    <w:rsid w:val="00E41AFB"/>
    <w:rsid w:val="00E41E4E"/>
    <w:rsid w:val="00E42066"/>
    <w:rsid w:val="00E42A1B"/>
    <w:rsid w:val="00E42AE1"/>
    <w:rsid w:val="00E42DE3"/>
    <w:rsid w:val="00E430BB"/>
    <w:rsid w:val="00E43201"/>
    <w:rsid w:val="00E43211"/>
    <w:rsid w:val="00E4375C"/>
    <w:rsid w:val="00E43A36"/>
    <w:rsid w:val="00E44000"/>
    <w:rsid w:val="00E44411"/>
    <w:rsid w:val="00E445C7"/>
    <w:rsid w:val="00E450D1"/>
    <w:rsid w:val="00E458F7"/>
    <w:rsid w:val="00E459B2"/>
    <w:rsid w:val="00E45D6E"/>
    <w:rsid w:val="00E46DBD"/>
    <w:rsid w:val="00E47167"/>
    <w:rsid w:val="00E5010E"/>
    <w:rsid w:val="00E50155"/>
    <w:rsid w:val="00E50685"/>
    <w:rsid w:val="00E50D5A"/>
    <w:rsid w:val="00E50DA1"/>
    <w:rsid w:val="00E510DB"/>
    <w:rsid w:val="00E513D8"/>
    <w:rsid w:val="00E5189F"/>
    <w:rsid w:val="00E51918"/>
    <w:rsid w:val="00E51FC4"/>
    <w:rsid w:val="00E522CA"/>
    <w:rsid w:val="00E523C9"/>
    <w:rsid w:val="00E52643"/>
    <w:rsid w:val="00E52764"/>
    <w:rsid w:val="00E52C2C"/>
    <w:rsid w:val="00E52C65"/>
    <w:rsid w:val="00E53526"/>
    <w:rsid w:val="00E535EF"/>
    <w:rsid w:val="00E53C5D"/>
    <w:rsid w:val="00E53CE6"/>
    <w:rsid w:val="00E53F01"/>
    <w:rsid w:val="00E5439C"/>
    <w:rsid w:val="00E54521"/>
    <w:rsid w:val="00E557E7"/>
    <w:rsid w:val="00E55A4F"/>
    <w:rsid w:val="00E56168"/>
    <w:rsid w:val="00E56A7F"/>
    <w:rsid w:val="00E56FF3"/>
    <w:rsid w:val="00E57289"/>
    <w:rsid w:val="00E5752C"/>
    <w:rsid w:val="00E57555"/>
    <w:rsid w:val="00E57C22"/>
    <w:rsid w:val="00E57D98"/>
    <w:rsid w:val="00E60A28"/>
    <w:rsid w:val="00E60A43"/>
    <w:rsid w:val="00E60D7F"/>
    <w:rsid w:val="00E612AF"/>
    <w:rsid w:val="00E612D7"/>
    <w:rsid w:val="00E6136E"/>
    <w:rsid w:val="00E61DFC"/>
    <w:rsid w:val="00E6212F"/>
    <w:rsid w:val="00E62201"/>
    <w:rsid w:val="00E62576"/>
    <w:rsid w:val="00E627BE"/>
    <w:rsid w:val="00E627D9"/>
    <w:rsid w:val="00E62F23"/>
    <w:rsid w:val="00E63043"/>
    <w:rsid w:val="00E631CA"/>
    <w:rsid w:val="00E6339E"/>
    <w:rsid w:val="00E63519"/>
    <w:rsid w:val="00E637B8"/>
    <w:rsid w:val="00E63B0C"/>
    <w:rsid w:val="00E63DB6"/>
    <w:rsid w:val="00E64AF3"/>
    <w:rsid w:val="00E64F93"/>
    <w:rsid w:val="00E65379"/>
    <w:rsid w:val="00E65E16"/>
    <w:rsid w:val="00E65EA9"/>
    <w:rsid w:val="00E65FDE"/>
    <w:rsid w:val="00E664CA"/>
    <w:rsid w:val="00E664D2"/>
    <w:rsid w:val="00E66D15"/>
    <w:rsid w:val="00E67881"/>
    <w:rsid w:val="00E67B23"/>
    <w:rsid w:val="00E67FFD"/>
    <w:rsid w:val="00E7016F"/>
    <w:rsid w:val="00E70403"/>
    <w:rsid w:val="00E709EE"/>
    <w:rsid w:val="00E70BF7"/>
    <w:rsid w:val="00E70DD5"/>
    <w:rsid w:val="00E70F6E"/>
    <w:rsid w:val="00E71020"/>
    <w:rsid w:val="00E711E2"/>
    <w:rsid w:val="00E71AB3"/>
    <w:rsid w:val="00E71B5B"/>
    <w:rsid w:val="00E729F5"/>
    <w:rsid w:val="00E72B10"/>
    <w:rsid w:val="00E72FE6"/>
    <w:rsid w:val="00E73182"/>
    <w:rsid w:val="00E73323"/>
    <w:rsid w:val="00E734C2"/>
    <w:rsid w:val="00E73573"/>
    <w:rsid w:val="00E736A5"/>
    <w:rsid w:val="00E73A34"/>
    <w:rsid w:val="00E73B88"/>
    <w:rsid w:val="00E73C4C"/>
    <w:rsid w:val="00E74419"/>
    <w:rsid w:val="00E74499"/>
    <w:rsid w:val="00E75900"/>
    <w:rsid w:val="00E759A5"/>
    <w:rsid w:val="00E7632A"/>
    <w:rsid w:val="00E76E7F"/>
    <w:rsid w:val="00E7738D"/>
    <w:rsid w:val="00E779A7"/>
    <w:rsid w:val="00E779D6"/>
    <w:rsid w:val="00E804AF"/>
    <w:rsid w:val="00E805E9"/>
    <w:rsid w:val="00E80AE6"/>
    <w:rsid w:val="00E811B5"/>
    <w:rsid w:val="00E81388"/>
    <w:rsid w:val="00E8165A"/>
    <w:rsid w:val="00E81BD4"/>
    <w:rsid w:val="00E81DD5"/>
    <w:rsid w:val="00E81E46"/>
    <w:rsid w:val="00E829A4"/>
    <w:rsid w:val="00E82F8F"/>
    <w:rsid w:val="00E8354C"/>
    <w:rsid w:val="00E83E3C"/>
    <w:rsid w:val="00E83EBB"/>
    <w:rsid w:val="00E84124"/>
    <w:rsid w:val="00E846CE"/>
    <w:rsid w:val="00E84703"/>
    <w:rsid w:val="00E84D37"/>
    <w:rsid w:val="00E851AA"/>
    <w:rsid w:val="00E851FD"/>
    <w:rsid w:val="00E8531F"/>
    <w:rsid w:val="00E855C1"/>
    <w:rsid w:val="00E85910"/>
    <w:rsid w:val="00E85E65"/>
    <w:rsid w:val="00E86136"/>
    <w:rsid w:val="00E86696"/>
    <w:rsid w:val="00E874F3"/>
    <w:rsid w:val="00E87674"/>
    <w:rsid w:val="00E87AA8"/>
    <w:rsid w:val="00E87AC5"/>
    <w:rsid w:val="00E87EA2"/>
    <w:rsid w:val="00E90595"/>
    <w:rsid w:val="00E911E0"/>
    <w:rsid w:val="00E91527"/>
    <w:rsid w:val="00E91ECA"/>
    <w:rsid w:val="00E92099"/>
    <w:rsid w:val="00E922CE"/>
    <w:rsid w:val="00E93130"/>
    <w:rsid w:val="00E93239"/>
    <w:rsid w:val="00E9356B"/>
    <w:rsid w:val="00E9370A"/>
    <w:rsid w:val="00E937E8"/>
    <w:rsid w:val="00E93859"/>
    <w:rsid w:val="00E944AF"/>
    <w:rsid w:val="00E944C1"/>
    <w:rsid w:val="00E945B6"/>
    <w:rsid w:val="00E947E0"/>
    <w:rsid w:val="00E95066"/>
    <w:rsid w:val="00E950D5"/>
    <w:rsid w:val="00E950DB"/>
    <w:rsid w:val="00E9511E"/>
    <w:rsid w:val="00E95500"/>
    <w:rsid w:val="00E955A8"/>
    <w:rsid w:val="00E95DAF"/>
    <w:rsid w:val="00E95F55"/>
    <w:rsid w:val="00E960FD"/>
    <w:rsid w:val="00E967DD"/>
    <w:rsid w:val="00E968B8"/>
    <w:rsid w:val="00E96940"/>
    <w:rsid w:val="00E96CB4"/>
    <w:rsid w:val="00E96CEA"/>
    <w:rsid w:val="00E96E31"/>
    <w:rsid w:val="00E971FB"/>
    <w:rsid w:val="00E9774B"/>
    <w:rsid w:val="00E97B76"/>
    <w:rsid w:val="00E97CCB"/>
    <w:rsid w:val="00E97DC5"/>
    <w:rsid w:val="00EA006D"/>
    <w:rsid w:val="00EA06A9"/>
    <w:rsid w:val="00EA0CFA"/>
    <w:rsid w:val="00EA1BD8"/>
    <w:rsid w:val="00EA1D8A"/>
    <w:rsid w:val="00EA1FD8"/>
    <w:rsid w:val="00EA233D"/>
    <w:rsid w:val="00EA237F"/>
    <w:rsid w:val="00EA2A6A"/>
    <w:rsid w:val="00EA3150"/>
    <w:rsid w:val="00EA36BA"/>
    <w:rsid w:val="00EA3C65"/>
    <w:rsid w:val="00EA50B8"/>
    <w:rsid w:val="00EA524A"/>
    <w:rsid w:val="00EA543E"/>
    <w:rsid w:val="00EA5457"/>
    <w:rsid w:val="00EA58F0"/>
    <w:rsid w:val="00EA5A1B"/>
    <w:rsid w:val="00EA5CD3"/>
    <w:rsid w:val="00EA5D3C"/>
    <w:rsid w:val="00EA6199"/>
    <w:rsid w:val="00EA64B1"/>
    <w:rsid w:val="00EA6798"/>
    <w:rsid w:val="00EA68D6"/>
    <w:rsid w:val="00EA68DE"/>
    <w:rsid w:val="00EA6AB3"/>
    <w:rsid w:val="00EA6E7B"/>
    <w:rsid w:val="00EA71AA"/>
    <w:rsid w:val="00EA7D68"/>
    <w:rsid w:val="00EB0608"/>
    <w:rsid w:val="00EB0BC9"/>
    <w:rsid w:val="00EB0FB4"/>
    <w:rsid w:val="00EB1270"/>
    <w:rsid w:val="00EB12CE"/>
    <w:rsid w:val="00EB1DB1"/>
    <w:rsid w:val="00EB2706"/>
    <w:rsid w:val="00EB2708"/>
    <w:rsid w:val="00EB295F"/>
    <w:rsid w:val="00EB2B89"/>
    <w:rsid w:val="00EB4072"/>
    <w:rsid w:val="00EB4582"/>
    <w:rsid w:val="00EB45E8"/>
    <w:rsid w:val="00EB4805"/>
    <w:rsid w:val="00EB49AB"/>
    <w:rsid w:val="00EB57A2"/>
    <w:rsid w:val="00EB57EB"/>
    <w:rsid w:val="00EB58EE"/>
    <w:rsid w:val="00EB5A76"/>
    <w:rsid w:val="00EB5CBB"/>
    <w:rsid w:val="00EB5DB7"/>
    <w:rsid w:val="00EB5F0C"/>
    <w:rsid w:val="00EB5FB5"/>
    <w:rsid w:val="00EB612F"/>
    <w:rsid w:val="00EB6381"/>
    <w:rsid w:val="00EB677E"/>
    <w:rsid w:val="00EB69D1"/>
    <w:rsid w:val="00EB75F3"/>
    <w:rsid w:val="00EB7829"/>
    <w:rsid w:val="00EC00B7"/>
    <w:rsid w:val="00EC00DC"/>
    <w:rsid w:val="00EC06F7"/>
    <w:rsid w:val="00EC13CE"/>
    <w:rsid w:val="00EC1B7B"/>
    <w:rsid w:val="00EC1E37"/>
    <w:rsid w:val="00EC3164"/>
    <w:rsid w:val="00EC3752"/>
    <w:rsid w:val="00EC384F"/>
    <w:rsid w:val="00EC3860"/>
    <w:rsid w:val="00EC3A8B"/>
    <w:rsid w:val="00EC3C01"/>
    <w:rsid w:val="00EC3C15"/>
    <w:rsid w:val="00EC3FCE"/>
    <w:rsid w:val="00EC4960"/>
    <w:rsid w:val="00EC5398"/>
    <w:rsid w:val="00EC5921"/>
    <w:rsid w:val="00EC5A26"/>
    <w:rsid w:val="00EC6327"/>
    <w:rsid w:val="00EC63A6"/>
    <w:rsid w:val="00EC65E2"/>
    <w:rsid w:val="00EC66A5"/>
    <w:rsid w:val="00EC6B57"/>
    <w:rsid w:val="00EC76E2"/>
    <w:rsid w:val="00ED000A"/>
    <w:rsid w:val="00ED01C4"/>
    <w:rsid w:val="00ED0305"/>
    <w:rsid w:val="00ED0439"/>
    <w:rsid w:val="00ED0D79"/>
    <w:rsid w:val="00ED10C9"/>
    <w:rsid w:val="00ED142F"/>
    <w:rsid w:val="00ED15EC"/>
    <w:rsid w:val="00ED16EE"/>
    <w:rsid w:val="00ED1DC2"/>
    <w:rsid w:val="00ED2B35"/>
    <w:rsid w:val="00ED2B5C"/>
    <w:rsid w:val="00ED3204"/>
    <w:rsid w:val="00ED3407"/>
    <w:rsid w:val="00ED35B7"/>
    <w:rsid w:val="00ED36FE"/>
    <w:rsid w:val="00ED3887"/>
    <w:rsid w:val="00ED38E6"/>
    <w:rsid w:val="00ED3AC1"/>
    <w:rsid w:val="00ED3BFA"/>
    <w:rsid w:val="00ED402C"/>
    <w:rsid w:val="00ED461F"/>
    <w:rsid w:val="00ED5A83"/>
    <w:rsid w:val="00ED61DB"/>
    <w:rsid w:val="00ED641A"/>
    <w:rsid w:val="00ED6C96"/>
    <w:rsid w:val="00ED6CB8"/>
    <w:rsid w:val="00ED6CD1"/>
    <w:rsid w:val="00ED6F92"/>
    <w:rsid w:val="00ED700D"/>
    <w:rsid w:val="00ED71CD"/>
    <w:rsid w:val="00ED792E"/>
    <w:rsid w:val="00EE0332"/>
    <w:rsid w:val="00EE0739"/>
    <w:rsid w:val="00EE0759"/>
    <w:rsid w:val="00EE12B2"/>
    <w:rsid w:val="00EE1A19"/>
    <w:rsid w:val="00EE1B81"/>
    <w:rsid w:val="00EE1B85"/>
    <w:rsid w:val="00EE2193"/>
    <w:rsid w:val="00EE2246"/>
    <w:rsid w:val="00EE2786"/>
    <w:rsid w:val="00EE2795"/>
    <w:rsid w:val="00EE29D3"/>
    <w:rsid w:val="00EE4048"/>
    <w:rsid w:val="00EE40B5"/>
    <w:rsid w:val="00EE4AA6"/>
    <w:rsid w:val="00EE4E27"/>
    <w:rsid w:val="00EE5030"/>
    <w:rsid w:val="00EE5090"/>
    <w:rsid w:val="00EE51BD"/>
    <w:rsid w:val="00EE569D"/>
    <w:rsid w:val="00EE56E0"/>
    <w:rsid w:val="00EE5C0F"/>
    <w:rsid w:val="00EE60A8"/>
    <w:rsid w:val="00EE641F"/>
    <w:rsid w:val="00EE6AA1"/>
    <w:rsid w:val="00EE6B56"/>
    <w:rsid w:val="00EE70E0"/>
    <w:rsid w:val="00EE7288"/>
    <w:rsid w:val="00EE77A8"/>
    <w:rsid w:val="00EE7BB7"/>
    <w:rsid w:val="00EF0342"/>
    <w:rsid w:val="00EF035B"/>
    <w:rsid w:val="00EF0A00"/>
    <w:rsid w:val="00EF0B46"/>
    <w:rsid w:val="00EF146D"/>
    <w:rsid w:val="00EF24D6"/>
    <w:rsid w:val="00EF2575"/>
    <w:rsid w:val="00EF25D4"/>
    <w:rsid w:val="00EF2977"/>
    <w:rsid w:val="00EF2B5E"/>
    <w:rsid w:val="00EF2CB1"/>
    <w:rsid w:val="00EF2CC2"/>
    <w:rsid w:val="00EF3337"/>
    <w:rsid w:val="00EF3A8C"/>
    <w:rsid w:val="00EF3BC3"/>
    <w:rsid w:val="00EF3C32"/>
    <w:rsid w:val="00EF407C"/>
    <w:rsid w:val="00EF466A"/>
    <w:rsid w:val="00EF4C8C"/>
    <w:rsid w:val="00EF4CD6"/>
    <w:rsid w:val="00EF5230"/>
    <w:rsid w:val="00EF55AF"/>
    <w:rsid w:val="00EF57BC"/>
    <w:rsid w:val="00EF5B0F"/>
    <w:rsid w:val="00EF6460"/>
    <w:rsid w:val="00EF6FB5"/>
    <w:rsid w:val="00EF714E"/>
    <w:rsid w:val="00EF7695"/>
    <w:rsid w:val="00F00B06"/>
    <w:rsid w:val="00F0116E"/>
    <w:rsid w:val="00F0156C"/>
    <w:rsid w:val="00F015D2"/>
    <w:rsid w:val="00F01B14"/>
    <w:rsid w:val="00F01F7D"/>
    <w:rsid w:val="00F02299"/>
    <w:rsid w:val="00F022FC"/>
    <w:rsid w:val="00F02C20"/>
    <w:rsid w:val="00F02EC4"/>
    <w:rsid w:val="00F0309E"/>
    <w:rsid w:val="00F03723"/>
    <w:rsid w:val="00F0380C"/>
    <w:rsid w:val="00F04410"/>
    <w:rsid w:val="00F045FA"/>
    <w:rsid w:val="00F055F6"/>
    <w:rsid w:val="00F056A3"/>
    <w:rsid w:val="00F05C40"/>
    <w:rsid w:val="00F06400"/>
    <w:rsid w:val="00F06543"/>
    <w:rsid w:val="00F06815"/>
    <w:rsid w:val="00F06E3C"/>
    <w:rsid w:val="00F06E7A"/>
    <w:rsid w:val="00F076DC"/>
    <w:rsid w:val="00F07A61"/>
    <w:rsid w:val="00F07CE2"/>
    <w:rsid w:val="00F106F6"/>
    <w:rsid w:val="00F1101F"/>
    <w:rsid w:val="00F11024"/>
    <w:rsid w:val="00F11612"/>
    <w:rsid w:val="00F11976"/>
    <w:rsid w:val="00F11996"/>
    <w:rsid w:val="00F11B46"/>
    <w:rsid w:val="00F11DE4"/>
    <w:rsid w:val="00F11F5C"/>
    <w:rsid w:val="00F12101"/>
    <w:rsid w:val="00F12402"/>
    <w:rsid w:val="00F126F2"/>
    <w:rsid w:val="00F12A74"/>
    <w:rsid w:val="00F132BB"/>
    <w:rsid w:val="00F143D2"/>
    <w:rsid w:val="00F144CC"/>
    <w:rsid w:val="00F14535"/>
    <w:rsid w:val="00F14695"/>
    <w:rsid w:val="00F14AEA"/>
    <w:rsid w:val="00F153AC"/>
    <w:rsid w:val="00F15696"/>
    <w:rsid w:val="00F158A5"/>
    <w:rsid w:val="00F15931"/>
    <w:rsid w:val="00F1641D"/>
    <w:rsid w:val="00F169FB"/>
    <w:rsid w:val="00F16A27"/>
    <w:rsid w:val="00F17066"/>
    <w:rsid w:val="00F17106"/>
    <w:rsid w:val="00F17178"/>
    <w:rsid w:val="00F207B5"/>
    <w:rsid w:val="00F20831"/>
    <w:rsid w:val="00F218DD"/>
    <w:rsid w:val="00F2202B"/>
    <w:rsid w:val="00F222C2"/>
    <w:rsid w:val="00F2239F"/>
    <w:rsid w:val="00F224AF"/>
    <w:rsid w:val="00F22721"/>
    <w:rsid w:val="00F22963"/>
    <w:rsid w:val="00F22B9C"/>
    <w:rsid w:val="00F22CD4"/>
    <w:rsid w:val="00F234AC"/>
    <w:rsid w:val="00F2361C"/>
    <w:rsid w:val="00F2374E"/>
    <w:rsid w:val="00F23934"/>
    <w:rsid w:val="00F23DAB"/>
    <w:rsid w:val="00F24176"/>
    <w:rsid w:val="00F24289"/>
    <w:rsid w:val="00F24B1A"/>
    <w:rsid w:val="00F2560E"/>
    <w:rsid w:val="00F25818"/>
    <w:rsid w:val="00F25C73"/>
    <w:rsid w:val="00F261DC"/>
    <w:rsid w:val="00F264B6"/>
    <w:rsid w:val="00F26567"/>
    <w:rsid w:val="00F26893"/>
    <w:rsid w:val="00F26E9E"/>
    <w:rsid w:val="00F27E27"/>
    <w:rsid w:val="00F300FC"/>
    <w:rsid w:val="00F302DC"/>
    <w:rsid w:val="00F305F7"/>
    <w:rsid w:val="00F30711"/>
    <w:rsid w:val="00F30736"/>
    <w:rsid w:val="00F30B66"/>
    <w:rsid w:val="00F30FA4"/>
    <w:rsid w:val="00F30FEB"/>
    <w:rsid w:val="00F31120"/>
    <w:rsid w:val="00F31292"/>
    <w:rsid w:val="00F319D0"/>
    <w:rsid w:val="00F31EEB"/>
    <w:rsid w:val="00F322A2"/>
    <w:rsid w:val="00F32303"/>
    <w:rsid w:val="00F32471"/>
    <w:rsid w:val="00F329BC"/>
    <w:rsid w:val="00F32BCF"/>
    <w:rsid w:val="00F32E7F"/>
    <w:rsid w:val="00F32ECB"/>
    <w:rsid w:val="00F33E80"/>
    <w:rsid w:val="00F344A6"/>
    <w:rsid w:val="00F34867"/>
    <w:rsid w:val="00F34E71"/>
    <w:rsid w:val="00F352C4"/>
    <w:rsid w:val="00F35A1A"/>
    <w:rsid w:val="00F35A76"/>
    <w:rsid w:val="00F35EBA"/>
    <w:rsid w:val="00F36C70"/>
    <w:rsid w:val="00F36E01"/>
    <w:rsid w:val="00F36EA3"/>
    <w:rsid w:val="00F36EC5"/>
    <w:rsid w:val="00F36F89"/>
    <w:rsid w:val="00F37495"/>
    <w:rsid w:val="00F37A7E"/>
    <w:rsid w:val="00F37F36"/>
    <w:rsid w:val="00F37FEA"/>
    <w:rsid w:val="00F40022"/>
    <w:rsid w:val="00F40129"/>
    <w:rsid w:val="00F4084F"/>
    <w:rsid w:val="00F40C43"/>
    <w:rsid w:val="00F413AA"/>
    <w:rsid w:val="00F4193D"/>
    <w:rsid w:val="00F41B42"/>
    <w:rsid w:val="00F41B4B"/>
    <w:rsid w:val="00F4238A"/>
    <w:rsid w:val="00F423E3"/>
    <w:rsid w:val="00F42BF1"/>
    <w:rsid w:val="00F436CB"/>
    <w:rsid w:val="00F43737"/>
    <w:rsid w:val="00F4459C"/>
    <w:rsid w:val="00F448DD"/>
    <w:rsid w:val="00F458CC"/>
    <w:rsid w:val="00F45A81"/>
    <w:rsid w:val="00F45B53"/>
    <w:rsid w:val="00F45E34"/>
    <w:rsid w:val="00F46649"/>
    <w:rsid w:val="00F46B53"/>
    <w:rsid w:val="00F46BBE"/>
    <w:rsid w:val="00F4717F"/>
    <w:rsid w:val="00F471E2"/>
    <w:rsid w:val="00F47A3A"/>
    <w:rsid w:val="00F47D8D"/>
    <w:rsid w:val="00F5027D"/>
    <w:rsid w:val="00F503E6"/>
    <w:rsid w:val="00F503F1"/>
    <w:rsid w:val="00F504C5"/>
    <w:rsid w:val="00F50841"/>
    <w:rsid w:val="00F50AEF"/>
    <w:rsid w:val="00F50BE6"/>
    <w:rsid w:val="00F50D67"/>
    <w:rsid w:val="00F513B4"/>
    <w:rsid w:val="00F516FA"/>
    <w:rsid w:val="00F517ED"/>
    <w:rsid w:val="00F51AF2"/>
    <w:rsid w:val="00F522A7"/>
    <w:rsid w:val="00F526A9"/>
    <w:rsid w:val="00F527BF"/>
    <w:rsid w:val="00F527F9"/>
    <w:rsid w:val="00F53547"/>
    <w:rsid w:val="00F53F68"/>
    <w:rsid w:val="00F547EB"/>
    <w:rsid w:val="00F549E2"/>
    <w:rsid w:val="00F54F40"/>
    <w:rsid w:val="00F555DB"/>
    <w:rsid w:val="00F55A02"/>
    <w:rsid w:val="00F55D82"/>
    <w:rsid w:val="00F56158"/>
    <w:rsid w:val="00F57475"/>
    <w:rsid w:val="00F574AA"/>
    <w:rsid w:val="00F578A5"/>
    <w:rsid w:val="00F578F8"/>
    <w:rsid w:val="00F57DEC"/>
    <w:rsid w:val="00F57E52"/>
    <w:rsid w:val="00F57EB1"/>
    <w:rsid w:val="00F57ECE"/>
    <w:rsid w:val="00F60217"/>
    <w:rsid w:val="00F604DD"/>
    <w:rsid w:val="00F6070A"/>
    <w:rsid w:val="00F60F26"/>
    <w:rsid w:val="00F610CD"/>
    <w:rsid w:val="00F61646"/>
    <w:rsid w:val="00F61E23"/>
    <w:rsid w:val="00F63125"/>
    <w:rsid w:val="00F63502"/>
    <w:rsid w:val="00F637DE"/>
    <w:rsid w:val="00F63BE3"/>
    <w:rsid w:val="00F63E8D"/>
    <w:rsid w:val="00F63FBE"/>
    <w:rsid w:val="00F64407"/>
    <w:rsid w:val="00F6444C"/>
    <w:rsid w:val="00F64744"/>
    <w:rsid w:val="00F64C45"/>
    <w:rsid w:val="00F651DE"/>
    <w:rsid w:val="00F655DC"/>
    <w:rsid w:val="00F65CDE"/>
    <w:rsid w:val="00F662E4"/>
    <w:rsid w:val="00F6632C"/>
    <w:rsid w:val="00F664F8"/>
    <w:rsid w:val="00F66DB9"/>
    <w:rsid w:val="00F66E57"/>
    <w:rsid w:val="00F67396"/>
    <w:rsid w:val="00F676C2"/>
    <w:rsid w:val="00F678B3"/>
    <w:rsid w:val="00F67E84"/>
    <w:rsid w:val="00F70A30"/>
    <w:rsid w:val="00F70ACE"/>
    <w:rsid w:val="00F71087"/>
    <w:rsid w:val="00F7119E"/>
    <w:rsid w:val="00F71266"/>
    <w:rsid w:val="00F71569"/>
    <w:rsid w:val="00F71B5E"/>
    <w:rsid w:val="00F720A7"/>
    <w:rsid w:val="00F72947"/>
    <w:rsid w:val="00F7297F"/>
    <w:rsid w:val="00F72A4B"/>
    <w:rsid w:val="00F72CE0"/>
    <w:rsid w:val="00F73756"/>
    <w:rsid w:val="00F73BBC"/>
    <w:rsid w:val="00F73CBC"/>
    <w:rsid w:val="00F74585"/>
    <w:rsid w:val="00F746FA"/>
    <w:rsid w:val="00F74B55"/>
    <w:rsid w:val="00F75B9E"/>
    <w:rsid w:val="00F7699B"/>
    <w:rsid w:val="00F769D0"/>
    <w:rsid w:val="00F76A88"/>
    <w:rsid w:val="00F76BDB"/>
    <w:rsid w:val="00F77134"/>
    <w:rsid w:val="00F7741A"/>
    <w:rsid w:val="00F774F2"/>
    <w:rsid w:val="00F778D0"/>
    <w:rsid w:val="00F77D54"/>
    <w:rsid w:val="00F80792"/>
    <w:rsid w:val="00F80C8B"/>
    <w:rsid w:val="00F811BA"/>
    <w:rsid w:val="00F81659"/>
    <w:rsid w:val="00F818A4"/>
    <w:rsid w:val="00F818C5"/>
    <w:rsid w:val="00F81A21"/>
    <w:rsid w:val="00F82603"/>
    <w:rsid w:val="00F83DDD"/>
    <w:rsid w:val="00F83E27"/>
    <w:rsid w:val="00F84204"/>
    <w:rsid w:val="00F84754"/>
    <w:rsid w:val="00F84A55"/>
    <w:rsid w:val="00F850C7"/>
    <w:rsid w:val="00F851E5"/>
    <w:rsid w:val="00F855B7"/>
    <w:rsid w:val="00F8590A"/>
    <w:rsid w:val="00F85CD7"/>
    <w:rsid w:val="00F85EC9"/>
    <w:rsid w:val="00F8645B"/>
    <w:rsid w:val="00F8666C"/>
    <w:rsid w:val="00F869B0"/>
    <w:rsid w:val="00F869D0"/>
    <w:rsid w:val="00F86D52"/>
    <w:rsid w:val="00F873C5"/>
    <w:rsid w:val="00F87A14"/>
    <w:rsid w:val="00F87B0C"/>
    <w:rsid w:val="00F901CE"/>
    <w:rsid w:val="00F902EB"/>
    <w:rsid w:val="00F9040B"/>
    <w:rsid w:val="00F90463"/>
    <w:rsid w:val="00F90B4C"/>
    <w:rsid w:val="00F9181F"/>
    <w:rsid w:val="00F918E3"/>
    <w:rsid w:val="00F9195F"/>
    <w:rsid w:val="00F91FAF"/>
    <w:rsid w:val="00F9289B"/>
    <w:rsid w:val="00F9294E"/>
    <w:rsid w:val="00F92B8E"/>
    <w:rsid w:val="00F92DA1"/>
    <w:rsid w:val="00F93014"/>
    <w:rsid w:val="00F936A7"/>
    <w:rsid w:val="00F93AA0"/>
    <w:rsid w:val="00F93E1D"/>
    <w:rsid w:val="00F94523"/>
    <w:rsid w:val="00F95663"/>
    <w:rsid w:val="00F95C37"/>
    <w:rsid w:val="00F95CCB"/>
    <w:rsid w:val="00F95E4F"/>
    <w:rsid w:val="00F96AD9"/>
    <w:rsid w:val="00F96C51"/>
    <w:rsid w:val="00F974F0"/>
    <w:rsid w:val="00F975B8"/>
    <w:rsid w:val="00F9770A"/>
    <w:rsid w:val="00F97716"/>
    <w:rsid w:val="00F9799F"/>
    <w:rsid w:val="00FA0A8E"/>
    <w:rsid w:val="00FA10FC"/>
    <w:rsid w:val="00FA1366"/>
    <w:rsid w:val="00FA1C69"/>
    <w:rsid w:val="00FA1D99"/>
    <w:rsid w:val="00FA22C9"/>
    <w:rsid w:val="00FA2426"/>
    <w:rsid w:val="00FA2635"/>
    <w:rsid w:val="00FA2B88"/>
    <w:rsid w:val="00FA2E88"/>
    <w:rsid w:val="00FA2F29"/>
    <w:rsid w:val="00FA361A"/>
    <w:rsid w:val="00FA3624"/>
    <w:rsid w:val="00FA364B"/>
    <w:rsid w:val="00FA4F33"/>
    <w:rsid w:val="00FA4FEE"/>
    <w:rsid w:val="00FA50F2"/>
    <w:rsid w:val="00FA51CD"/>
    <w:rsid w:val="00FA58E8"/>
    <w:rsid w:val="00FA60DB"/>
    <w:rsid w:val="00FA65FA"/>
    <w:rsid w:val="00FA66BC"/>
    <w:rsid w:val="00FA7A75"/>
    <w:rsid w:val="00FB01F4"/>
    <w:rsid w:val="00FB04F1"/>
    <w:rsid w:val="00FB0558"/>
    <w:rsid w:val="00FB05EF"/>
    <w:rsid w:val="00FB06AC"/>
    <w:rsid w:val="00FB0948"/>
    <w:rsid w:val="00FB0A44"/>
    <w:rsid w:val="00FB0B66"/>
    <w:rsid w:val="00FB1B47"/>
    <w:rsid w:val="00FB1B51"/>
    <w:rsid w:val="00FB1C2D"/>
    <w:rsid w:val="00FB2C0A"/>
    <w:rsid w:val="00FB2D1C"/>
    <w:rsid w:val="00FB3045"/>
    <w:rsid w:val="00FB33CC"/>
    <w:rsid w:val="00FB347E"/>
    <w:rsid w:val="00FB3547"/>
    <w:rsid w:val="00FB3987"/>
    <w:rsid w:val="00FB3FAC"/>
    <w:rsid w:val="00FB4047"/>
    <w:rsid w:val="00FB4075"/>
    <w:rsid w:val="00FB45D9"/>
    <w:rsid w:val="00FB4819"/>
    <w:rsid w:val="00FB4C37"/>
    <w:rsid w:val="00FB4D02"/>
    <w:rsid w:val="00FB4D05"/>
    <w:rsid w:val="00FB4DF6"/>
    <w:rsid w:val="00FB5F71"/>
    <w:rsid w:val="00FB6212"/>
    <w:rsid w:val="00FB6387"/>
    <w:rsid w:val="00FB6923"/>
    <w:rsid w:val="00FB693E"/>
    <w:rsid w:val="00FB71A6"/>
    <w:rsid w:val="00FB74AE"/>
    <w:rsid w:val="00FB7C8E"/>
    <w:rsid w:val="00FB7F65"/>
    <w:rsid w:val="00FC079D"/>
    <w:rsid w:val="00FC0906"/>
    <w:rsid w:val="00FC0B4F"/>
    <w:rsid w:val="00FC101A"/>
    <w:rsid w:val="00FC10E7"/>
    <w:rsid w:val="00FC182B"/>
    <w:rsid w:val="00FC279E"/>
    <w:rsid w:val="00FC2931"/>
    <w:rsid w:val="00FC2A31"/>
    <w:rsid w:val="00FC2A4B"/>
    <w:rsid w:val="00FC2ECC"/>
    <w:rsid w:val="00FC302A"/>
    <w:rsid w:val="00FC3404"/>
    <w:rsid w:val="00FC3A05"/>
    <w:rsid w:val="00FC3A24"/>
    <w:rsid w:val="00FC3B8D"/>
    <w:rsid w:val="00FC452A"/>
    <w:rsid w:val="00FC4AF0"/>
    <w:rsid w:val="00FC54C4"/>
    <w:rsid w:val="00FC574A"/>
    <w:rsid w:val="00FC57E8"/>
    <w:rsid w:val="00FC58C1"/>
    <w:rsid w:val="00FC59B2"/>
    <w:rsid w:val="00FC6107"/>
    <w:rsid w:val="00FC6850"/>
    <w:rsid w:val="00FC69FF"/>
    <w:rsid w:val="00FC70D7"/>
    <w:rsid w:val="00FC7224"/>
    <w:rsid w:val="00FC78EB"/>
    <w:rsid w:val="00FD03AF"/>
    <w:rsid w:val="00FD0479"/>
    <w:rsid w:val="00FD0586"/>
    <w:rsid w:val="00FD08BB"/>
    <w:rsid w:val="00FD0A28"/>
    <w:rsid w:val="00FD0AB8"/>
    <w:rsid w:val="00FD0CAC"/>
    <w:rsid w:val="00FD0FA4"/>
    <w:rsid w:val="00FD16E7"/>
    <w:rsid w:val="00FD1A88"/>
    <w:rsid w:val="00FD1CFC"/>
    <w:rsid w:val="00FD2295"/>
    <w:rsid w:val="00FD2C32"/>
    <w:rsid w:val="00FD2E7E"/>
    <w:rsid w:val="00FD3A98"/>
    <w:rsid w:val="00FD3AA9"/>
    <w:rsid w:val="00FD420A"/>
    <w:rsid w:val="00FD4520"/>
    <w:rsid w:val="00FD4A30"/>
    <w:rsid w:val="00FD54E9"/>
    <w:rsid w:val="00FD5E75"/>
    <w:rsid w:val="00FD600F"/>
    <w:rsid w:val="00FD641C"/>
    <w:rsid w:val="00FD6569"/>
    <w:rsid w:val="00FD6649"/>
    <w:rsid w:val="00FD66FE"/>
    <w:rsid w:val="00FD674D"/>
    <w:rsid w:val="00FD6A8F"/>
    <w:rsid w:val="00FD756E"/>
    <w:rsid w:val="00FD76A6"/>
    <w:rsid w:val="00FD785E"/>
    <w:rsid w:val="00FD7F16"/>
    <w:rsid w:val="00FD7FAD"/>
    <w:rsid w:val="00FE011F"/>
    <w:rsid w:val="00FE09A0"/>
    <w:rsid w:val="00FE0FD6"/>
    <w:rsid w:val="00FE132F"/>
    <w:rsid w:val="00FE1C0F"/>
    <w:rsid w:val="00FE1EDE"/>
    <w:rsid w:val="00FE2376"/>
    <w:rsid w:val="00FE2470"/>
    <w:rsid w:val="00FE25FD"/>
    <w:rsid w:val="00FE2744"/>
    <w:rsid w:val="00FE2A80"/>
    <w:rsid w:val="00FE34C4"/>
    <w:rsid w:val="00FE34FE"/>
    <w:rsid w:val="00FE3729"/>
    <w:rsid w:val="00FE3754"/>
    <w:rsid w:val="00FE3924"/>
    <w:rsid w:val="00FE4681"/>
    <w:rsid w:val="00FE48C4"/>
    <w:rsid w:val="00FE503E"/>
    <w:rsid w:val="00FE5B25"/>
    <w:rsid w:val="00FE62AE"/>
    <w:rsid w:val="00FE703B"/>
    <w:rsid w:val="00FE757C"/>
    <w:rsid w:val="00FE7874"/>
    <w:rsid w:val="00FE7D85"/>
    <w:rsid w:val="00FE7DA2"/>
    <w:rsid w:val="00FF02D2"/>
    <w:rsid w:val="00FF0492"/>
    <w:rsid w:val="00FF04C1"/>
    <w:rsid w:val="00FF07A8"/>
    <w:rsid w:val="00FF0F7D"/>
    <w:rsid w:val="00FF158E"/>
    <w:rsid w:val="00FF15F9"/>
    <w:rsid w:val="00FF174A"/>
    <w:rsid w:val="00FF197D"/>
    <w:rsid w:val="00FF1A1B"/>
    <w:rsid w:val="00FF1FB6"/>
    <w:rsid w:val="00FF1FF2"/>
    <w:rsid w:val="00FF2B0C"/>
    <w:rsid w:val="00FF2CEF"/>
    <w:rsid w:val="00FF33CB"/>
    <w:rsid w:val="00FF3AC8"/>
    <w:rsid w:val="00FF3CBF"/>
    <w:rsid w:val="00FF3EF0"/>
    <w:rsid w:val="00FF4990"/>
    <w:rsid w:val="00FF49D4"/>
    <w:rsid w:val="00FF49E9"/>
    <w:rsid w:val="00FF5A01"/>
    <w:rsid w:val="00FF5A2E"/>
    <w:rsid w:val="00FF61C6"/>
    <w:rsid w:val="00FF61E7"/>
    <w:rsid w:val="00FF62E4"/>
    <w:rsid w:val="00FF6329"/>
    <w:rsid w:val="00FF7126"/>
    <w:rsid w:val="00FF7964"/>
    <w:rsid w:val="00FF79C2"/>
    <w:rsid w:val="010975C0"/>
    <w:rsid w:val="01145951"/>
    <w:rsid w:val="011646D7"/>
    <w:rsid w:val="011E3CE2"/>
    <w:rsid w:val="01270F6A"/>
    <w:rsid w:val="012A7AF5"/>
    <w:rsid w:val="012E1D7E"/>
    <w:rsid w:val="012F3ECF"/>
    <w:rsid w:val="01357F39"/>
    <w:rsid w:val="013C6B15"/>
    <w:rsid w:val="013D4597"/>
    <w:rsid w:val="013E2018"/>
    <w:rsid w:val="01421910"/>
    <w:rsid w:val="01467425"/>
    <w:rsid w:val="014E3445"/>
    <w:rsid w:val="014F32E7"/>
    <w:rsid w:val="0154103A"/>
    <w:rsid w:val="01541FBE"/>
    <w:rsid w:val="015D704A"/>
    <w:rsid w:val="01630F53"/>
    <w:rsid w:val="01654456"/>
    <w:rsid w:val="0167511D"/>
    <w:rsid w:val="01692E5D"/>
    <w:rsid w:val="0170360E"/>
    <w:rsid w:val="01713AEC"/>
    <w:rsid w:val="017311EE"/>
    <w:rsid w:val="017424F2"/>
    <w:rsid w:val="01746C6F"/>
    <w:rsid w:val="01770C0B"/>
    <w:rsid w:val="01792184"/>
    <w:rsid w:val="017D59D9"/>
    <w:rsid w:val="018247EF"/>
    <w:rsid w:val="0183728A"/>
    <w:rsid w:val="01844D0B"/>
    <w:rsid w:val="01883711"/>
    <w:rsid w:val="01896C15"/>
    <w:rsid w:val="018C65EE"/>
    <w:rsid w:val="018D0933"/>
    <w:rsid w:val="019839AC"/>
    <w:rsid w:val="019B6B2F"/>
    <w:rsid w:val="019E57CC"/>
    <w:rsid w:val="01A8508C"/>
    <w:rsid w:val="01A916C8"/>
    <w:rsid w:val="01AD00CE"/>
    <w:rsid w:val="01AD071C"/>
    <w:rsid w:val="01B47A59"/>
    <w:rsid w:val="01B709DD"/>
    <w:rsid w:val="01BA73E4"/>
    <w:rsid w:val="01BB4E65"/>
    <w:rsid w:val="01BB7F08"/>
    <w:rsid w:val="01BD0368"/>
    <w:rsid w:val="01BF5BB5"/>
    <w:rsid w:val="01C16D6E"/>
    <w:rsid w:val="01C20073"/>
    <w:rsid w:val="01C50FF8"/>
    <w:rsid w:val="01C83155"/>
    <w:rsid w:val="01C979FE"/>
    <w:rsid w:val="01CB2A80"/>
    <w:rsid w:val="01CB2F01"/>
    <w:rsid w:val="01CD7B04"/>
    <w:rsid w:val="01CE3E86"/>
    <w:rsid w:val="01CF1907"/>
    <w:rsid w:val="01D447AC"/>
    <w:rsid w:val="01D61292"/>
    <w:rsid w:val="01E272A3"/>
    <w:rsid w:val="01E303F1"/>
    <w:rsid w:val="01E34D25"/>
    <w:rsid w:val="01ED0EB7"/>
    <w:rsid w:val="01F30842"/>
    <w:rsid w:val="020058B7"/>
    <w:rsid w:val="020255DA"/>
    <w:rsid w:val="020277D8"/>
    <w:rsid w:val="020403A9"/>
    <w:rsid w:val="02093571"/>
    <w:rsid w:val="02140D77"/>
    <w:rsid w:val="02215E8E"/>
    <w:rsid w:val="02256A93"/>
    <w:rsid w:val="02287A18"/>
    <w:rsid w:val="02323BAA"/>
    <w:rsid w:val="02397CB2"/>
    <w:rsid w:val="023A007E"/>
    <w:rsid w:val="023A0C1C"/>
    <w:rsid w:val="02402EC0"/>
    <w:rsid w:val="02410942"/>
    <w:rsid w:val="024B6CD3"/>
    <w:rsid w:val="024D170D"/>
    <w:rsid w:val="024D6952"/>
    <w:rsid w:val="025078D7"/>
    <w:rsid w:val="025114D9"/>
    <w:rsid w:val="0253085C"/>
    <w:rsid w:val="025340DF"/>
    <w:rsid w:val="02572AE5"/>
    <w:rsid w:val="02574CE3"/>
    <w:rsid w:val="025A02E7"/>
    <w:rsid w:val="025A5C68"/>
    <w:rsid w:val="02623074"/>
    <w:rsid w:val="02641DFB"/>
    <w:rsid w:val="0271368F"/>
    <w:rsid w:val="02734614"/>
    <w:rsid w:val="027A3F9F"/>
    <w:rsid w:val="02813929"/>
    <w:rsid w:val="02824C2E"/>
    <w:rsid w:val="028326B0"/>
    <w:rsid w:val="02840131"/>
    <w:rsid w:val="028710B6"/>
    <w:rsid w:val="0292485F"/>
    <w:rsid w:val="02942B85"/>
    <w:rsid w:val="029525CA"/>
    <w:rsid w:val="029A22D5"/>
    <w:rsid w:val="029C57D8"/>
    <w:rsid w:val="02A042B7"/>
    <w:rsid w:val="02A11C60"/>
    <w:rsid w:val="02A14397"/>
    <w:rsid w:val="02A42BE4"/>
    <w:rsid w:val="02AA6CEC"/>
    <w:rsid w:val="02AC21EF"/>
    <w:rsid w:val="02AC5A72"/>
    <w:rsid w:val="02AC7FF1"/>
    <w:rsid w:val="02B42E7F"/>
    <w:rsid w:val="02B67E74"/>
    <w:rsid w:val="02B81885"/>
    <w:rsid w:val="02BA4D88"/>
    <w:rsid w:val="02D2242F"/>
    <w:rsid w:val="02D37EB0"/>
    <w:rsid w:val="02DA783B"/>
    <w:rsid w:val="02E6375C"/>
    <w:rsid w:val="02ED4765"/>
    <w:rsid w:val="02EE1D5F"/>
    <w:rsid w:val="02F20765"/>
    <w:rsid w:val="02F403E5"/>
    <w:rsid w:val="02F6716B"/>
    <w:rsid w:val="02F922EE"/>
    <w:rsid w:val="02F9629E"/>
    <w:rsid w:val="02F97D00"/>
    <w:rsid w:val="02FB57F1"/>
    <w:rsid w:val="030C130F"/>
    <w:rsid w:val="030D0F8F"/>
    <w:rsid w:val="030D350D"/>
    <w:rsid w:val="030E6A10"/>
    <w:rsid w:val="03132E98"/>
    <w:rsid w:val="03137A5D"/>
    <w:rsid w:val="03166657"/>
    <w:rsid w:val="03190625"/>
    <w:rsid w:val="031D702B"/>
    <w:rsid w:val="03227C2F"/>
    <w:rsid w:val="03254437"/>
    <w:rsid w:val="0327793A"/>
    <w:rsid w:val="0329503C"/>
    <w:rsid w:val="0330024A"/>
    <w:rsid w:val="03346C50"/>
    <w:rsid w:val="033D1ADE"/>
    <w:rsid w:val="033E7560"/>
    <w:rsid w:val="0345496C"/>
    <w:rsid w:val="03456EEA"/>
    <w:rsid w:val="034623EE"/>
    <w:rsid w:val="03493372"/>
    <w:rsid w:val="03502CFD"/>
    <w:rsid w:val="03537DF9"/>
    <w:rsid w:val="03544F87"/>
    <w:rsid w:val="03572688"/>
    <w:rsid w:val="035F3318"/>
    <w:rsid w:val="03633F1C"/>
    <w:rsid w:val="03695E25"/>
    <w:rsid w:val="036D7FEA"/>
    <w:rsid w:val="03701033"/>
    <w:rsid w:val="03762F3D"/>
    <w:rsid w:val="037709BE"/>
    <w:rsid w:val="03821A33"/>
    <w:rsid w:val="03863C7C"/>
    <w:rsid w:val="038753D5"/>
    <w:rsid w:val="0389415C"/>
    <w:rsid w:val="038A7AC7"/>
    <w:rsid w:val="038B3DDC"/>
    <w:rsid w:val="038D72DF"/>
    <w:rsid w:val="03911568"/>
    <w:rsid w:val="039659F0"/>
    <w:rsid w:val="03975670"/>
    <w:rsid w:val="03986975"/>
    <w:rsid w:val="039A36A3"/>
    <w:rsid w:val="03A129F7"/>
    <w:rsid w:val="03AB2112"/>
    <w:rsid w:val="03AD5615"/>
    <w:rsid w:val="03B42A21"/>
    <w:rsid w:val="03B65F25"/>
    <w:rsid w:val="03B67C5D"/>
    <w:rsid w:val="03B821FD"/>
    <w:rsid w:val="03BE1B4E"/>
    <w:rsid w:val="03C142B6"/>
    <w:rsid w:val="03CD659A"/>
    <w:rsid w:val="03CF2423"/>
    <w:rsid w:val="03D17DD3"/>
    <w:rsid w:val="03D673E3"/>
    <w:rsid w:val="03DB4E5F"/>
    <w:rsid w:val="03DD3BE6"/>
    <w:rsid w:val="03DE3866"/>
    <w:rsid w:val="03E04B6A"/>
    <w:rsid w:val="03E06D69"/>
    <w:rsid w:val="03E14A26"/>
    <w:rsid w:val="03E424F8"/>
    <w:rsid w:val="03E4576F"/>
    <w:rsid w:val="03E50FF2"/>
    <w:rsid w:val="03E837D4"/>
    <w:rsid w:val="03F6348B"/>
    <w:rsid w:val="03F7698E"/>
    <w:rsid w:val="03F84410"/>
    <w:rsid w:val="03FB3196"/>
    <w:rsid w:val="03FB5394"/>
    <w:rsid w:val="0400181C"/>
    <w:rsid w:val="0400509F"/>
    <w:rsid w:val="04074A2A"/>
    <w:rsid w:val="040D361F"/>
    <w:rsid w:val="040D6933"/>
    <w:rsid w:val="040F1E36"/>
    <w:rsid w:val="040F5084"/>
    <w:rsid w:val="0413083D"/>
    <w:rsid w:val="042929E0"/>
    <w:rsid w:val="0429511D"/>
    <w:rsid w:val="042C71E8"/>
    <w:rsid w:val="042E6E68"/>
    <w:rsid w:val="043467F3"/>
    <w:rsid w:val="04375579"/>
    <w:rsid w:val="04405E89"/>
    <w:rsid w:val="04410087"/>
    <w:rsid w:val="04456A8D"/>
    <w:rsid w:val="04475814"/>
    <w:rsid w:val="044E519E"/>
    <w:rsid w:val="0450113F"/>
    <w:rsid w:val="04533824"/>
    <w:rsid w:val="045370A8"/>
    <w:rsid w:val="045625D3"/>
    <w:rsid w:val="0459572E"/>
    <w:rsid w:val="045D4134"/>
    <w:rsid w:val="046151BC"/>
    <w:rsid w:val="04623756"/>
    <w:rsid w:val="04664A43"/>
    <w:rsid w:val="046702C7"/>
    <w:rsid w:val="04716658"/>
    <w:rsid w:val="04731B5B"/>
    <w:rsid w:val="0475494B"/>
    <w:rsid w:val="04770561"/>
    <w:rsid w:val="04785FE3"/>
    <w:rsid w:val="047E467A"/>
    <w:rsid w:val="047E7EEC"/>
    <w:rsid w:val="04847877"/>
    <w:rsid w:val="0488627D"/>
    <w:rsid w:val="04A03924"/>
    <w:rsid w:val="04A26E27"/>
    <w:rsid w:val="04A348A8"/>
    <w:rsid w:val="04A4232A"/>
    <w:rsid w:val="04A6582D"/>
    <w:rsid w:val="04A92035"/>
    <w:rsid w:val="04AA7AB6"/>
    <w:rsid w:val="04AE4FA9"/>
    <w:rsid w:val="04BA7D51"/>
    <w:rsid w:val="04C223AD"/>
    <w:rsid w:val="04C81265"/>
    <w:rsid w:val="04C837E3"/>
    <w:rsid w:val="04CF728E"/>
    <w:rsid w:val="04D87301"/>
    <w:rsid w:val="04DB0285"/>
    <w:rsid w:val="04E0470D"/>
    <w:rsid w:val="04E2714C"/>
    <w:rsid w:val="04EC5FA1"/>
    <w:rsid w:val="04EF6F26"/>
    <w:rsid w:val="04F2372E"/>
    <w:rsid w:val="04F930B9"/>
    <w:rsid w:val="04FB5234"/>
    <w:rsid w:val="04FE7541"/>
    <w:rsid w:val="05025F47"/>
    <w:rsid w:val="050745CD"/>
    <w:rsid w:val="05127BD7"/>
    <w:rsid w:val="05197D6A"/>
    <w:rsid w:val="051C0CEF"/>
    <w:rsid w:val="051E1FF4"/>
    <w:rsid w:val="05203EC4"/>
    <w:rsid w:val="05233EFD"/>
    <w:rsid w:val="052B5A86"/>
    <w:rsid w:val="0536769A"/>
    <w:rsid w:val="0537511C"/>
    <w:rsid w:val="05476D0D"/>
    <w:rsid w:val="054B76D7"/>
    <w:rsid w:val="054C183E"/>
    <w:rsid w:val="054E0D55"/>
    <w:rsid w:val="054F27C3"/>
    <w:rsid w:val="05536C4A"/>
    <w:rsid w:val="055424CE"/>
    <w:rsid w:val="05575651"/>
    <w:rsid w:val="055D755A"/>
    <w:rsid w:val="055F62E0"/>
    <w:rsid w:val="05634CE7"/>
    <w:rsid w:val="05641145"/>
    <w:rsid w:val="05646EE5"/>
    <w:rsid w:val="05654966"/>
    <w:rsid w:val="056858EB"/>
    <w:rsid w:val="056C1D73"/>
    <w:rsid w:val="057274FF"/>
    <w:rsid w:val="05756DE3"/>
    <w:rsid w:val="05781409"/>
    <w:rsid w:val="05781604"/>
    <w:rsid w:val="05796E8A"/>
    <w:rsid w:val="057C7E0F"/>
    <w:rsid w:val="057E5A8D"/>
    <w:rsid w:val="057F0D93"/>
    <w:rsid w:val="05826495"/>
    <w:rsid w:val="0591016E"/>
    <w:rsid w:val="0594186E"/>
    <w:rsid w:val="0599193D"/>
    <w:rsid w:val="05A123EC"/>
    <w:rsid w:val="05A84156"/>
    <w:rsid w:val="05AC2B5C"/>
    <w:rsid w:val="05B01562"/>
    <w:rsid w:val="05B821F2"/>
    <w:rsid w:val="05BC0BF8"/>
    <w:rsid w:val="05C017FD"/>
    <w:rsid w:val="05C36005"/>
    <w:rsid w:val="05C63706"/>
    <w:rsid w:val="05CA210C"/>
    <w:rsid w:val="05CB7B8E"/>
    <w:rsid w:val="05CE4396"/>
    <w:rsid w:val="05D252BA"/>
    <w:rsid w:val="05D4049D"/>
    <w:rsid w:val="05D77224"/>
    <w:rsid w:val="05DA3601"/>
    <w:rsid w:val="05DA5C2A"/>
    <w:rsid w:val="05DB36AB"/>
    <w:rsid w:val="05F354CF"/>
    <w:rsid w:val="05F930D3"/>
    <w:rsid w:val="05FF12E2"/>
    <w:rsid w:val="060025E6"/>
    <w:rsid w:val="06040FED"/>
    <w:rsid w:val="060718F2"/>
    <w:rsid w:val="061529DA"/>
    <w:rsid w:val="06233AA0"/>
    <w:rsid w:val="06241521"/>
    <w:rsid w:val="062F78B2"/>
    <w:rsid w:val="06312DB5"/>
    <w:rsid w:val="06362AC0"/>
    <w:rsid w:val="06385FC4"/>
    <w:rsid w:val="063E7ECD"/>
    <w:rsid w:val="0640755C"/>
    <w:rsid w:val="06443FD4"/>
    <w:rsid w:val="064B4E6E"/>
    <w:rsid w:val="064C70D1"/>
    <w:rsid w:val="065232EA"/>
    <w:rsid w:val="06530D6C"/>
    <w:rsid w:val="065A3F7A"/>
    <w:rsid w:val="0665782C"/>
    <w:rsid w:val="06657D8C"/>
    <w:rsid w:val="06680D11"/>
    <w:rsid w:val="066B4E6D"/>
    <w:rsid w:val="066C7717"/>
    <w:rsid w:val="06701ABF"/>
    <w:rsid w:val="06750027"/>
    <w:rsid w:val="06765AA8"/>
    <w:rsid w:val="067905FE"/>
    <w:rsid w:val="06796A2D"/>
    <w:rsid w:val="067C79B2"/>
    <w:rsid w:val="0682513E"/>
    <w:rsid w:val="0683733C"/>
    <w:rsid w:val="06863B44"/>
    <w:rsid w:val="068C7C4C"/>
    <w:rsid w:val="06906652"/>
    <w:rsid w:val="06942E5A"/>
    <w:rsid w:val="06952ADA"/>
    <w:rsid w:val="0695635D"/>
    <w:rsid w:val="069872E2"/>
    <w:rsid w:val="069D7EE6"/>
    <w:rsid w:val="06A630EA"/>
    <w:rsid w:val="06BA5298"/>
    <w:rsid w:val="06BD217B"/>
    <w:rsid w:val="06C70D2A"/>
    <w:rsid w:val="06C867AC"/>
    <w:rsid w:val="06CC0A35"/>
    <w:rsid w:val="06D303C0"/>
    <w:rsid w:val="06DD6751"/>
    <w:rsid w:val="06EE69EC"/>
    <w:rsid w:val="06F206F3"/>
    <w:rsid w:val="06F408F5"/>
    <w:rsid w:val="06F47C37"/>
    <w:rsid w:val="06FB5D01"/>
    <w:rsid w:val="06FC3783"/>
    <w:rsid w:val="06FD7006"/>
    <w:rsid w:val="0702568C"/>
    <w:rsid w:val="07064092"/>
    <w:rsid w:val="070B3D9D"/>
    <w:rsid w:val="070F27A4"/>
    <w:rsid w:val="070F7027"/>
    <w:rsid w:val="07140E2A"/>
    <w:rsid w:val="07171DAE"/>
    <w:rsid w:val="071830B3"/>
    <w:rsid w:val="07190B35"/>
    <w:rsid w:val="071E4FBC"/>
    <w:rsid w:val="071F71BB"/>
    <w:rsid w:val="07243642"/>
    <w:rsid w:val="07277E4A"/>
    <w:rsid w:val="072F6753"/>
    <w:rsid w:val="073B6AEB"/>
    <w:rsid w:val="074B6D85"/>
    <w:rsid w:val="074F100F"/>
    <w:rsid w:val="074F578B"/>
    <w:rsid w:val="07521F93"/>
    <w:rsid w:val="07545496"/>
    <w:rsid w:val="075C7020"/>
    <w:rsid w:val="075D4AA1"/>
    <w:rsid w:val="075E2523"/>
    <w:rsid w:val="075F3828"/>
    <w:rsid w:val="076012A9"/>
    <w:rsid w:val="0765792F"/>
    <w:rsid w:val="076C72BA"/>
    <w:rsid w:val="076F59D4"/>
    <w:rsid w:val="07791250"/>
    <w:rsid w:val="077D4FD6"/>
    <w:rsid w:val="07937AA3"/>
    <w:rsid w:val="07963981"/>
    <w:rsid w:val="07971403"/>
    <w:rsid w:val="07A5586E"/>
    <w:rsid w:val="07B15B08"/>
    <w:rsid w:val="07B332B2"/>
    <w:rsid w:val="07C33B91"/>
    <w:rsid w:val="07D60EE8"/>
    <w:rsid w:val="07F6399B"/>
    <w:rsid w:val="07F94668"/>
    <w:rsid w:val="07F968F9"/>
    <w:rsid w:val="07FF7B2E"/>
    <w:rsid w:val="0807168B"/>
    <w:rsid w:val="08086620"/>
    <w:rsid w:val="08180E30"/>
    <w:rsid w:val="081B3BDB"/>
    <w:rsid w:val="081C165C"/>
    <w:rsid w:val="081D70DE"/>
    <w:rsid w:val="08206253"/>
    <w:rsid w:val="08285910"/>
    <w:rsid w:val="08296773"/>
    <w:rsid w:val="082D18F6"/>
    <w:rsid w:val="082E7378"/>
    <w:rsid w:val="082F287B"/>
    <w:rsid w:val="08360008"/>
    <w:rsid w:val="08367604"/>
    <w:rsid w:val="08380F8C"/>
    <w:rsid w:val="083A0C0C"/>
    <w:rsid w:val="083C7992"/>
    <w:rsid w:val="08402B15"/>
    <w:rsid w:val="08433303"/>
    <w:rsid w:val="08456F9D"/>
    <w:rsid w:val="084859A3"/>
    <w:rsid w:val="084D1E2B"/>
    <w:rsid w:val="084E56AE"/>
    <w:rsid w:val="084E78AD"/>
    <w:rsid w:val="08502DB0"/>
    <w:rsid w:val="086013E3"/>
    <w:rsid w:val="0860699A"/>
    <w:rsid w:val="086A71DD"/>
    <w:rsid w:val="086C26E0"/>
    <w:rsid w:val="087245E9"/>
    <w:rsid w:val="08747AEC"/>
    <w:rsid w:val="08822685"/>
    <w:rsid w:val="08882010"/>
    <w:rsid w:val="088A5513"/>
    <w:rsid w:val="088B7712"/>
    <w:rsid w:val="088D0FDA"/>
    <w:rsid w:val="088D6498"/>
    <w:rsid w:val="08902242"/>
    <w:rsid w:val="08934B1E"/>
    <w:rsid w:val="08961326"/>
    <w:rsid w:val="089C542D"/>
    <w:rsid w:val="08A53B3F"/>
    <w:rsid w:val="08A615C0"/>
    <w:rsid w:val="08AA59B2"/>
    <w:rsid w:val="08B23046"/>
    <w:rsid w:val="08B253D3"/>
    <w:rsid w:val="08B408D6"/>
    <w:rsid w:val="08B84D5E"/>
    <w:rsid w:val="08B872DC"/>
    <w:rsid w:val="08BB245F"/>
    <w:rsid w:val="08BF0E65"/>
    <w:rsid w:val="08C71AF5"/>
    <w:rsid w:val="08C87576"/>
    <w:rsid w:val="08CA2A7A"/>
    <w:rsid w:val="08CB04FB"/>
    <w:rsid w:val="08CF045B"/>
    <w:rsid w:val="08CF6F01"/>
    <w:rsid w:val="08D40E0B"/>
    <w:rsid w:val="08D6430E"/>
    <w:rsid w:val="08DC1C6E"/>
    <w:rsid w:val="08E54928"/>
    <w:rsid w:val="08FF3F01"/>
    <w:rsid w:val="09002F54"/>
    <w:rsid w:val="090109D5"/>
    <w:rsid w:val="090573DB"/>
    <w:rsid w:val="09060CCF"/>
    <w:rsid w:val="0907653F"/>
    <w:rsid w:val="09097FE0"/>
    <w:rsid w:val="090D2444"/>
    <w:rsid w:val="090E7CEB"/>
    <w:rsid w:val="0910796B"/>
    <w:rsid w:val="09122E6E"/>
    <w:rsid w:val="091266F1"/>
    <w:rsid w:val="09161874"/>
    <w:rsid w:val="091A65C5"/>
    <w:rsid w:val="091A6C9B"/>
    <w:rsid w:val="091C11FF"/>
    <w:rsid w:val="091C4F8C"/>
    <w:rsid w:val="09214A58"/>
    <w:rsid w:val="0924660B"/>
    <w:rsid w:val="092C729B"/>
    <w:rsid w:val="092D5890"/>
    <w:rsid w:val="09423E35"/>
    <w:rsid w:val="094A684B"/>
    <w:rsid w:val="09575B61"/>
    <w:rsid w:val="095813E4"/>
    <w:rsid w:val="095835E2"/>
    <w:rsid w:val="095A6AE5"/>
    <w:rsid w:val="095D72C5"/>
    <w:rsid w:val="095F67F0"/>
    <w:rsid w:val="096351F6"/>
    <w:rsid w:val="09697100"/>
    <w:rsid w:val="09750994"/>
    <w:rsid w:val="09781919"/>
    <w:rsid w:val="097E7F9F"/>
    <w:rsid w:val="097F70D9"/>
    <w:rsid w:val="09806D25"/>
    <w:rsid w:val="09831EA8"/>
    <w:rsid w:val="09837CAA"/>
    <w:rsid w:val="09862E2D"/>
    <w:rsid w:val="098701D3"/>
    <w:rsid w:val="0989462C"/>
    <w:rsid w:val="099B5350"/>
    <w:rsid w:val="09A017D8"/>
    <w:rsid w:val="09A536E1"/>
    <w:rsid w:val="09A76BE4"/>
    <w:rsid w:val="09A90FCF"/>
    <w:rsid w:val="09AB55EB"/>
    <w:rsid w:val="09AD42D5"/>
    <w:rsid w:val="09AF4D93"/>
    <w:rsid w:val="09B174F4"/>
    <w:rsid w:val="09B5177D"/>
    <w:rsid w:val="09BA2382"/>
    <w:rsid w:val="09BB5885"/>
    <w:rsid w:val="09BD6B8A"/>
    <w:rsid w:val="09BE7530"/>
    <w:rsid w:val="09BF428B"/>
    <w:rsid w:val="09C1778E"/>
    <w:rsid w:val="09CD75CA"/>
    <w:rsid w:val="09D232AC"/>
    <w:rsid w:val="09DE12BD"/>
    <w:rsid w:val="09E46A49"/>
    <w:rsid w:val="09F978E8"/>
    <w:rsid w:val="0A041F36"/>
    <w:rsid w:val="0A056F7E"/>
    <w:rsid w:val="0A072481"/>
    <w:rsid w:val="0A0D1E0C"/>
    <w:rsid w:val="0A110812"/>
    <w:rsid w:val="0A16055B"/>
    <w:rsid w:val="0A1C5118"/>
    <w:rsid w:val="0A1E73F4"/>
    <w:rsid w:val="0A2574B3"/>
    <w:rsid w:val="0A2A26A5"/>
    <w:rsid w:val="0A3010C7"/>
    <w:rsid w:val="0A33106C"/>
    <w:rsid w:val="0A34424A"/>
    <w:rsid w:val="0A36774D"/>
    <w:rsid w:val="0A3D4B5A"/>
    <w:rsid w:val="0A424EF9"/>
    <w:rsid w:val="0A475469"/>
    <w:rsid w:val="0A4A1C71"/>
    <w:rsid w:val="0A4B7CC0"/>
    <w:rsid w:val="0A4C5174"/>
    <w:rsid w:val="0A4D4773"/>
    <w:rsid w:val="0A503FB5"/>
    <w:rsid w:val="0A5115FC"/>
    <w:rsid w:val="0A515D78"/>
    <w:rsid w:val="0A54477F"/>
    <w:rsid w:val="0A5F2B10"/>
    <w:rsid w:val="0A64281B"/>
    <w:rsid w:val="0A696CA3"/>
    <w:rsid w:val="0A7A49BE"/>
    <w:rsid w:val="0A7D11C6"/>
    <w:rsid w:val="0A864F08"/>
    <w:rsid w:val="0A8B0655"/>
    <w:rsid w:val="0A8B6BDA"/>
    <w:rsid w:val="0A8F6EE2"/>
    <w:rsid w:val="0A9C2975"/>
    <w:rsid w:val="0AA21756"/>
    <w:rsid w:val="0AA47D81"/>
    <w:rsid w:val="0AAB2F8F"/>
    <w:rsid w:val="0AAB518D"/>
    <w:rsid w:val="0AAD02CE"/>
    <w:rsid w:val="0AAD3F14"/>
    <w:rsid w:val="0AB2039C"/>
    <w:rsid w:val="0AB26AC6"/>
    <w:rsid w:val="0AB8072D"/>
    <w:rsid w:val="0ABD2EA9"/>
    <w:rsid w:val="0ABF3E2E"/>
    <w:rsid w:val="0AC24DB3"/>
    <w:rsid w:val="0AC30636"/>
    <w:rsid w:val="0AC32834"/>
    <w:rsid w:val="0AC6703C"/>
    <w:rsid w:val="0AC8253F"/>
    <w:rsid w:val="0AC94A31"/>
    <w:rsid w:val="0AE1035C"/>
    <w:rsid w:val="0AE15667"/>
    <w:rsid w:val="0AEB5F77"/>
    <w:rsid w:val="0AEE023D"/>
    <w:rsid w:val="0AF05C82"/>
    <w:rsid w:val="0AF21185"/>
    <w:rsid w:val="0AF67B8B"/>
    <w:rsid w:val="0AFB4013"/>
    <w:rsid w:val="0B01011B"/>
    <w:rsid w:val="0B056B21"/>
    <w:rsid w:val="0B0758A7"/>
    <w:rsid w:val="0B0A2FA9"/>
    <w:rsid w:val="0B0B42AD"/>
    <w:rsid w:val="0B0F2CB4"/>
    <w:rsid w:val="0B154BBD"/>
    <w:rsid w:val="0B197C79"/>
    <w:rsid w:val="0B264AD7"/>
    <w:rsid w:val="0B2A34DD"/>
    <w:rsid w:val="0B32416D"/>
    <w:rsid w:val="0B3550F2"/>
    <w:rsid w:val="0B362B73"/>
    <w:rsid w:val="0B46538C"/>
    <w:rsid w:val="0B491B94"/>
    <w:rsid w:val="0B4C2B18"/>
    <w:rsid w:val="0B514A22"/>
    <w:rsid w:val="0B5843AD"/>
    <w:rsid w:val="0B63493C"/>
    <w:rsid w:val="0B6658C1"/>
    <w:rsid w:val="0B680DC4"/>
    <w:rsid w:val="0B6A7B4A"/>
    <w:rsid w:val="0B713C52"/>
    <w:rsid w:val="0B737155"/>
    <w:rsid w:val="0B752DD1"/>
    <w:rsid w:val="0B765B5B"/>
    <w:rsid w:val="0B7723B0"/>
    <w:rsid w:val="0B7C5866"/>
    <w:rsid w:val="0B8C227D"/>
    <w:rsid w:val="0B8D7CFF"/>
    <w:rsid w:val="0B9126DB"/>
    <w:rsid w:val="0BA27CA4"/>
    <w:rsid w:val="0BAF4DBB"/>
    <w:rsid w:val="0BAF6FBA"/>
    <w:rsid w:val="0BB337C2"/>
    <w:rsid w:val="0BB56CC5"/>
    <w:rsid w:val="0BB721C8"/>
    <w:rsid w:val="0BB743C6"/>
    <w:rsid w:val="0BB856CB"/>
    <w:rsid w:val="0BBA0BCE"/>
    <w:rsid w:val="0BC22757"/>
    <w:rsid w:val="0BD107F3"/>
    <w:rsid w:val="0BD40DA4"/>
    <w:rsid w:val="0BD571F9"/>
    <w:rsid w:val="0BD726FC"/>
    <w:rsid w:val="0BD95198"/>
    <w:rsid w:val="0BEB5B1A"/>
    <w:rsid w:val="0BEC6E1F"/>
    <w:rsid w:val="0BF52CFF"/>
    <w:rsid w:val="0C1856E4"/>
    <w:rsid w:val="0C1D2F5A"/>
    <w:rsid w:val="0C1E05DC"/>
    <w:rsid w:val="0C234F79"/>
    <w:rsid w:val="0C2427FC"/>
    <w:rsid w:val="0C2549FA"/>
    <w:rsid w:val="0C265CFF"/>
    <w:rsid w:val="0C2B2187"/>
    <w:rsid w:val="0C2F5309"/>
    <w:rsid w:val="0C30080D"/>
    <w:rsid w:val="0C304C60"/>
    <w:rsid w:val="0C3E75E9"/>
    <w:rsid w:val="0C3F55A4"/>
    <w:rsid w:val="0C5267C3"/>
    <w:rsid w:val="0C560A4C"/>
    <w:rsid w:val="0C572C4B"/>
    <w:rsid w:val="0C5F38DA"/>
    <w:rsid w:val="0C677BAE"/>
    <w:rsid w:val="0C6D0671"/>
    <w:rsid w:val="0C786A02"/>
    <w:rsid w:val="0C790112"/>
    <w:rsid w:val="0C7B3AB4"/>
    <w:rsid w:val="0C7B6756"/>
    <w:rsid w:val="0C7E090C"/>
    <w:rsid w:val="0C811C57"/>
    <w:rsid w:val="0C822B95"/>
    <w:rsid w:val="0C855D18"/>
    <w:rsid w:val="0C86379A"/>
    <w:rsid w:val="0C8C56A3"/>
    <w:rsid w:val="0C90360D"/>
    <w:rsid w:val="0C9A023C"/>
    <w:rsid w:val="0CA17C9B"/>
    <w:rsid w:val="0CAC39D9"/>
    <w:rsid w:val="0CAE6EDD"/>
    <w:rsid w:val="0CB06D2E"/>
    <w:rsid w:val="0CC60D00"/>
    <w:rsid w:val="0CC76782"/>
    <w:rsid w:val="0CD04814"/>
    <w:rsid w:val="0CD10396"/>
    <w:rsid w:val="0CD25E17"/>
    <w:rsid w:val="0CD74CE0"/>
    <w:rsid w:val="0CDB0CA5"/>
    <w:rsid w:val="0CE0512D"/>
    <w:rsid w:val="0CE16432"/>
    <w:rsid w:val="0CE31935"/>
    <w:rsid w:val="0CE54E38"/>
    <w:rsid w:val="0CE74AB8"/>
    <w:rsid w:val="0CE8253A"/>
    <w:rsid w:val="0CE83E39"/>
    <w:rsid w:val="0CEC4B6C"/>
    <w:rsid w:val="0CF74D52"/>
    <w:rsid w:val="0CF90255"/>
    <w:rsid w:val="0D06756B"/>
    <w:rsid w:val="0D080870"/>
    <w:rsid w:val="0D1036FE"/>
    <w:rsid w:val="0D177805"/>
    <w:rsid w:val="0D1F2693"/>
    <w:rsid w:val="0D205DEA"/>
    <w:rsid w:val="0D26201E"/>
    <w:rsid w:val="0D3061B1"/>
    <w:rsid w:val="0D353871"/>
    <w:rsid w:val="0D356555"/>
    <w:rsid w:val="0D3A4542"/>
    <w:rsid w:val="0D3B1FC4"/>
    <w:rsid w:val="0D4373D0"/>
    <w:rsid w:val="0D460355"/>
    <w:rsid w:val="0D476D73"/>
    <w:rsid w:val="0D4B0060"/>
    <w:rsid w:val="0D4E5761"/>
    <w:rsid w:val="0D500C64"/>
    <w:rsid w:val="0D582640"/>
    <w:rsid w:val="0D5F6D00"/>
    <w:rsid w:val="0D670889"/>
    <w:rsid w:val="0D67410D"/>
    <w:rsid w:val="0D72249E"/>
    <w:rsid w:val="0D73211D"/>
    <w:rsid w:val="0D7359A1"/>
    <w:rsid w:val="0D76360B"/>
    <w:rsid w:val="0D764ED8"/>
    <w:rsid w:val="0D7F17B3"/>
    <w:rsid w:val="0D800ECF"/>
    <w:rsid w:val="0D822738"/>
    <w:rsid w:val="0D886840"/>
    <w:rsid w:val="0D953957"/>
    <w:rsid w:val="0D9A76F7"/>
    <w:rsid w:val="0D9F4266"/>
    <w:rsid w:val="0DAA346F"/>
    <w:rsid w:val="0DAF2BB0"/>
    <w:rsid w:val="0DB25485"/>
    <w:rsid w:val="0DB4420C"/>
    <w:rsid w:val="0DB63E8C"/>
    <w:rsid w:val="0DB94E10"/>
    <w:rsid w:val="0DC950AB"/>
    <w:rsid w:val="0DCD49A0"/>
    <w:rsid w:val="0DD237BC"/>
    <w:rsid w:val="0DD27F39"/>
    <w:rsid w:val="0DD46CBF"/>
    <w:rsid w:val="0DD74424"/>
    <w:rsid w:val="0DE549DB"/>
    <w:rsid w:val="0DF66E74"/>
    <w:rsid w:val="0E0350ED"/>
    <w:rsid w:val="0E0C6E19"/>
    <w:rsid w:val="0E1C2936"/>
    <w:rsid w:val="0E1F1160"/>
    <w:rsid w:val="0E265444"/>
    <w:rsid w:val="0E282968"/>
    <w:rsid w:val="0E2F3B55"/>
    <w:rsid w:val="0E316003"/>
    <w:rsid w:val="0E320708"/>
    <w:rsid w:val="0E326BA2"/>
    <w:rsid w:val="0E355A5F"/>
    <w:rsid w:val="0E3B312E"/>
    <w:rsid w:val="0E3D2E6B"/>
    <w:rsid w:val="0E4214F1"/>
    <w:rsid w:val="0E455CF9"/>
    <w:rsid w:val="0E500807"/>
    <w:rsid w:val="0E540297"/>
    <w:rsid w:val="0E565F93"/>
    <w:rsid w:val="0E5C591E"/>
    <w:rsid w:val="0E5E02CD"/>
    <w:rsid w:val="0E5E0E21"/>
    <w:rsid w:val="0E626AF0"/>
    <w:rsid w:val="0E627828"/>
    <w:rsid w:val="0E643BC1"/>
    <w:rsid w:val="0E6507AC"/>
    <w:rsid w:val="0E6971B2"/>
    <w:rsid w:val="0E6C0137"/>
    <w:rsid w:val="0E733CC6"/>
    <w:rsid w:val="0E79744D"/>
    <w:rsid w:val="0E7D16D6"/>
    <w:rsid w:val="0E8457DE"/>
    <w:rsid w:val="0E8954E9"/>
    <w:rsid w:val="0E8B5169"/>
    <w:rsid w:val="0E8D60ED"/>
    <w:rsid w:val="0E903615"/>
    <w:rsid w:val="0E9647FF"/>
    <w:rsid w:val="0E9C5CCE"/>
    <w:rsid w:val="0E9F768C"/>
    <w:rsid w:val="0EA4331A"/>
    <w:rsid w:val="0EB053A8"/>
    <w:rsid w:val="0EB672B2"/>
    <w:rsid w:val="0EB827B5"/>
    <w:rsid w:val="0EB86F32"/>
    <w:rsid w:val="0EB91AD3"/>
    <w:rsid w:val="0EC74FCE"/>
    <w:rsid w:val="0EC85224"/>
    <w:rsid w:val="0ECA6962"/>
    <w:rsid w:val="0ECB39D4"/>
    <w:rsid w:val="0ED230BA"/>
    <w:rsid w:val="0ED542E3"/>
    <w:rsid w:val="0EDB43C6"/>
    <w:rsid w:val="0EE46AFC"/>
    <w:rsid w:val="0EE73304"/>
    <w:rsid w:val="0EED198A"/>
    <w:rsid w:val="0EED520D"/>
    <w:rsid w:val="0EF33893"/>
    <w:rsid w:val="0F0528B4"/>
    <w:rsid w:val="0F064AB2"/>
    <w:rsid w:val="0F0B47BD"/>
    <w:rsid w:val="0F0E7940"/>
    <w:rsid w:val="0F0F0CC3"/>
    <w:rsid w:val="0F14764B"/>
    <w:rsid w:val="0F1572CB"/>
    <w:rsid w:val="0F162B4E"/>
    <w:rsid w:val="0F166D2F"/>
    <w:rsid w:val="0F191555"/>
    <w:rsid w:val="0F1B11D4"/>
    <w:rsid w:val="0F200EDF"/>
    <w:rsid w:val="0F2065EE"/>
    <w:rsid w:val="0F220B5F"/>
    <w:rsid w:val="0F251AE4"/>
    <w:rsid w:val="0F2D7FC5"/>
    <w:rsid w:val="0F2F03EA"/>
    <w:rsid w:val="0F355602"/>
    <w:rsid w:val="0F3D2A0E"/>
    <w:rsid w:val="0F4406BD"/>
    <w:rsid w:val="0F446E52"/>
    <w:rsid w:val="0F470D9F"/>
    <w:rsid w:val="0F4A1D24"/>
    <w:rsid w:val="0F4A7B25"/>
    <w:rsid w:val="0F4D0AAA"/>
    <w:rsid w:val="0F5735B8"/>
    <w:rsid w:val="0F59233E"/>
    <w:rsid w:val="0F6159BE"/>
    <w:rsid w:val="0F6C355D"/>
    <w:rsid w:val="0F7066E0"/>
    <w:rsid w:val="0F712210"/>
    <w:rsid w:val="0F714162"/>
    <w:rsid w:val="0F773AEC"/>
    <w:rsid w:val="0F787370"/>
    <w:rsid w:val="0F840C04"/>
    <w:rsid w:val="0F8A4A20"/>
    <w:rsid w:val="0F8B058F"/>
    <w:rsid w:val="0F93599B"/>
    <w:rsid w:val="0F971E23"/>
    <w:rsid w:val="0F975694"/>
    <w:rsid w:val="0F9B0EE8"/>
    <w:rsid w:val="0FAE784A"/>
    <w:rsid w:val="0FB107CE"/>
    <w:rsid w:val="0FB26250"/>
    <w:rsid w:val="0FB549E1"/>
    <w:rsid w:val="0FB726D8"/>
    <w:rsid w:val="0FB861EA"/>
    <w:rsid w:val="0FBB4B9C"/>
    <w:rsid w:val="0FC02FE7"/>
    <w:rsid w:val="0FC24F0B"/>
    <w:rsid w:val="0FC6166D"/>
    <w:rsid w:val="0FCA5AF5"/>
    <w:rsid w:val="0FCD487B"/>
    <w:rsid w:val="0FD079FE"/>
    <w:rsid w:val="0FD11893"/>
    <w:rsid w:val="0FD15480"/>
    <w:rsid w:val="0FD6518B"/>
    <w:rsid w:val="0FD9288C"/>
    <w:rsid w:val="0FE2319C"/>
    <w:rsid w:val="0FE72944"/>
    <w:rsid w:val="0FEA3E2B"/>
    <w:rsid w:val="0FFB7A5A"/>
    <w:rsid w:val="0FFF254C"/>
    <w:rsid w:val="10013A51"/>
    <w:rsid w:val="10045BDC"/>
    <w:rsid w:val="10067ED8"/>
    <w:rsid w:val="101626F1"/>
    <w:rsid w:val="101A497B"/>
    <w:rsid w:val="101A6B79"/>
    <w:rsid w:val="101D7AFE"/>
    <w:rsid w:val="10231A07"/>
    <w:rsid w:val="10254F0A"/>
    <w:rsid w:val="1026298B"/>
    <w:rsid w:val="102C4895"/>
    <w:rsid w:val="102F5819"/>
    <w:rsid w:val="1030329B"/>
    <w:rsid w:val="10352221"/>
    <w:rsid w:val="103C4B2F"/>
    <w:rsid w:val="10437979"/>
    <w:rsid w:val="1044187D"/>
    <w:rsid w:val="10460CC2"/>
    <w:rsid w:val="104963C3"/>
    <w:rsid w:val="104C2BCB"/>
    <w:rsid w:val="104D0DF6"/>
    <w:rsid w:val="104E02CD"/>
    <w:rsid w:val="104F3B50"/>
    <w:rsid w:val="105276E7"/>
    <w:rsid w:val="10537FD8"/>
    <w:rsid w:val="105D5064"/>
    <w:rsid w:val="106B567E"/>
    <w:rsid w:val="106D0B81"/>
    <w:rsid w:val="106E6603"/>
    <w:rsid w:val="10701B06"/>
    <w:rsid w:val="10715F61"/>
    <w:rsid w:val="10732A8B"/>
    <w:rsid w:val="10733249"/>
    <w:rsid w:val="10755F8E"/>
    <w:rsid w:val="107D6C1D"/>
    <w:rsid w:val="108252A3"/>
    <w:rsid w:val="1087172B"/>
    <w:rsid w:val="1087681D"/>
    <w:rsid w:val="108D3635"/>
    <w:rsid w:val="109158BE"/>
    <w:rsid w:val="10961D46"/>
    <w:rsid w:val="10A357D8"/>
    <w:rsid w:val="10A5455F"/>
    <w:rsid w:val="10AB2BE5"/>
    <w:rsid w:val="10AE3B69"/>
    <w:rsid w:val="10B2256F"/>
    <w:rsid w:val="10B35A73"/>
    <w:rsid w:val="10C07307"/>
    <w:rsid w:val="10D609BD"/>
    <w:rsid w:val="10D727AF"/>
    <w:rsid w:val="10DF343F"/>
    <w:rsid w:val="10E0563D"/>
    <w:rsid w:val="10E130BF"/>
    <w:rsid w:val="10E243C3"/>
    <w:rsid w:val="10E33349"/>
    <w:rsid w:val="10E93D4E"/>
    <w:rsid w:val="10EE23D4"/>
    <w:rsid w:val="10F2465E"/>
    <w:rsid w:val="10F90765"/>
    <w:rsid w:val="10FC4F6D"/>
    <w:rsid w:val="10FE4DF8"/>
    <w:rsid w:val="11096801"/>
    <w:rsid w:val="110C1984"/>
    <w:rsid w:val="110C7C74"/>
    <w:rsid w:val="110E4E87"/>
    <w:rsid w:val="11154812"/>
    <w:rsid w:val="11165B17"/>
    <w:rsid w:val="111A0C9A"/>
    <w:rsid w:val="111B1F9F"/>
    <w:rsid w:val="112C7CBB"/>
    <w:rsid w:val="112D07CA"/>
    <w:rsid w:val="113066C1"/>
    <w:rsid w:val="11337646"/>
    <w:rsid w:val="1137604C"/>
    <w:rsid w:val="113C7F55"/>
    <w:rsid w:val="113E4E57"/>
    <w:rsid w:val="114143DD"/>
    <w:rsid w:val="11460865"/>
    <w:rsid w:val="114640E8"/>
    <w:rsid w:val="114C5FF1"/>
    <w:rsid w:val="11527EFA"/>
    <w:rsid w:val="11574A55"/>
    <w:rsid w:val="11576580"/>
    <w:rsid w:val="11591C24"/>
    <w:rsid w:val="115C2A08"/>
    <w:rsid w:val="1168209E"/>
    <w:rsid w:val="11701E76"/>
    <w:rsid w:val="11703DD4"/>
    <w:rsid w:val="11743932"/>
    <w:rsid w:val="117748B7"/>
    <w:rsid w:val="11786AB5"/>
    <w:rsid w:val="118151C6"/>
    <w:rsid w:val="118839A1"/>
    <w:rsid w:val="118947D1"/>
    <w:rsid w:val="118F66DA"/>
    <w:rsid w:val="11985027"/>
    <w:rsid w:val="119A0B4E"/>
    <w:rsid w:val="11A46680"/>
    <w:rsid w:val="11A61B83"/>
    <w:rsid w:val="11AD6755"/>
    <w:rsid w:val="11B11FA9"/>
    <w:rsid w:val="11B25995"/>
    <w:rsid w:val="11B33417"/>
    <w:rsid w:val="11B40E99"/>
    <w:rsid w:val="11B4471C"/>
    <w:rsid w:val="11B83D6D"/>
    <w:rsid w:val="11B95320"/>
    <w:rsid w:val="11B97751"/>
    <w:rsid w:val="11BA2DA2"/>
    <w:rsid w:val="11BC3D26"/>
    <w:rsid w:val="11BC62A5"/>
    <w:rsid w:val="11BD4CB3"/>
    <w:rsid w:val="11C87B39"/>
    <w:rsid w:val="11CA303C"/>
    <w:rsid w:val="11D007C9"/>
    <w:rsid w:val="11D85BD5"/>
    <w:rsid w:val="11E703EE"/>
    <w:rsid w:val="11E85E6F"/>
    <w:rsid w:val="11E9006E"/>
    <w:rsid w:val="11EB6DF4"/>
    <w:rsid w:val="11F41C82"/>
    <w:rsid w:val="11FD2592"/>
    <w:rsid w:val="12047144"/>
    <w:rsid w:val="12117034"/>
    <w:rsid w:val="12184440"/>
    <w:rsid w:val="12191EC2"/>
    <w:rsid w:val="121962C3"/>
    <w:rsid w:val="121E41EC"/>
    <w:rsid w:val="122733D6"/>
    <w:rsid w:val="122A215C"/>
    <w:rsid w:val="12375BEF"/>
    <w:rsid w:val="123C2076"/>
    <w:rsid w:val="123E1747"/>
    <w:rsid w:val="123F0A7C"/>
    <w:rsid w:val="12402E84"/>
    <w:rsid w:val="12404300"/>
    <w:rsid w:val="124C5B94"/>
    <w:rsid w:val="12504B4F"/>
    <w:rsid w:val="1254771D"/>
    <w:rsid w:val="1255519F"/>
    <w:rsid w:val="125629DD"/>
    <w:rsid w:val="125D38B0"/>
    <w:rsid w:val="1266673E"/>
    <w:rsid w:val="126B2BC5"/>
    <w:rsid w:val="1273087D"/>
    <w:rsid w:val="127C66E3"/>
    <w:rsid w:val="12801757"/>
    <w:rsid w:val="1282606E"/>
    <w:rsid w:val="12833AF0"/>
    <w:rsid w:val="1285376F"/>
    <w:rsid w:val="128620B0"/>
    <w:rsid w:val="12976F0D"/>
    <w:rsid w:val="129A3715"/>
    <w:rsid w:val="129B5913"/>
    <w:rsid w:val="12A2529E"/>
    <w:rsid w:val="12A365A3"/>
    <w:rsid w:val="12A51AA6"/>
    <w:rsid w:val="12AA012C"/>
    <w:rsid w:val="12AE23B5"/>
    <w:rsid w:val="12C235D4"/>
    <w:rsid w:val="12C32D62"/>
    <w:rsid w:val="12C46AD7"/>
    <w:rsid w:val="12D106C9"/>
    <w:rsid w:val="12D82A7F"/>
    <w:rsid w:val="12D85778"/>
    <w:rsid w:val="12EA4799"/>
    <w:rsid w:val="12F4756B"/>
    <w:rsid w:val="12F627A9"/>
    <w:rsid w:val="12FE59B8"/>
    <w:rsid w:val="130030B9"/>
    <w:rsid w:val="130A724C"/>
    <w:rsid w:val="130D494D"/>
    <w:rsid w:val="13126856"/>
    <w:rsid w:val="13180760"/>
    <w:rsid w:val="13183FE3"/>
    <w:rsid w:val="131C29E9"/>
    <w:rsid w:val="132248F2"/>
    <w:rsid w:val="13267A75"/>
    <w:rsid w:val="132754F7"/>
    <w:rsid w:val="132C0C3F"/>
    <w:rsid w:val="132D2C84"/>
    <w:rsid w:val="133F61FB"/>
    <w:rsid w:val="1346162F"/>
    <w:rsid w:val="13465DAC"/>
    <w:rsid w:val="134A6659"/>
    <w:rsid w:val="134C3538"/>
    <w:rsid w:val="13502F27"/>
    <w:rsid w:val="135350C1"/>
    <w:rsid w:val="136278DA"/>
    <w:rsid w:val="136B2768"/>
    <w:rsid w:val="136E12C6"/>
    <w:rsid w:val="13702473"/>
    <w:rsid w:val="13725976"/>
    <w:rsid w:val="13740E79"/>
    <w:rsid w:val="13767449"/>
    <w:rsid w:val="13771DFE"/>
    <w:rsid w:val="13806921"/>
    <w:rsid w:val="13825653"/>
    <w:rsid w:val="138A5A29"/>
    <w:rsid w:val="138C2C9D"/>
    <w:rsid w:val="139A32B7"/>
    <w:rsid w:val="139C2C55"/>
    <w:rsid w:val="139E1CBE"/>
    <w:rsid w:val="13A43BC7"/>
    <w:rsid w:val="13A825CD"/>
    <w:rsid w:val="13A838AD"/>
    <w:rsid w:val="13B079DA"/>
    <w:rsid w:val="13B448C6"/>
    <w:rsid w:val="13B67364"/>
    <w:rsid w:val="13BC126E"/>
    <w:rsid w:val="13BE4771"/>
    <w:rsid w:val="13BF2C54"/>
    <w:rsid w:val="13C945E3"/>
    <w:rsid w:val="13CB1888"/>
    <w:rsid w:val="13D6569B"/>
    <w:rsid w:val="13D9661F"/>
    <w:rsid w:val="13DA27D9"/>
    <w:rsid w:val="13DA7395"/>
    <w:rsid w:val="13DC75A4"/>
    <w:rsid w:val="13DD17A2"/>
    <w:rsid w:val="13DE4BA4"/>
    <w:rsid w:val="13DE7224"/>
    <w:rsid w:val="13E61AA9"/>
    <w:rsid w:val="13E75935"/>
    <w:rsid w:val="13EA433B"/>
    <w:rsid w:val="13EB1DBD"/>
    <w:rsid w:val="13ED49E3"/>
    <w:rsid w:val="13F11F07"/>
    <w:rsid w:val="13F16941"/>
    <w:rsid w:val="13F371C9"/>
    <w:rsid w:val="13F56E49"/>
    <w:rsid w:val="13F913EA"/>
    <w:rsid w:val="140838EB"/>
    <w:rsid w:val="140E57F5"/>
    <w:rsid w:val="14113450"/>
    <w:rsid w:val="14142F81"/>
    <w:rsid w:val="14155180"/>
    <w:rsid w:val="141A74A2"/>
    <w:rsid w:val="141B290C"/>
    <w:rsid w:val="1420103F"/>
    <w:rsid w:val="14217BBB"/>
    <w:rsid w:val="1423579A"/>
    <w:rsid w:val="142F15AD"/>
    <w:rsid w:val="143037AB"/>
    <w:rsid w:val="14310F0B"/>
    <w:rsid w:val="143769B9"/>
    <w:rsid w:val="143D2AC1"/>
    <w:rsid w:val="14453750"/>
    <w:rsid w:val="144611D2"/>
    <w:rsid w:val="144733D0"/>
    <w:rsid w:val="144D2D5B"/>
    <w:rsid w:val="145A45EF"/>
    <w:rsid w:val="145F42FA"/>
    <w:rsid w:val="146141DF"/>
    <w:rsid w:val="14636A32"/>
    <w:rsid w:val="146808D1"/>
    <w:rsid w:val="14684C71"/>
    <w:rsid w:val="14751D21"/>
    <w:rsid w:val="147A61A9"/>
    <w:rsid w:val="14834D35"/>
    <w:rsid w:val="148A2BC0"/>
    <w:rsid w:val="148E15C6"/>
    <w:rsid w:val="1491254B"/>
    <w:rsid w:val="149312D1"/>
    <w:rsid w:val="14935A4E"/>
    <w:rsid w:val="149669D2"/>
    <w:rsid w:val="149F50E4"/>
    <w:rsid w:val="14A511EB"/>
    <w:rsid w:val="14A54A6E"/>
    <w:rsid w:val="14A97BF1"/>
    <w:rsid w:val="14AA5673"/>
    <w:rsid w:val="14AC43F9"/>
    <w:rsid w:val="14AD1E7B"/>
    <w:rsid w:val="14B66F07"/>
    <w:rsid w:val="14BA370F"/>
    <w:rsid w:val="14BC4694"/>
    <w:rsid w:val="14BE4314"/>
    <w:rsid w:val="14BF21A2"/>
    <w:rsid w:val="14C07817"/>
    <w:rsid w:val="14D72CBF"/>
    <w:rsid w:val="14D75996"/>
    <w:rsid w:val="14E754D8"/>
    <w:rsid w:val="14EE06E6"/>
    <w:rsid w:val="14F13869"/>
    <w:rsid w:val="14F212EA"/>
    <w:rsid w:val="14F5226F"/>
    <w:rsid w:val="14F75772"/>
    <w:rsid w:val="15067F8B"/>
    <w:rsid w:val="15075A0D"/>
    <w:rsid w:val="150A6991"/>
    <w:rsid w:val="150F2E19"/>
    <w:rsid w:val="15115DD4"/>
    <w:rsid w:val="151627A4"/>
    <w:rsid w:val="15185CA7"/>
    <w:rsid w:val="152D5C4C"/>
    <w:rsid w:val="153455D7"/>
    <w:rsid w:val="153C0465"/>
    <w:rsid w:val="15427F5D"/>
    <w:rsid w:val="15437366"/>
    <w:rsid w:val="154A777B"/>
    <w:rsid w:val="15535E8C"/>
    <w:rsid w:val="155E1C9F"/>
    <w:rsid w:val="1560191E"/>
    <w:rsid w:val="15686D2B"/>
    <w:rsid w:val="156A5AB1"/>
    <w:rsid w:val="156C0FB4"/>
    <w:rsid w:val="15763AC2"/>
    <w:rsid w:val="15782848"/>
    <w:rsid w:val="157B7F4A"/>
    <w:rsid w:val="157E0ECE"/>
    <w:rsid w:val="15840859"/>
    <w:rsid w:val="15851903"/>
    <w:rsid w:val="158A0564"/>
    <w:rsid w:val="15961DF8"/>
    <w:rsid w:val="15992D7D"/>
    <w:rsid w:val="159B6280"/>
    <w:rsid w:val="15A54611"/>
    <w:rsid w:val="15A75916"/>
    <w:rsid w:val="15A877A4"/>
    <w:rsid w:val="15A90E19"/>
    <w:rsid w:val="15AB431C"/>
    <w:rsid w:val="15AE5214"/>
    <w:rsid w:val="15AF4F21"/>
    <w:rsid w:val="15B413A8"/>
    <w:rsid w:val="15B4777A"/>
    <w:rsid w:val="15BB0D33"/>
    <w:rsid w:val="15BF2FBD"/>
    <w:rsid w:val="15C106BE"/>
    <w:rsid w:val="15C4191C"/>
    <w:rsid w:val="15C80049"/>
    <w:rsid w:val="15C838CC"/>
    <w:rsid w:val="15CB0FCE"/>
    <w:rsid w:val="15CB4851"/>
    <w:rsid w:val="15CC22D2"/>
    <w:rsid w:val="15CD7D54"/>
    <w:rsid w:val="15D00CD9"/>
    <w:rsid w:val="15D5735F"/>
    <w:rsid w:val="15D767BC"/>
    <w:rsid w:val="15D95D65"/>
    <w:rsid w:val="15DB1268"/>
    <w:rsid w:val="15DB706A"/>
    <w:rsid w:val="15E31EF8"/>
    <w:rsid w:val="15E9057E"/>
    <w:rsid w:val="15EA5FFF"/>
    <w:rsid w:val="15EC2A68"/>
    <w:rsid w:val="15EF5D0A"/>
    <w:rsid w:val="15F0598A"/>
    <w:rsid w:val="15F12DDD"/>
    <w:rsid w:val="15F65952"/>
    <w:rsid w:val="15F70B98"/>
    <w:rsid w:val="16057EAE"/>
    <w:rsid w:val="160968B4"/>
    <w:rsid w:val="161426C7"/>
    <w:rsid w:val="16155F4A"/>
    <w:rsid w:val="161810CD"/>
    <w:rsid w:val="161A7E53"/>
    <w:rsid w:val="16263C66"/>
    <w:rsid w:val="162716E7"/>
    <w:rsid w:val="162D6610"/>
    <w:rsid w:val="16321C77"/>
    <w:rsid w:val="163267EC"/>
    <w:rsid w:val="163B0388"/>
    <w:rsid w:val="163D202E"/>
    <w:rsid w:val="163D5A89"/>
    <w:rsid w:val="163F6D8E"/>
    <w:rsid w:val="16414490"/>
    <w:rsid w:val="164C6050"/>
    <w:rsid w:val="164E5D24"/>
    <w:rsid w:val="16564333"/>
    <w:rsid w:val="16576633"/>
    <w:rsid w:val="16585CC2"/>
    <w:rsid w:val="165D633E"/>
    <w:rsid w:val="166041CE"/>
    <w:rsid w:val="166D65D9"/>
    <w:rsid w:val="16736D7C"/>
    <w:rsid w:val="167417E7"/>
    <w:rsid w:val="1680307B"/>
    <w:rsid w:val="168077F8"/>
    <w:rsid w:val="1682461F"/>
    <w:rsid w:val="168461FE"/>
    <w:rsid w:val="16864F84"/>
    <w:rsid w:val="16880487"/>
    <w:rsid w:val="168A398A"/>
    <w:rsid w:val="16931D8B"/>
    <w:rsid w:val="16980722"/>
    <w:rsid w:val="169A03A1"/>
    <w:rsid w:val="169C7F0D"/>
    <w:rsid w:val="16A3322F"/>
    <w:rsid w:val="16B02545"/>
    <w:rsid w:val="16B40F4B"/>
    <w:rsid w:val="16B67CD2"/>
    <w:rsid w:val="16B831D5"/>
    <w:rsid w:val="16B87951"/>
    <w:rsid w:val="16C624EA"/>
    <w:rsid w:val="16C76365"/>
    <w:rsid w:val="16D4115B"/>
    <w:rsid w:val="16D47282"/>
    <w:rsid w:val="16E11D5E"/>
    <w:rsid w:val="16E21E1B"/>
    <w:rsid w:val="16E31A9A"/>
    <w:rsid w:val="16E3789C"/>
    <w:rsid w:val="16E4531E"/>
    <w:rsid w:val="16ED14A3"/>
    <w:rsid w:val="16F26832"/>
    <w:rsid w:val="16F91A40"/>
    <w:rsid w:val="17041FCF"/>
    <w:rsid w:val="17060D55"/>
    <w:rsid w:val="171112E5"/>
    <w:rsid w:val="17126D66"/>
    <w:rsid w:val="1714006B"/>
    <w:rsid w:val="171844F3"/>
    <w:rsid w:val="171A491F"/>
    <w:rsid w:val="172F4118"/>
    <w:rsid w:val="17332B1E"/>
    <w:rsid w:val="173C0037"/>
    <w:rsid w:val="174278B6"/>
    <w:rsid w:val="174540BD"/>
    <w:rsid w:val="17461B3F"/>
    <w:rsid w:val="17482C4F"/>
    <w:rsid w:val="17487240"/>
    <w:rsid w:val="174E307B"/>
    <w:rsid w:val="17507ED0"/>
    <w:rsid w:val="1757785B"/>
    <w:rsid w:val="176B039E"/>
    <w:rsid w:val="176E3BFD"/>
    <w:rsid w:val="177A3293"/>
    <w:rsid w:val="177A5491"/>
    <w:rsid w:val="177E1C99"/>
    <w:rsid w:val="177F771A"/>
    <w:rsid w:val="1780739A"/>
    <w:rsid w:val="17833BA2"/>
    <w:rsid w:val="178621D3"/>
    <w:rsid w:val="17864B27"/>
    <w:rsid w:val="178B0FAF"/>
    <w:rsid w:val="178C31AD"/>
    <w:rsid w:val="1790359D"/>
    <w:rsid w:val="179363BB"/>
    <w:rsid w:val="179518BE"/>
    <w:rsid w:val="17A600E3"/>
    <w:rsid w:val="17AA1863"/>
    <w:rsid w:val="17AD6F65"/>
    <w:rsid w:val="17B0596B"/>
    <w:rsid w:val="17B51DF3"/>
    <w:rsid w:val="17B752F6"/>
    <w:rsid w:val="17BC177E"/>
    <w:rsid w:val="17BC5001"/>
    <w:rsid w:val="17BF2702"/>
    <w:rsid w:val="17C918FB"/>
    <w:rsid w:val="17D271A5"/>
    <w:rsid w:val="17D62327"/>
    <w:rsid w:val="17DE2FB7"/>
    <w:rsid w:val="17E13F3C"/>
    <w:rsid w:val="17E1613A"/>
    <w:rsid w:val="17E27FC0"/>
    <w:rsid w:val="17E838C7"/>
    <w:rsid w:val="17E85AC5"/>
    <w:rsid w:val="17E91348"/>
    <w:rsid w:val="17F21C58"/>
    <w:rsid w:val="17F4515B"/>
    <w:rsid w:val="17F6065E"/>
    <w:rsid w:val="17FB4AE6"/>
    <w:rsid w:val="18003DB6"/>
    <w:rsid w:val="180169EF"/>
    <w:rsid w:val="180453F5"/>
    <w:rsid w:val="18083DFB"/>
    <w:rsid w:val="180E5D05"/>
    <w:rsid w:val="180F3786"/>
    <w:rsid w:val="180F4E63"/>
    <w:rsid w:val="1812470B"/>
    <w:rsid w:val="18163111"/>
    <w:rsid w:val="18194096"/>
    <w:rsid w:val="181C187B"/>
    <w:rsid w:val="181C61FD"/>
    <w:rsid w:val="18214D25"/>
    <w:rsid w:val="1825592A"/>
    <w:rsid w:val="182A5635"/>
    <w:rsid w:val="182B7833"/>
    <w:rsid w:val="182F038D"/>
    <w:rsid w:val="183304C3"/>
    <w:rsid w:val="18340143"/>
    <w:rsid w:val="18376EC9"/>
    <w:rsid w:val="184461DF"/>
    <w:rsid w:val="18573B7A"/>
    <w:rsid w:val="18633210"/>
    <w:rsid w:val="18664195"/>
    <w:rsid w:val="18675D1B"/>
    <w:rsid w:val="186A061D"/>
    <w:rsid w:val="186C3B20"/>
    <w:rsid w:val="187334AB"/>
    <w:rsid w:val="18736D2E"/>
    <w:rsid w:val="18752231"/>
    <w:rsid w:val="187E50BF"/>
    <w:rsid w:val="187F72BD"/>
    <w:rsid w:val="188411C6"/>
    <w:rsid w:val="188C1E56"/>
    <w:rsid w:val="189439DF"/>
    <w:rsid w:val="18A03075"/>
    <w:rsid w:val="18A43C7A"/>
    <w:rsid w:val="18A62A00"/>
    <w:rsid w:val="18AA1406"/>
    <w:rsid w:val="18AF200B"/>
    <w:rsid w:val="18BF77C3"/>
    <w:rsid w:val="18C41FB0"/>
    <w:rsid w:val="18CF0341"/>
    <w:rsid w:val="18DA2CB1"/>
    <w:rsid w:val="18DE55EE"/>
    <w:rsid w:val="18DF3E5F"/>
    <w:rsid w:val="18E02B21"/>
    <w:rsid w:val="18E32865"/>
    <w:rsid w:val="18EA23E1"/>
    <w:rsid w:val="18EE0BF6"/>
    <w:rsid w:val="18F062F7"/>
    <w:rsid w:val="19047454"/>
    <w:rsid w:val="190817A0"/>
    <w:rsid w:val="190E58A7"/>
    <w:rsid w:val="191004BC"/>
    <w:rsid w:val="19100DAA"/>
    <w:rsid w:val="1910462E"/>
    <w:rsid w:val="191579D7"/>
    <w:rsid w:val="191F13C5"/>
    <w:rsid w:val="191F35C3"/>
    <w:rsid w:val="192432CE"/>
    <w:rsid w:val="192F07A2"/>
    <w:rsid w:val="192F165F"/>
    <w:rsid w:val="19333488"/>
    <w:rsid w:val="193C2EF3"/>
    <w:rsid w:val="193D41F8"/>
    <w:rsid w:val="19441605"/>
    <w:rsid w:val="19445D81"/>
    <w:rsid w:val="19453803"/>
    <w:rsid w:val="194959A7"/>
    <w:rsid w:val="194D0C0F"/>
    <w:rsid w:val="194F425A"/>
    <w:rsid w:val="1954059A"/>
    <w:rsid w:val="195B59A7"/>
    <w:rsid w:val="19622BC3"/>
    <w:rsid w:val="19644A25"/>
    <w:rsid w:val="19663D38"/>
    <w:rsid w:val="1968723B"/>
    <w:rsid w:val="19694CBC"/>
    <w:rsid w:val="196D6F46"/>
    <w:rsid w:val="196E49C7"/>
    <w:rsid w:val="19740ACF"/>
    <w:rsid w:val="19840D69"/>
    <w:rsid w:val="198466C1"/>
    <w:rsid w:val="198A0A74"/>
    <w:rsid w:val="198B64F6"/>
    <w:rsid w:val="198C189C"/>
    <w:rsid w:val="198D747A"/>
    <w:rsid w:val="19962308"/>
    <w:rsid w:val="19A570A0"/>
    <w:rsid w:val="19A838A8"/>
    <w:rsid w:val="19AE79AF"/>
    <w:rsid w:val="19B64DBC"/>
    <w:rsid w:val="19BD7FCA"/>
    <w:rsid w:val="19C7635B"/>
    <w:rsid w:val="19C9185E"/>
    <w:rsid w:val="19CB4D61"/>
    <w:rsid w:val="19CD0264"/>
    <w:rsid w:val="19CD20AF"/>
    <w:rsid w:val="19CD49E1"/>
    <w:rsid w:val="19CE5CE6"/>
    <w:rsid w:val="19D06230"/>
    <w:rsid w:val="19D133E7"/>
    <w:rsid w:val="19D51732"/>
    <w:rsid w:val="19D550BC"/>
    <w:rsid w:val="19D865F5"/>
    <w:rsid w:val="19DD4C7B"/>
    <w:rsid w:val="19E01483"/>
    <w:rsid w:val="19E13681"/>
    <w:rsid w:val="19E31528"/>
    <w:rsid w:val="19F426A2"/>
    <w:rsid w:val="19F50124"/>
    <w:rsid w:val="19F84C10"/>
    <w:rsid w:val="19FC540D"/>
    <w:rsid w:val="19FD5A32"/>
    <w:rsid w:val="1A0119B8"/>
    <w:rsid w:val="1A081343"/>
    <w:rsid w:val="1A0B22C7"/>
    <w:rsid w:val="1A0E0CCD"/>
    <w:rsid w:val="1A111C52"/>
    <w:rsid w:val="1A156FF8"/>
    <w:rsid w:val="1A16195D"/>
    <w:rsid w:val="1A1815DD"/>
    <w:rsid w:val="1A1D12E8"/>
    <w:rsid w:val="1A264176"/>
    <w:rsid w:val="1A281877"/>
    <w:rsid w:val="1A287679"/>
    <w:rsid w:val="1A2B27FC"/>
    <w:rsid w:val="1A2C027D"/>
    <w:rsid w:val="1A317F88"/>
    <w:rsid w:val="1A337C08"/>
    <w:rsid w:val="1A340F0D"/>
    <w:rsid w:val="1A391B12"/>
    <w:rsid w:val="1A3F149C"/>
    <w:rsid w:val="1A404D20"/>
    <w:rsid w:val="1A466C29"/>
    <w:rsid w:val="1A4729C7"/>
    <w:rsid w:val="1A4768A9"/>
    <w:rsid w:val="1A5326BB"/>
    <w:rsid w:val="1A566EC3"/>
    <w:rsid w:val="1A6000FA"/>
    <w:rsid w:val="1A6361D9"/>
    <w:rsid w:val="1A6374B3"/>
    <w:rsid w:val="1A734275"/>
    <w:rsid w:val="1A79617E"/>
    <w:rsid w:val="1A861C11"/>
    <w:rsid w:val="1A892B95"/>
    <w:rsid w:val="1A8C0E12"/>
    <w:rsid w:val="1A8E4A9F"/>
    <w:rsid w:val="1A9246CF"/>
    <w:rsid w:val="1A930F26"/>
    <w:rsid w:val="1A940376"/>
    <w:rsid w:val="1A967CAD"/>
    <w:rsid w:val="1A9B10DB"/>
    <w:rsid w:val="1A9D2335"/>
    <w:rsid w:val="1A9E72B8"/>
    <w:rsid w:val="1AA0603E"/>
    <w:rsid w:val="1AA930CA"/>
    <w:rsid w:val="1AAA694D"/>
    <w:rsid w:val="1AB66CBD"/>
    <w:rsid w:val="1AB75A02"/>
    <w:rsid w:val="1ABA7CDE"/>
    <w:rsid w:val="1AC31A76"/>
    <w:rsid w:val="1AC92E7A"/>
    <w:rsid w:val="1AD31D10"/>
    <w:rsid w:val="1AD73F99"/>
    <w:rsid w:val="1ADC1D8D"/>
    <w:rsid w:val="1AE60D31"/>
    <w:rsid w:val="1AEB3784"/>
    <w:rsid w:val="1AED01EB"/>
    <w:rsid w:val="1AEF5DBD"/>
    <w:rsid w:val="1AF077EF"/>
    <w:rsid w:val="1AF5354A"/>
    <w:rsid w:val="1AFE05D6"/>
    <w:rsid w:val="1AFE63D7"/>
    <w:rsid w:val="1B091FFE"/>
    <w:rsid w:val="1B096967"/>
    <w:rsid w:val="1B0F622D"/>
    <w:rsid w:val="1B1117F5"/>
    <w:rsid w:val="1B1C3409"/>
    <w:rsid w:val="1B201E0F"/>
    <w:rsid w:val="1B2811A1"/>
    <w:rsid w:val="1B3063A9"/>
    <w:rsid w:val="1B3939DF"/>
    <w:rsid w:val="1B3B043B"/>
    <w:rsid w:val="1B3D71C1"/>
    <w:rsid w:val="1B450D4A"/>
    <w:rsid w:val="1B4F57C2"/>
    <w:rsid w:val="1B516EFF"/>
    <w:rsid w:val="1B546DE6"/>
    <w:rsid w:val="1B5744E8"/>
    <w:rsid w:val="1B5D6D08"/>
    <w:rsid w:val="1B6260FC"/>
    <w:rsid w:val="1B644019"/>
    <w:rsid w:val="1B697C85"/>
    <w:rsid w:val="1B6D1F0E"/>
    <w:rsid w:val="1B6D3C90"/>
    <w:rsid w:val="1B715091"/>
    <w:rsid w:val="1B751B6D"/>
    <w:rsid w:val="1B753A98"/>
    <w:rsid w:val="1B78249E"/>
    <w:rsid w:val="1B7D7150"/>
    <w:rsid w:val="1B7E43A7"/>
    <w:rsid w:val="1B8229A5"/>
    <w:rsid w:val="1B872AB8"/>
    <w:rsid w:val="1B967850"/>
    <w:rsid w:val="1B9C71DA"/>
    <w:rsid w:val="1BA21334"/>
    <w:rsid w:val="1BA25642"/>
    <w:rsid w:val="1BA445E7"/>
    <w:rsid w:val="1BA558EC"/>
    <w:rsid w:val="1BA63042"/>
    <w:rsid w:val="1BA869C7"/>
    <w:rsid w:val="1BAE1B7F"/>
    <w:rsid w:val="1BB03C7D"/>
    <w:rsid w:val="1BB44881"/>
    <w:rsid w:val="1BB67D84"/>
    <w:rsid w:val="1BB9458C"/>
    <w:rsid w:val="1BC03F17"/>
    <w:rsid w:val="1BC738A2"/>
    <w:rsid w:val="1BCE322D"/>
    <w:rsid w:val="1BD0092E"/>
    <w:rsid w:val="1BD47334"/>
    <w:rsid w:val="1BD50639"/>
    <w:rsid w:val="1BDA268B"/>
    <w:rsid w:val="1BDD21C2"/>
    <w:rsid w:val="1BE53E44"/>
    <w:rsid w:val="1BEE218B"/>
    <w:rsid w:val="1BEE3761"/>
    <w:rsid w:val="1BF4566B"/>
    <w:rsid w:val="1BF84071"/>
    <w:rsid w:val="1C00147D"/>
    <w:rsid w:val="1C022402"/>
    <w:rsid w:val="1C042883"/>
    <w:rsid w:val="1C0A3092"/>
    <w:rsid w:val="1C170DF4"/>
    <w:rsid w:val="1C1B332C"/>
    <w:rsid w:val="1C201CFA"/>
    <w:rsid w:val="1C2071AA"/>
    <w:rsid w:val="1C217434"/>
    <w:rsid w:val="1C273F78"/>
    <w:rsid w:val="1C294840"/>
    <w:rsid w:val="1C2B267E"/>
    <w:rsid w:val="1C3041CB"/>
    <w:rsid w:val="1C32514F"/>
    <w:rsid w:val="1C3276CE"/>
    <w:rsid w:val="1C3560D4"/>
    <w:rsid w:val="1C361957"/>
    <w:rsid w:val="1C4353EA"/>
    <w:rsid w:val="1C442E6B"/>
    <w:rsid w:val="1C46636E"/>
    <w:rsid w:val="1C473DF0"/>
    <w:rsid w:val="1C481872"/>
    <w:rsid w:val="1C512181"/>
    <w:rsid w:val="1C543106"/>
    <w:rsid w:val="1C561E8C"/>
    <w:rsid w:val="1C5E7298"/>
    <w:rsid w:val="1C60279C"/>
    <w:rsid w:val="1C61021D"/>
    <w:rsid w:val="1C6D25B9"/>
    <w:rsid w:val="1C7217BC"/>
    <w:rsid w:val="1C723340"/>
    <w:rsid w:val="1C73723E"/>
    <w:rsid w:val="1C7723C1"/>
    <w:rsid w:val="1C7741EF"/>
    <w:rsid w:val="1C7903AF"/>
    <w:rsid w:val="1C7A0F4E"/>
    <w:rsid w:val="1C816553"/>
    <w:rsid w:val="1C8361D3"/>
    <w:rsid w:val="1C851519"/>
    <w:rsid w:val="1C92426F"/>
    <w:rsid w:val="1C931CF1"/>
    <w:rsid w:val="1C93646E"/>
    <w:rsid w:val="1C943EEF"/>
    <w:rsid w:val="1C986179"/>
    <w:rsid w:val="1C996670"/>
    <w:rsid w:val="1C9F4596"/>
    <w:rsid w:val="1C9F7D02"/>
    <w:rsid w:val="1CA03585"/>
    <w:rsid w:val="1CA11007"/>
    <w:rsid w:val="1CA13205"/>
    <w:rsid w:val="1CA36708"/>
    <w:rsid w:val="1CA82B90"/>
    <w:rsid w:val="1CB82E2A"/>
    <w:rsid w:val="1CBD2B35"/>
    <w:rsid w:val="1CC659C3"/>
    <w:rsid w:val="1CC71EBA"/>
    <w:rsid w:val="1CCB1E4B"/>
    <w:rsid w:val="1CCC6F8F"/>
    <w:rsid w:val="1CD736DF"/>
    <w:rsid w:val="1CDD25B2"/>
    <w:rsid w:val="1CE01DF0"/>
    <w:rsid w:val="1CE76ACE"/>
    <w:rsid w:val="1CE871FD"/>
    <w:rsid w:val="1CEE3304"/>
    <w:rsid w:val="1CF06807"/>
    <w:rsid w:val="1CF21D0A"/>
    <w:rsid w:val="1CF52C8F"/>
    <w:rsid w:val="1D0253E4"/>
    <w:rsid w:val="1D143544"/>
    <w:rsid w:val="1D194148"/>
    <w:rsid w:val="1D270867"/>
    <w:rsid w:val="1D2910FF"/>
    <w:rsid w:val="1D3614FA"/>
    <w:rsid w:val="1D3C0749"/>
    <w:rsid w:val="1D3E1AFE"/>
    <w:rsid w:val="1D41530D"/>
    <w:rsid w:val="1D48051B"/>
    <w:rsid w:val="1D533029"/>
    <w:rsid w:val="1D5774B0"/>
    <w:rsid w:val="1D5C173A"/>
    <w:rsid w:val="1D605BC2"/>
    <w:rsid w:val="1D623FD6"/>
    <w:rsid w:val="1D664248"/>
    <w:rsid w:val="1D666535"/>
    <w:rsid w:val="1D68099A"/>
    <w:rsid w:val="1D6A2C4E"/>
    <w:rsid w:val="1D6C6151"/>
    <w:rsid w:val="1D6D3BD2"/>
    <w:rsid w:val="1D752371"/>
    <w:rsid w:val="1D75319D"/>
    <w:rsid w:val="1D7820E3"/>
    <w:rsid w:val="1D7F7370"/>
    <w:rsid w:val="1D847A10"/>
    <w:rsid w:val="1D854AFC"/>
    <w:rsid w:val="1D856CFB"/>
    <w:rsid w:val="1D8C2C2E"/>
    <w:rsid w:val="1D916391"/>
    <w:rsid w:val="1D99379D"/>
    <w:rsid w:val="1D9A12B8"/>
    <w:rsid w:val="1DA453B1"/>
    <w:rsid w:val="1DAF5941"/>
    <w:rsid w:val="1DB22E58"/>
    <w:rsid w:val="1DB84052"/>
    <w:rsid w:val="1DBB5B35"/>
    <w:rsid w:val="1DBD26D8"/>
    <w:rsid w:val="1DC323E3"/>
    <w:rsid w:val="1DC91D6E"/>
    <w:rsid w:val="1DCE2972"/>
    <w:rsid w:val="1DD304D3"/>
    <w:rsid w:val="1DD57D7F"/>
    <w:rsid w:val="1DDD0A0E"/>
    <w:rsid w:val="1DE13B91"/>
    <w:rsid w:val="1DE8351C"/>
    <w:rsid w:val="1DFB50CA"/>
    <w:rsid w:val="1DFE0F43"/>
    <w:rsid w:val="1E004446"/>
    <w:rsid w:val="1E0508CE"/>
    <w:rsid w:val="1E064512"/>
    <w:rsid w:val="1E070DE7"/>
    <w:rsid w:val="1E077654"/>
    <w:rsid w:val="1E0A4D56"/>
    <w:rsid w:val="1E0D155D"/>
    <w:rsid w:val="1E12625F"/>
    <w:rsid w:val="1E1B62F5"/>
    <w:rsid w:val="1E241183"/>
    <w:rsid w:val="1E2458FF"/>
    <w:rsid w:val="1E2F1712"/>
    <w:rsid w:val="1E2F2AC3"/>
    <w:rsid w:val="1E310498"/>
    <w:rsid w:val="1E330118"/>
    <w:rsid w:val="1E3D0A28"/>
    <w:rsid w:val="1E464BBA"/>
    <w:rsid w:val="1E48483A"/>
    <w:rsid w:val="1E485497"/>
    <w:rsid w:val="1E4A6A10"/>
    <w:rsid w:val="1E5176C8"/>
    <w:rsid w:val="1E53644F"/>
    <w:rsid w:val="1E66766E"/>
    <w:rsid w:val="1E6750EF"/>
    <w:rsid w:val="1E782E0B"/>
    <w:rsid w:val="1E7A4110"/>
    <w:rsid w:val="1E7D7293"/>
    <w:rsid w:val="1E7E6E29"/>
    <w:rsid w:val="1E826F9E"/>
    <w:rsid w:val="1E830638"/>
    <w:rsid w:val="1E8720C8"/>
    <w:rsid w:val="1E896929"/>
    <w:rsid w:val="1E8D00BC"/>
    <w:rsid w:val="1E95623E"/>
    <w:rsid w:val="1E9601BD"/>
    <w:rsid w:val="1E9656F2"/>
    <w:rsid w:val="1E996BC3"/>
    <w:rsid w:val="1E9D1D46"/>
    <w:rsid w:val="1E9E77C7"/>
    <w:rsid w:val="1EA261CE"/>
    <w:rsid w:val="1EA44D9C"/>
    <w:rsid w:val="1EAA6E5D"/>
    <w:rsid w:val="1EAC2360"/>
    <w:rsid w:val="1EB109E6"/>
    <w:rsid w:val="1EB1426A"/>
    <w:rsid w:val="1EC31F86"/>
    <w:rsid w:val="1EC34534"/>
    <w:rsid w:val="1EC91910"/>
    <w:rsid w:val="1ECA4BE9"/>
    <w:rsid w:val="1ED86D4C"/>
    <w:rsid w:val="1EDB2EB0"/>
    <w:rsid w:val="1EDB762C"/>
    <w:rsid w:val="1EDC0931"/>
    <w:rsid w:val="1EDD2F7B"/>
    <w:rsid w:val="1EE47F3C"/>
    <w:rsid w:val="1EE6343F"/>
    <w:rsid w:val="1EE70EC1"/>
    <w:rsid w:val="1EEB78C7"/>
    <w:rsid w:val="1EF30556"/>
    <w:rsid w:val="1EF501D6"/>
    <w:rsid w:val="1EF86BDC"/>
    <w:rsid w:val="1EFE68E7"/>
    <w:rsid w:val="1F020505"/>
    <w:rsid w:val="1F0506DA"/>
    <w:rsid w:val="1F0813F5"/>
    <w:rsid w:val="1F084C78"/>
    <w:rsid w:val="1F0C367F"/>
    <w:rsid w:val="1F0E32FE"/>
    <w:rsid w:val="1F0F0D80"/>
    <w:rsid w:val="1F15070B"/>
    <w:rsid w:val="1F16419B"/>
    <w:rsid w:val="1F1F3A88"/>
    <w:rsid w:val="1F1F489E"/>
    <w:rsid w:val="1F225822"/>
    <w:rsid w:val="1F235A9A"/>
    <w:rsid w:val="1F2C545F"/>
    <w:rsid w:val="1F3025BA"/>
    <w:rsid w:val="1F304B38"/>
    <w:rsid w:val="1F310CB4"/>
    <w:rsid w:val="1F3D76D1"/>
    <w:rsid w:val="1F3E5153"/>
    <w:rsid w:val="1F454ADD"/>
    <w:rsid w:val="1F466CDC"/>
    <w:rsid w:val="1F47475D"/>
    <w:rsid w:val="1F500596"/>
    <w:rsid w:val="1F507961"/>
    <w:rsid w:val="1F520570"/>
    <w:rsid w:val="1F523DF3"/>
    <w:rsid w:val="1F6423FF"/>
    <w:rsid w:val="1F695F97"/>
    <w:rsid w:val="1F6E7EA0"/>
    <w:rsid w:val="1F723023"/>
    <w:rsid w:val="1F7A3CB3"/>
    <w:rsid w:val="1F7B3932"/>
    <w:rsid w:val="1F7C13B4"/>
    <w:rsid w:val="1F864D75"/>
    <w:rsid w:val="1F8D4ED2"/>
    <w:rsid w:val="1F930BDA"/>
    <w:rsid w:val="1F984E09"/>
    <w:rsid w:val="1F9B1C69"/>
    <w:rsid w:val="1FA11974"/>
    <w:rsid w:val="1FA215F4"/>
    <w:rsid w:val="1FB75D16"/>
    <w:rsid w:val="1FB94A9C"/>
    <w:rsid w:val="1FBB471C"/>
    <w:rsid w:val="1FBD7C1F"/>
    <w:rsid w:val="1FBF69A5"/>
    <w:rsid w:val="1FC240A7"/>
    <w:rsid w:val="1FC7052F"/>
    <w:rsid w:val="1FC972B5"/>
    <w:rsid w:val="1FCA6F35"/>
    <w:rsid w:val="1FD22143"/>
    <w:rsid w:val="1FE245DC"/>
    <w:rsid w:val="1FE3205D"/>
    <w:rsid w:val="1FE82899"/>
    <w:rsid w:val="1FE93F66"/>
    <w:rsid w:val="1FEF16F3"/>
    <w:rsid w:val="1FF300F9"/>
    <w:rsid w:val="1FF50CC5"/>
    <w:rsid w:val="1FFA7A84"/>
    <w:rsid w:val="1FFF3F0C"/>
    <w:rsid w:val="20026B0C"/>
    <w:rsid w:val="200A35A2"/>
    <w:rsid w:val="200C6AA5"/>
    <w:rsid w:val="200D4526"/>
    <w:rsid w:val="200D706B"/>
    <w:rsid w:val="200E6725"/>
    <w:rsid w:val="201176A9"/>
    <w:rsid w:val="20163B31"/>
    <w:rsid w:val="201715B2"/>
    <w:rsid w:val="20190339"/>
    <w:rsid w:val="201C5124"/>
    <w:rsid w:val="201E69BF"/>
    <w:rsid w:val="201F7B62"/>
    <w:rsid w:val="20251BCD"/>
    <w:rsid w:val="20294D50"/>
    <w:rsid w:val="202A6055"/>
    <w:rsid w:val="203155A4"/>
    <w:rsid w:val="2033565F"/>
    <w:rsid w:val="203565E4"/>
    <w:rsid w:val="203901FA"/>
    <w:rsid w:val="20392DEC"/>
    <w:rsid w:val="203A38EA"/>
    <w:rsid w:val="203A6362"/>
    <w:rsid w:val="203C5F6F"/>
    <w:rsid w:val="203F6EF4"/>
    <w:rsid w:val="20454680"/>
    <w:rsid w:val="20481D81"/>
    <w:rsid w:val="204B0788"/>
    <w:rsid w:val="204B2D06"/>
    <w:rsid w:val="204C132C"/>
    <w:rsid w:val="204E750E"/>
    <w:rsid w:val="2050548B"/>
    <w:rsid w:val="20546E99"/>
    <w:rsid w:val="20664BB5"/>
    <w:rsid w:val="20695B39"/>
    <w:rsid w:val="20700D48"/>
    <w:rsid w:val="207167C9"/>
    <w:rsid w:val="20752C51"/>
    <w:rsid w:val="20791657"/>
    <w:rsid w:val="207C25DC"/>
    <w:rsid w:val="207E5971"/>
    <w:rsid w:val="207E5ADF"/>
    <w:rsid w:val="20856C13"/>
    <w:rsid w:val="208C6FF3"/>
    <w:rsid w:val="2093697E"/>
    <w:rsid w:val="20951E81"/>
    <w:rsid w:val="209D4D0F"/>
    <w:rsid w:val="20A4469A"/>
    <w:rsid w:val="20A67B9D"/>
    <w:rsid w:val="20AD0878"/>
    <w:rsid w:val="20B239AF"/>
    <w:rsid w:val="20B34CB4"/>
    <w:rsid w:val="20B42736"/>
    <w:rsid w:val="20BA463F"/>
    <w:rsid w:val="20BF6548"/>
    <w:rsid w:val="20C11A4B"/>
    <w:rsid w:val="20CC7DDC"/>
    <w:rsid w:val="20DC5E78"/>
    <w:rsid w:val="20F35A9E"/>
    <w:rsid w:val="20F56A22"/>
    <w:rsid w:val="20F87891"/>
    <w:rsid w:val="20FC2B2A"/>
    <w:rsid w:val="20FE18B0"/>
    <w:rsid w:val="210324B5"/>
    <w:rsid w:val="210821C0"/>
    <w:rsid w:val="2113274F"/>
    <w:rsid w:val="2114064B"/>
    <w:rsid w:val="211514D5"/>
    <w:rsid w:val="2116556C"/>
    <w:rsid w:val="21166F57"/>
    <w:rsid w:val="2118245A"/>
    <w:rsid w:val="211C305E"/>
    <w:rsid w:val="21330A85"/>
    <w:rsid w:val="2139298F"/>
    <w:rsid w:val="213D4C18"/>
    <w:rsid w:val="21405B9D"/>
    <w:rsid w:val="214C7431"/>
    <w:rsid w:val="214F4B32"/>
    <w:rsid w:val="21540FBA"/>
    <w:rsid w:val="215D7E45"/>
    <w:rsid w:val="216060D1"/>
    <w:rsid w:val="21625D51"/>
    <w:rsid w:val="21652559"/>
    <w:rsid w:val="216834DE"/>
    <w:rsid w:val="216A69E1"/>
    <w:rsid w:val="216B0BDF"/>
    <w:rsid w:val="217008EA"/>
    <w:rsid w:val="217B0E7A"/>
    <w:rsid w:val="217C0CE7"/>
    <w:rsid w:val="217D7C00"/>
    <w:rsid w:val="21831B09"/>
    <w:rsid w:val="219315A3"/>
    <w:rsid w:val="219828B0"/>
    <w:rsid w:val="21985B8F"/>
    <w:rsid w:val="21A06EBB"/>
    <w:rsid w:val="21A4203E"/>
    <w:rsid w:val="21A60DC4"/>
    <w:rsid w:val="21A76846"/>
    <w:rsid w:val="21AB744A"/>
    <w:rsid w:val="21B300DA"/>
    <w:rsid w:val="21C63877"/>
    <w:rsid w:val="21C969FA"/>
    <w:rsid w:val="21CC3202"/>
    <w:rsid w:val="21CD571C"/>
    <w:rsid w:val="21D01C09"/>
    <w:rsid w:val="21D5280D"/>
    <w:rsid w:val="21D71593"/>
    <w:rsid w:val="21D96C95"/>
    <w:rsid w:val="21E17924"/>
    <w:rsid w:val="21E60529"/>
    <w:rsid w:val="21E83A2C"/>
    <w:rsid w:val="21E86FC3"/>
    <w:rsid w:val="21EE11B9"/>
    <w:rsid w:val="21F046BC"/>
    <w:rsid w:val="21FA6BA2"/>
    <w:rsid w:val="22046BDF"/>
    <w:rsid w:val="220A0AE9"/>
    <w:rsid w:val="220D61EA"/>
    <w:rsid w:val="22112672"/>
    <w:rsid w:val="2216237D"/>
    <w:rsid w:val="222A359C"/>
    <w:rsid w:val="222B6021"/>
    <w:rsid w:val="222E41A0"/>
    <w:rsid w:val="22384AB0"/>
    <w:rsid w:val="22422E41"/>
    <w:rsid w:val="2248703F"/>
    <w:rsid w:val="224D4A55"/>
    <w:rsid w:val="22621177"/>
    <w:rsid w:val="22636BF9"/>
    <w:rsid w:val="2264467A"/>
    <w:rsid w:val="22644A21"/>
    <w:rsid w:val="2269349A"/>
    <w:rsid w:val="226F628F"/>
    <w:rsid w:val="227428E9"/>
    <w:rsid w:val="22792AE5"/>
    <w:rsid w:val="228316AC"/>
    <w:rsid w:val="22862631"/>
    <w:rsid w:val="228813B7"/>
    <w:rsid w:val="22885B34"/>
    <w:rsid w:val="228C7DBD"/>
    <w:rsid w:val="22A650E4"/>
    <w:rsid w:val="22A805E7"/>
    <w:rsid w:val="22AE32DC"/>
    <w:rsid w:val="22BC2B0B"/>
    <w:rsid w:val="22C8518E"/>
    <w:rsid w:val="22CE11F8"/>
    <w:rsid w:val="22D20532"/>
    <w:rsid w:val="22D32730"/>
    <w:rsid w:val="22D43A35"/>
    <w:rsid w:val="22D81547"/>
    <w:rsid w:val="22D8243B"/>
    <w:rsid w:val="22D86BB8"/>
    <w:rsid w:val="22E01A46"/>
    <w:rsid w:val="22E61751"/>
    <w:rsid w:val="22EA6FEE"/>
    <w:rsid w:val="22ED32DA"/>
    <w:rsid w:val="22F27762"/>
    <w:rsid w:val="22F351E3"/>
    <w:rsid w:val="22F619EB"/>
    <w:rsid w:val="22F94B6E"/>
    <w:rsid w:val="22FD3574"/>
    <w:rsid w:val="22FE6DF7"/>
    <w:rsid w:val="22FF4879"/>
    <w:rsid w:val="23062446"/>
    <w:rsid w:val="23082824"/>
    <w:rsid w:val="230C3B8F"/>
    <w:rsid w:val="23101D06"/>
    <w:rsid w:val="23102595"/>
    <w:rsid w:val="23112215"/>
    <w:rsid w:val="23121313"/>
    <w:rsid w:val="23143199"/>
    <w:rsid w:val="231449BC"/>
    <w:rsid w:val="2316449E"/>
    <w:rsid w:val="2316669C"/>
    <w:rsid w:val="231A50A3"/>
    <w:rsid w:val="231D3390"/>
    <w:rsid w:val="232101A3"/>
    <w:rsid w:val="23256CB7"/>
    <w:rsid w:val="232A313F"/>
    <w:rsid w:val="232E07E1"/>
    <w:rsid w:val="232E7D6A"/>
    <w:rsid w:val="233D7BE1"/>
    <w:rsid w:val="23490170"/>
    <w:rsid w:val="234D45F8"/>
    <w:rsid w:val="23535EEB"/>
    <w:rsid w:val="23536501"/>
    <w:rsid w:val="2357078B"/>
    <w:rsid w:val="23587321"/>
    <w:rsid w:val="235A170F"/>
    <w:rsid w:val="235C138F"/>
    <w:rsid w:val="235C4C12"/>
    <w:rsid w:val="23604D89"/>
    <w:rsid w:val="23671B57"/>
    <w:rsid w:val="236964A7"/>
    <w:rsid w:val="236D292E"/>
    <w:rsid w:val="236E4B2D"/>
    <w:rsid w:val="236F07A9"/>
    <w:rsid w:val="23723533"/>
    <w:rsid w:val="23734838"/>
    <w:rsid w:val="237544B8"/>
    <w:rsid w:val="23757D3B"/>
    <w:rsid w:val="237A63C1"/>
    <w:rsid w:val="237C76C6"/>
    <w:rsid w:val="238002CA"/>
    <w:rsid w:val="238060CC"/>
    <w:rsid w:val="238237CD"/>
    <w:rsid w:val="23827050"/>
    <w:rsid w:val="238C7960"/>
    <w:rsid w:val="238D5B79"/>
    <w:rsid w:val="239314AF"/>
    <w:rsid w:val="23A229BA"/>
    <w:rsid w:val="23A87290"/>
    <w:rsid w:val="23AD3718"/>
    <w:rsid w:val="23AE1199"/>
    <w:rsid w:val="23B00E19"/>
    <w:rsid w:val="23B0469D"/>
    <w:rsid w:val="23B2431C"/>
    <w:rsid w:val="23B83CA7"/>
    <w:rsid w:val="23BE5BB1"/>
    <w:rsid w:val="23C5553B"/>
    <w:rsid w:val="23C864C0"/>
    <w:rsid w:val="23C93F42"/>
    <w:rsid w:val="23CD03C9"/>
    <w:rsid w:val="23CF38CC"/>
    <w:rsid w:val="23D31501"/>
    <w:rsid w:val="23D8675A"/>
    <w:rsid w:val="23D9713D"/>
    <w:rsid w:val="23DC68F2"/>
    <w:rsid w:val="23DD0DC1"/>
    <w:rsid w:val="23DD2BE2"/>
    <w:rsid w:val="23DD34AC"/>
    <w:rsid w:val="23F30609"/>
    <w:rsid w:val="23F51DF0"/>
    <w:rsid w:val="23FB7BDA"/>
    <w:rsid w:val="24020C24"/>
    <w:rsid w:val="240253A0"/>
    <w:rsid w:val="24062EF0"/>
    <w:rsid w:val="240B1533"/>
    <w:rsid w:val="2412563B"/>
    <w:rsid w:val="24147BD3"/>
    <w:rsid w:val="242001D4"/>
    <w:rsid w:val="24247A02"/>
    <w:rsid w:val="242520DD"/>
    <w:rsid w:val="242C61E4"/>
    <w:rsid w:val="242E4F6B"/>
    <w:rsid w:val="243932FC"/>
    <w:rsid w:val="243E5205"/>
    <w:rsid w:val="243F2C87"/>
    <w:rsid w:val="24404E85"/>
    <w:rsid w:val="244425A0"/>
    <w:rsid w:val="24462612"/>
    <w:rsid w:val="244E7A1E"/>
    <w:rsid w:val="24502F21"/>
    <w:rsid w:val="2452531A"/>
    <w:rsid w:val="24593831"/>
    <w:rsid w:val="245B24C3"/>
    <w:rsid w:val="245C47B5"/>
    <w:rsid w:val="24606D85"/>
    <w:rsid w:val="24616C59"/>
    <w:rsid w:val="246542BF"/>
    <w:rsid w:val="247B506A"/>
    <w:rsid w:val="247D4CEA"/>
    <w:rsid w:val="248117F4"/>
    <w:rsid w:val="24866102"/>
    <w:rsid w:val="24880AFD"/>
    <w:rsid w:val="2492140C"/>
    <w:rsid w:val="24936E8E"/>
    <w:rsid w:val="24975894"/>
    <w:rsid w:val="249A6818"/>
    <w:rsid w:val="249D521F"/>
    <w:rsid w:val="249E2CA0"/>
    <w:rsid w:val="249F0722"/>
    <w:rsid w:val="24A10370"/>
    <w:rsid w:val="24A11A27"/>
    <w:rsid w:val="24A3220F"/>
    <w:rsid w:val="24A948B4"/>
    <w:rsid w:val="24AC1FB6"/>
    <w:rsid w:val="24AE0D3C"/>
    <w:rsid w:val="24B369D8"/>
    <w:rsid w:val="24B66149"/>
    <w:rsid w:val="24BD3555"/>
    <w:rsid w:val="24C50961"/>
    <w:rsid w:val="24C86CEF"/>
    <w:rsid w:val="24CB4368"/>
    <w:rsid w:val="24CF4AF4"/>
    <w:rsid w:val="24DD188B"/>
    <w:rsid w:val="24E755A1"/>
    <w:rsid w:val="24EA789C"/>
    <w:rsid w:val="24EB531E"/>
    <w:rsid w:val="24EE3D24"/>
    <w:rsid w:val="24F14CA9"/>
    <w:rsid w:val="24F37110"/>
    <w:rsid w:val="24F50A26"/>
    <w:rsid w:val="24FD433F"/>
    <w:rsid w:val="24FE653D"/>
    <w:rsid w:val="25043A5B"/>
    <w:rsid w:val="250826D0"/>
    <w:rsid w:val="250C10D6"/>
    <w:rsid w:val="250F4259"/>
    <w:rsid w:val="25101CDA"/>
    <w:rsid w:val="2511775C"/>
    <w:rsid w:val="25143F64"/>
    <w:rsid w:val="251B38EF"/>
    <w:rsid w:val="251E4580"/>
    <w:rsid w:val="251E4873"/>
    <w:rsid w:val="251F22F5"/>
    <w:rsid w:val="25315A92"/>
    <w:rsid w:val="25334819"/>
    <w:rsid w:val="253B1C25"/>
    <w:rsid w:val="253B63A2"/>
    <w:rsid w:val="254060AD"/>
    <w:rsid w:val="254A443E"/>
    <w:rsid w:val="255527CF"/>
    <w:rsid w:val="25575CD2"/>
    <w:rsid w:val="255E30DE"/>
    <w:rsid w:val="25610A8D"/>
    <w:rsid w:val="256839EE"/>
    <w:rsid w:val="256B5714"/>
    <w:rsid w:val="25847A9B"/>
    <w:rsid w:val="258864A1"/>
    <w:rsid w:val="258A19A4"/>
    <w:rsid w:val="258B7426"/>
    <w:rsid w:val="258F38AD"/>
    <w:rsid w:val="259557B7"/>
    <w:rsid w:val="259F1949"/>
    <w:rsid w:val="25A03B48"/>
    <w:rsid w:val="25A612D4"/>
    <w:rsid w:val="25A847D7"/>
    <w:rsid w:val="25A94457"/>
    <w:rsid w:val="25AF6361"/>
    <w:rsid w:val="25B00611"/>
    <w:rsid w:val="25D06895"/>
    <w:rsid w:val="25D2561C"/>
    <w:rsid w:val="25D3781A"/>
    <w:rsid w:val="25D4529B"/>
    <w:rsid w:val="25D75396"/>
    <w:rsid w:val="25D971A5"/>
    <w:rsid w:val="25DE362C"/>
    <w:rsid w:val="25E0269B"/>
    <w:rsid w:val="25E22033"/>
    <w:rsid w:val="25E56559"/>
    <w:rsid w:val="25E8185F"/>
    <w:rsid w:val="25F66AD5"/>
    <w:rsid w:val="25F71FD8"/>
    <w:rsid w:val="25FC6460"/>
    <w:rsid w:val="26023BEC"/>
    <w:rsid w:val="26066D6F"/>
    <w:rsid w:val="26070074"/>
    <w:rsid w:val="26085AF6"/>
    <w:rsid w:val="260A5775"/>
    <w:rsid w:val="260D72D3"/>
    <w:rsid w:val="26102F02"/>
    <w:rsid w:val="26163F51"/>
    <w:rsid w:val="26164E0B"/>
    <w:rsid w:val="2617492B"/>
    <w:rsid w:val="2621539B"/>
    <w:rsid w:val="262D6C2F"/>
    <w:rsid w:val="262F2132"/>
    <w:rsid w:val="262F59B5"/>
    <w:rsid w:val="2635403B"/>
    <w:rsid w:val="26372DC2"/>
    <w:rsid w:val="26374C81"/>
    <w:rsid w:val="263C7249"/>
    <w:rsid w:val="264158CF"/>
    <w:rsid w:val="26430DD2"/>
    <w:rsid w:val="2648525A"/>
    <w:rsid w:val="264C2EC3"/>
    <w:rsid w:val="265A3218"/>
    <w:rsid w:val="265F14A3"/>
    <w:rsid w:val="26644B8A"/>
    <w:rsid w:val="266B4922"/>
    <w:rsid w:val="266C6B98"/>
    <w:rsid w:val="2670099D"/>
    <w:rsid w:val="26745737"/>
    <w:rsid w:val="267832D8"/>
    <w:rsid w:val="2678382B"/>
    <w:rsid w:val="267A44F4"/>
    <w:rsid w:val="267B47B0"/>
    <w:rsid w:val="26831BBC"/>
    <w:rsid w:val="26873E45"/>
    <w:rsid w:val="268F1252"/>
    <w:rsid w:val="26937C58"/>
    <w:rsid w:val="26983290"/>
    <w:rsid w:val="269975E3"/>
    <w:rsid w:val="26AE0482"/>
    <w:rsid w:val="26AE1043"/>
    <w:rsid w:val="26AF3D05"/>
    <w:rsid w:val="26B01787"/>
    <w:rsid w:val="26B26E88"/>
    <w:rsid w:val="26BA6047"/>
    <w:rsid w:val="26BB1839"/>
    <w:rsid w:val="26C40427"/>
    <w:rsid w:val="26C848AF"/>
    <w:rsid w:val="26CC32B5"/>
    <w:rsid w:val="26CD6B38"/>
    <w:rsid w:val="26D1773D"/>
    <w:rsid w:val="26D870C8"/>
    <w:rsid w:val="26DA5E4E"/>
    <w:rsid w:val="26DB004C"/>
    <w:rsid w:val="26DE0FD1"/>
    <w:rsid w:val="26E32EDA"/>
    <w:rsid w:val="26E718E0"/>
    <w:rsid w:val="26E94DE4"/>
    <w:rsid w:val="26ED706D"/>
    <w:rsid w:val="26F31FAF"/>
    <w:rsid w:val="26F50BF6"/>
    <w:rsid w:val="26F81B7B"/>
    <w:rsid w:val="26FA2AFF"/>
    <w:rsid w:val="2701248A"/>
    <w:rsid w:val="27015D0E"/>
    <w:rsid w:val="27027F0C"/>
    <w:rsid w:val="27066912"/>
    <w:rsid w:val="270962CA"/>
    <w:rsid w:val="270B661D"/>
    <w:rsid w:val="27107221"/>
    <w:rsid w:val="27156F2D"/>
    <w:rsid w:val="271649AE"/>
    <w:rsid w:val="27167E66"/>
    <w:rsid w:val="2717429F"/>
    <w:rsid w:val="27220ADA"/>
    <w:rsid w:val="272A364F"/>
    <w:rsid w:val="273A38E9"/>
    <w:rsid w:val="273B4BEE"/>
    <w:rsid w:val="273D00F1"/>
    <w:rsid w:val="273E22EF"/>
    <w:rsid w:val="27431FFA"/>
    <w:rsid w:val="27443009"/>
    <w:rsid w:val="27462F7F"/>
    <w:rsid w:val="27463747"/>
    <w:rsid w:val="2746481A"/>
    <w:rsid w:val="274856B8"/>
    <w:rsid w:val="27490680"/>
    <w:rsid w:val="27547D16"/>
    <w:rsid w:val="275E22A2"/>
    <w:rsid w:val="276002A5"/>
    <w:rsid w:val="276115AA"/>
    <w:rsid w:val="277C7BD6"/>
    <w:rsid w:val="277D5657"/>
    <w:rsid w:val="2781405D"/>
    <w:rsid w:val="27866018"/>
    <w:rsid w:val="278B23EE"/>
    <w:rsid w:val="278E3373"/>
    <w:rsid w:val="279C010A"/>
    <w:rsid w:val="279E360D"/>
    <w:rsid w:val="27A401A2"/>
    <w:rsid w:val="27A92724"/>
    <w:rsid w:val="27B60CB4"/>
    <w:rsid w:val="27B97EBF"/>
    <w:rsid w:val="27BB09BF"/>
    <w:rsid w:val="27C47FCA"/>
    <w:rsid w:val="27CA2B44"/>
    <w:rsid w:val="27CF05B7"/>
    <w:rsid w:val="27D150E1"/>
    <w:rsid w:val="27D172E0"/>
    <w:rsid w:val="27D24D61"/>
    <w:rsid w:val="27DB3472"/>
    <w:rsid w:val="27DD30F2"/>
    <w:rsid w:val="27DE43F7"/>
    <w:rsid w:val="27E078FA"/>
    <w:rsid w:val="27E11931"/>
    <w:rsid w:val="27EB370D"/>
    <w:rsid w:val="27EC0E42"/>
    <w:rsid w:val="27EC118E"/>
    <w:rsid w:val="27ED6C10"/>
    <w:rsid w:val="27F07B94"/>
    <w:rsid w:val="280E0D0C"/>
    <w:rsid w:val="28105ECB"/>
    <w:rsid w:val="281100C9"/>
    <w:rsid w:val="28125B4B"/>
    <w:rsid w:val="281335CC"/>
    <w:rsid w:val="28171FD2"/>
    <w:rsid w:val="281B09D9"/>
    <w:rsid w:val="28216165"/>
    <w:rsid w:val="28256D6A"/>
    <w:rsid w:val="282647EB"/>
    <w:rsid w:val="283050FB"/>
    <w:rsid w:val="283163FF"/>
    <w:rsid w:val="28347384"/>
    <w:rsid w:val="28354E06"/>
    <w:rsid w:val="28363B6E"/>
    <w:rsid w:val="28385D8A"/>
    <w:rsid w:val="2839380C"/>
    <w:rsid w:val="28395C86"/>
    <w:rsid w:val="283B4790"/>
    <w:rsid w:val="2846765D"/>
    <w:rsid w:val="284827A1"/>
    <w:rsid w:val="284B6FA9"/>
    <w:rsid w:val="285862BF"/>
    <w:rsid w:val="285A17C2"/>
    <w:rsid w:val="285B6A83"/>
    <w:rsid w:val="285F5C4A"/>
    <w:rsid w:val="28680AD8"/>
    <w:rsid w:val="287A4275"/>
    <w:rsid w:val="287A7AF8"/>
    <w:rsid w:val="287B557A"/>
    <w:rsid w:val="28801A02"/>
    <w:rsid w:val="2891771E"/>
    <w:rsid w:val="2893739E"/>
    <w:rsid w:val="28944E1F"/>
    <w:rsid w:val="28963BA5"/>
    <w:rsid w:val="28994B2A"/>
    <w:rsid w:val="28A44A91"/>
    <w:rsid w:val="28A450B9"/>
    <w:rsid w:val="28A718C1"/>
    <w:rsid w:val="28AD37CB"/>
    <w:rsid w:val="28AD7F47"/>
    <w:rsid w:val="28AE59C9"/>
    <w:rsid w:val="28B356D4"/>
    <w:rsid w:val="28B66659"/>
    <w:rsid w:val="28B740DA"/>
    <w:rsid w:val="28BB2AE0"/>
    <w:rsid w:val="28BC0562"/>
    <w:rsid w:val="28C433F0"/>
    <w:rsid w:val="28CB2D7B"/>
    <w:rsid w:val="28CC407F"/>
    <w:rsid w:val="28CF5004"/>
    <w:rsid w:val="28D25F89"/>
    <w:rsid w:val="28D73C59"/>
    <w:rsid w:val="28D82090"/>
    <w:rsid w:val="28DA3395"/>
    <w:rsid w:val="28DA5593"/>
    <w:rsid w:val="28DC0C29"/>
    <w:rsid w:val="28E107A2"/>
    <w:rsid w:val="28EB10B1"/>
    <w:rsid w:val="28EC138C"/>
    <w:rsid w:val="28EE2036"/>
    <w:rsid w:val="28F64EC4"/>
    <w:rsid w:val="28F84B43"/>
    <w:rsid w:val="28FB5AC8"/>
    <w:rsid w:val="28FC6DCD"/>
    <w:rsid w:val="28FF7D52"/>
    <w:rsid w:val="29084DDE"/>
    <w:rsid w:val="290C15E6"/>
    <w:rsid w:val="291021EA"/>
    <w:rsid w:val="29144A42"/>
    <w:rsid w:val="29151EF5"/>
    <w:rsid w:val="291908FB"/>
    <w:rsid w:val="291B3DFF"/>
    <w:rsid w:val="29236282"/>
    <w:rsid w:val="293272A7"/>
    <w:rsid w:val="293427AA"/>
    <w:rsid w:val="2935022C"/>
    <w:rsid w:val="293D1DB5"/>
    <w:rsid w:val="293E7836"/>
    <w:rsid w:val="293F2D39"/>
    <w:rsid w:val="29485BC7"/>
    <w:rsid w:val="294B23CF"/>
    <w:rsid w:val="29552CDF"/>
    <w:rsid w:val="29610CF0"/>
    <w:rsid w:val="29626771"/>
    <w:rsid w:val="296315D6"/>
    <w:rsid w:val="296454F8"/>
    <w:rsid w:val="29683EFE"/>
    <w:rsid w:val="297C3C21"/>
    <w:rsid w:val="297C731B"/>
    <w:rsid w:val="298207C6"/>
    <w:rsid w:val="29894432"/>
    <w:rsid w:val="298B7936"/>
    <w:rsid w:val="298F3DBD"/>
    <w:rsid w:val="299E43D8"/>
    <w:rsid w:val="29A617E4"/>
    <w:rsid w:val="29AE4672"/>
    <w:rsid w:val="29B300C1"/>
    <w:rsid w:val="29B5077A"/>
    <w:rsid w:val="29B77500"/>
    <w:rsid w:val="29B84F82"/>
    <w:rsid w:val="29BD5B86"/>
    <w:rsid w:val="29C50A14"/>
    <w:rsid w:val="29C71D19"/>
    <w:rsid w:val="29CC3C22"/>
    <w:rsid w:val="29D14827"/>
    <w:rsid w:val="29D222A8"/>
    <w:rsid w:val="29D60C73"/>
    <w:rsid w:val="29DF15BE"/>
    <w:rsid w:val="29E33847"/>
    <w:rsid w:val="29E72BF1"/>
    <w:rsid w:val="29EC66D5"/>
    <w:rsid w:val="2A057591"/>
    <w:rsid w:val="2A0C7484"/>
    <w:rsid w:val="2A0F210D"/>
    <w:rsid w:val="2A136595"/>
    <w:rsid w:val="2A151889"/>
    <w:rsid w:val="2A19049E"/>
    <w:rsid w:val="2A226BAF"/>
    <w:rsid w:val="2A2F0444"/>
    <w:rsid w:val="2A321A45"/>
    <w:rsid w:val="2A34234D"/>
    <w:rsid w:val="2A357DCE"/>
    <w:rsid w:val="2A365850"/>
    <w:rsid w:val="2A392F51"/>
    <w:rsid w:val="2A3A4256"/>
    <w:rsid w:val="2A3B1CD8"/>
    <w:rsid w:val="2A4028DC"/>
    <w:rsid w:val="2A444B66"/>
    <w:rsid w:val="2A460069"/>
    <w:rsid w:val="2A50178B"/>
    <w:rsid w:val="2A5063FA"/>
    <w:rsid w:val="2A552882"/>
    <w:rsid w:val="2A560303"/>
    <w:rsid w:val="2A5A0876"/>
    <w:rsid w:val="2A5B478B"/>
    <w:rsid w:val="2A5E2409"/>
    <w:rsid w:val="2A6F342B"/>
    <w:rsid w:val="2A7D01C3"/>
    <w:rsid w:val="2A7D5279"/>
    <w:rsid w:val="2A7E5C44"/>
    <w:rsid w:val="2A870AD2"/>
    <w:rsid w:val="2A886554"/>
    <w:rsid w:val="2A897858"/>
    <w:rsid w:val="2A8D29DB"/>
    <w:rsid w:val="2A8E39C8"/>
    <w:rsid w:val="2A947DE8"/>
    <w:rsid w:val="2A955869"/>
    <w:rsid w:val="2A982B30"/>
    <w:rsid w:val="2A9D14E0"/>
    <w:rsid w:val="2AA348BC"/>
    <w:rsid w:val="2AA52DDE"/>
    <w:rsid w:val="2AA65CA1"/>
    <w:rsid w:val="2AAE0992"/>
    <w:rsid w:val="2AB61621"/>
    <w:rsid w:val="2AB925A6"/>
    <w:rsid w:val="2ABD0FAC"/>
    <w:rsid w:val="2ABD4919"/>
    <w:rsid w:val="2AC90642"/>
    <w:rsid w:val="2ACA02C2"/>
    <w:rsid w:val="2ACE4ACA"/>
    <w:rsid w:val="2AD369D3"/>
    <w:rsid w:val="2ADB055C"/>
    <w:rsid w:val="2ADF27E6"/>
    <w:rsid w:val="2AE17EE7"/>
    <w:rsid w:val="2AE71DF0"/>
    <w:rsid w:val="2AE85674"/>
    <w:rsid w:val="2AE952F3"/>
    <w:rsid w:val="2AEE177B"/>
    <w:rsid w:val="2AF04EBF"/>
    <w:rsid w:val="2AFC6512"/>
    <w:rsid w:val="2B02041C"/>
    <w:rsid w:val="2B035E9D"/>
    <w:rsid w:val="2B097DA7"/>
    <w:rsid w:val="2B122C35"/>
    <w:rsid w:val="2B1803C1"/>
    <w:rsid w:val="2B1D7A7F"/>
    <w:rsid w:val="2B216B21"/>
    <w:rsid w:val="2B265158"/>
    <w:rsid w:val="2B2C7062"/>
    <w:rsid w:val="2B355773"/>
    <w:rsid w:val="2B370C76"/>
    <w:rsid w:val="2B3A71FB"/>
    <w:rsid w:val="2B3E6082"/>
    <w:rsid w:val="2B43250A"/>
    <w:rsid w:val="2B4549A6"/>
    <w:rsid w:val="2B486992"/>
    <w:rsid w:val="2B494413"/>
    <w:rsid w:val="2B4E2C5C"/>
    <w:rsid w:val="2B4F051B"/>
    <w:rsid w:val="2B513A1E"/>
    <w:rsid w:val="2B540226"/>
    <w:rsid w:val="2B555CA8"/>
    <w:rsid w:val="2B5A212F"/>
    <w:rsid w:val="2B6526BF"/>
    <w:rsid w:val="2B653354"/>
    <w:rsid w:val="2B675630"/>
    <w:rsid w:val="2B71626C"/>
    <w:rsid w:val="2B7661DC"/>
    <w:rsid w:val="2B7A4BE2"/>
    <w:rsid w:val="2B7B6DE1"/>
    <w:rsid w:val="2B7E35E9"/>
    <w:rsid w:val="2B7F4304"/>
    <w:rsid w:val="2B8461C6"/>
    <w:rsid w:val="2B874A48"/>
    <w:rsid w:val="2B937D0B"/>
    <w:rsid w:val="2B940E54"/>
    <w:rsid w:val="2B984192"/>
    <w:rsid w:val="2B987A16"/>
    <w:rsid w:val="2B9A7696"/>
    <w:rsid w:val="2B9D3E9D"/>
    <w:rsid w:val="2BA07020"/>
    <w:rsid w:val="2BA37FA5"/>
    <w:rsid w:val="2BA74026"/>
    <w:rsid w:val="2BA8442D"/>
    <w:rsid w:val="2BB01839"/>
    <w:rsid w:val="2BB24484"/>
    <w:rsid w:val="2BB531CD"/>
    <w:rsid w:val="2BB90EC9"/>
    <w:rsid w:val="2BBB344E"/>
    <w:rsid w:val="2BC05357"/>
    <w:rsid w:val="2BC14653"/>
    <w:rsid w:val="2BC2085A"/>
    <w:rsid w:val="2BC3094D"/>
    <w:rsid w:val="2BC362DB"/>
    <w:rsid w:val="2BC74CE2"/>
    <w:rsid w:val="2BCD0DE9"/>
    <w:rsid w:val="2BD019F5"/>
    <w:rsid w:val="2BD716F9"/>
    <w:rsid w:val="2BD94BFC"/>
    <w:rsid w:val="2BE134B6"/>
    <w:rsid w:val="2BEE4BA1"/>
    <w:rsid w:val="2BEE580C"/>
    <w:rsid w:val="2BF24FA7"/>
    <w:rsid w:val="2BFB1CB9"/>
    <w:rsid w:val="2BFC3EB7"/>
    <w:rsid w:val="2BFE2C3D"/>
    <w:rsid w:val="2C0412C3"/>
    <w:rsid w:val="2C044B47"/>
    <w:rsid w:val="2C091415"/>
    <w:rsid w:val="2C0B44D1"/>
    <w:rsid w:val="2C0C1D01"/>
    <w:rsid w:val="2C0F0959"/>
    <w:rsid w:val="2C1C21ED"/>
    <w:rsid w:val="2C300E8E"/>
    <w:rsid w:val="2C347894"/>
    <w:rsid w:val="2C362D97"/>
    <w:rsid w:val="2C3D01A4"/>
    <w:rsid w:val="2C3E3549"/>
    <w:rsid w:val="2C4058A5"/>
    <w:rsid w:val="2C42462B"/>
    <w:rsid w:val="2C43682A"/>
    <w:rsid w:val="2C450F3D"/>
    <w:rsid w:val="2C471F68"/>
    <w:rsid w:val="2C4A407F"/>
    <w:rsid w:val="2C4E1FFC"/>
    <w:rsid w:val="2C5632CC"/>
    <w:rsid w:val="2C5E06D8"/>
    <w:rsid w:val="2C5E6F58"/>
    <w:rsid w:val="2C6538E6"/>
    <w:rsid w:val="2C6F41F6"/>
    <w:rsid w:val="2C727379"/>
    <w:rsid w:val="2C74287C"/>
    <w:rsid w:val="2C856399"/>
    <w:rsid w:val="2C8C7F23"/>
    <w:rsid w:val="2C8D5BC9"/>
    <w:rsid w:val="2C8E6106"/>
    <w:rsid w:val="2C8F7C4A"/>
    <w:rsid w:val="2C946F18"/>
    <w:rsid w:val="2C99503A"/>
    <w:rsid w:val="2C9C04B7"/>
    <w:rsid w:val="2C9C273B"/>
    <w:rsid w:val="2CA0142E"/>
    <w:rsid w:val="2CA12446"/>
    <w:rsid w:val="2CAD46CB"/>
    <w:rsid w:val="2CB17636"/>
    <w:rsid w:val="2CB35BE4"/>
    <w:rsid w:val="2CB66B69"/>
    <w:rsid w:val="2CB84FA2"/>
    <w:rsid w:val="2CBC1AD9"/>
    <w:rsid w:val="2CBF7478"/>
    <w:rsid w:val="2CC13E88"/>
    <w:rsid w:val="2CC9360B"/>
    <w:rsid w:val="2CCC458F"/>
    <w:rsid w:val="2CD10A17"/>
    <w:rsid w:val="2CD15EDB"/>
    <w:rsid w:val="2CD72920"/>
    <w:rsid w:val="2CD803A2"/>
    <w:rsid w:val="2CD90022"/>
    <w:rsid w:val="2CE26733"/>
    <w:rsid w:val="2CE40542"/>
    <w:rsid w:val="2CEA3B3F"/>
    <w:rsid w:val="2CEB15C1"/>
    <w:rsid w:val="2CEC6711"/>
    <w:rsid w:val="2CF134CA"/>
    <w:rsid w:val="2CF808D7"/>
    <w:rsid w:val="2CFB185B"/>
    <w:rsid w:val="2D036C68"/>
    <w:rsid w:val="2D092D6F"/>
    <w:rsid w:val="2D0A65F3"/>
    <w:rsid w:val="2D0E4FF9"/>
    <w:rsid w:val="2D136F02"/>
    <w:rsid w:val="2D175908"/>
    <w:rsid w:val="2D183950"/>
    <w:rsid w:val="2D2626A0"/>
    <w:rsid w:val="2D2E552D"/>
    <w:rsid w:val="2D335238"/>
    <w:rsid w:val="2D3D4D1C"/>
    <w:rsid w:val="2D3E57C8"/>
    <w:rsid w:val="2D4860D7"/>
    <w:rsid w:val="2D4973F6"/>
    <w:rsid w:val="2D4D255F"/>
    <w:rsid w:val="2D4F3FFF"/>
    <w:rsid w:val="2D523A4A"/>
    <w:rsid w:val="2D5708F0"/>
    <w:rsid w:val="2D593A83"/>
    <w:rsid w:val="2D5E3AFE"/>
    <w:rsid w:val="2D634B0D"/>
    <w:rsid w:val="2D6C4832"/>
    <w:rsid w:val="2D736C6D"/>
    <w:rsid w:val="2D7711A5"/>
    <w:rsid w:val="2D7E506E"/>
    <w:rsid w:val="2D832A39"/>
    <w:rsid w:val="2D8639BE"/>
    <w:rsid w:val="2D8A23C4"/>
    <w:rsid w:val="2D8A7365"/>
    <w:rsid w:val="2D8B7E46"/>
    <w:rsid w:val="2D946557"/>
    <w:rsid w:val="2DA04568"/>
    <w:rsid w:val="2DA30D70"/>
    <w:rsid w:val="2DA851F7"/>
    <w:rsid w:val="2DA873F6"/>
    <w:rsid w:val="2DB46A8B"/>
    <w:rsid w:val="2DB5450D"/>
    <w:rsid w:val="2DB6670B"/>
    <w:rsid w:val="2DB70EB7"/>
    <w:rsid w:val="2DC04A9C"/>
    <w:rsid w:val="2DC07A48"/>
    <w:rsid w:val="2DC27F9F"/>
    <w:rsid w:val="2DC35A21"/>
    <w:rsid w:val="2DC85545"/>
    <w:rsid w:val="2DCE7635"/>
    <w:rsid w:val="2DD846C1"/>
    <w:rsid w:val="2DDD43CD"/>
    <w:rsid w:val="2DE417D9"/>
    <w:rsid w:val="2DF055EB"/>
    <w:rsid w:val="2DF56B7F"/>
    <w:rsid w:val="2DFB2564"/>
    <w:rsid w:val="2DFC4C81"/>
    <w:rsid w:val="2E06778F"/>
    <w:rsid w:val="2E075211"/>
    <w:rsid w:val="2E083D76"/>
    <w:rsid w:val="2E093F97"/>
    <w:rsid w:val="2E0A1A19"/>
    <w:rsid w:val="2E0A1C5F"/>
    <w:rsid w:val="2E0E041F"/>
    <w:rsid w:val="2E136AA5"/>
    <w:rsid w:val="2E1732AD"/>
    <w:rsid w:val="2E182F2D"/>
    <w:rsid w:val="2E1909AE"/>
    <w:rsid w:val="2E200339"/>
    <w:rsid w:val="2E2D193C"/>
    <w:rsid w:val="2E2D7583"/>
    <w:rsid w:val="2E32735A"/>
    <w:rsid w:val="2E3502DE"/>
    <w:rsid w:val="2E365D60"/>
    <w:rsid w:val="2E3A0EE3"/>
    <w:rsid w:val="2E3B1AF8"/>
    <w:rsid w:val="2E3D1E67"/>
    <w:rsid w:val="2E3F0BEE"/>
    <w:rsid w:val="2E423D71"/>
    <w:rsid w:val="2E454CF5"/>
    <w:rsid w:val="2E6455AA"/>
    <w:rsid w:val="2E647C32"/>
    <w:rsid w:val="2E6668AF"/>
    <w:rsid w:val="2E6E76B6"/>
    <w:rsid w:val="2E85094C"/>
    <w:rsid w:val="2E917AA6"/>
    <w:rsid w:val="2E930678"/>
    <w:rsid w:val="2EA2760D"/>
    <w:rsid w:val="2EA608AC"/>
    <w:rsid w:val="2EA712DE"/>
    <w:rsid w:val="2EA77318"/>
    <w:rsid w:val="2EBA6EE4"/>
    <w:rsid w:val="2EBC045D"/>
    <w:rsid w:val="2EBD14BC"/>
    <w:rsid w:val="2EC25944"/>
    <w:rsid w:val="2EC40E47"/>
    <w:rsid w:val="2EC952CF"/>
    <w:rsid w:val="2ECE4FDA"/>
    <w:rsid w:val="2ECF2A5B"/>
    <w:rsid w:val="2ED410E1"/>
    <w:rsid w:val="2EDC1D71"/>
    <w:rsid w:val="2EE00F4E"/>
    <w:rsid w:val="2EE87D82"/>
    <w:rsid w:val="2EE93605"/>
    <w:rsid w:val="2EEA2369"/>
    <w:rsid w:val="2EEA3285"/>
    <w:rsid w:val="2EEB0D06"/>
    <w:rsid w:val="2EEC334D"/>
    <w:rsid w:val="2EF74B19"/>
    <w:rsid w:val="2EF9389F"/>
    <w:rsid w:val="2EFC6A22"/>
    <w:rsid w:val="2EFD0590"/>
    <w:rsid w:val="2F0476B2"/>
    <w:rsid w:val="2F0A4ECC"/>
    <w:rsid w:val="2F0E473E"/>
    <w:rsid w:val="2F0E7FC2"/>
    <w:rsid w:val="2F15794C"/>
    <w:rsid w:val="2F20375F"/>
    <w:rsid w:val="2F265668"/>
    <w:rsid w:val="2F287E07"/>
    <w:rsid w:val="2F2D4FF3"/>
    <w:rsid w:val="2F305F78"/>
    <w:rsid w:val="2F33497E"/>
    <w:rsid w:val="2F383732"/>
    <w:rsid w:val="2F406212"/>
    <w:rsid w:val="2F4C58A8"/>
    <w:rsid w:val="2F5036E7"/>
    <w:rsid w:val="2F532CB4"/>
    <w:rsid w:val="2F575E37"/>
    <w:rsid w:val="2F661FC7"/>
    <w:rsid w:val="2F673ED3"/>
    <w:rsid w:val="2F6973D6"/>
    <w:rsid w:val="2F6B28DA"/>
    <w:rsid w:val="2F7666EC"/>
    <w:rsid w:val="2F7E3AF9"/>
    <w:rsid w:val="2F837F80"/>
    <w:rsid w:val="2F8A7EF2"/>
    <w:rsid w:val="2F914D18"/>
    <w:rsid w:val="2F964A23"/>
    <w:rsid w:val="2F9B4F5A"/>
    <w:rsid w:val="2F9D65AC"/>
    <w:rsid w:val="2F9E402D"/>
    <w:rsid w:val="2FA12CF7"/>
    <w:rsid w:val="2FA801C0"/>
    <w:rsid w:val="2FAA7E40"/>
    <w:rsid w:val="2FB01D49"/>
    <w:rsid w:val="2FB84BD7"/>
    <w:rsid w:val="2FBC4D4D"/>
    <w:rsid w:val="2FBD105F"/>
    <w:rsid w:val="2FBE583A"/>
    <w:rsid w:val="2FC51CEF"/>
    <w:rsid w:val="2FC5646B"/>
    <w:rsid w:val="2FC67770"/>
    <w:rsid w:val="2FCC6119"/>
    <w:rsid w:val="2FCD12F9"/>
    <w:rsid w:val="2FCD13DA"/>
    <w:rsid w:val="2FD0227E"/>
    <w:rsid w:val="2FD8768A"/>
    <w:rsid w:val="2FD9098F"/>
    <w:rsid w:val="2FDB060F"/>
    <w:rsid w:val="2FE46D20"/>
    <w:rsid w:val="2FF624BE"/>
    <w:rsid w:val="2FFF66A3"/>
    <w:rsid w:val="30006650"/>
    <w:rsid w:val="300375D5"/>
    <w:rsid w:val="300701D9"/>
    <w:rsid w:val="3008511A"/>
    <w:rsid w:val="300C4661"/>
    <w:rsid w:val="300E7B64"/>
    <w:rsid w:val="30103067"/>
    <w:rsid w:val="301D017F"/>
    <w:rsid w:val="30291A13"/>
    <w:rsid w:val="302A3C11"/>
    <w:rsid w:val="302B382F"/>
    <w:rsid w:val="302B7786"/>
    <w:rsid w:val="302F0099"/>
    <w:rsid w:val="30332322"/>
    <w:rsid w:val="303B192D"/>
    <w:rsid w:val="303D4E30"/>
    <w:rsid w:val="303E6135"/>
    <w:rsid w:val="30503E51"/>
    <w:rsid w:val="306B247C"/>
    <w:rsid w:val="30715666"/>
    <w:rsid w:val="3072568A"/>
    <w:rsid w:val="3073530A"/>
    <w:rsid w:val="30745A83"/>
    <w:rsid w:val="307C0198"/>
    <w:rsid w:val="307D5C1A"/>
    <w:rsid w:val="307F4383"/>
    <w:rsid w:val="30865B08"/>
    <w:rsid w:val="30986B93"/>
    <w:rsid w:val="30987AC8"/>
    <w:rsid w:val="30991CC7"/>
    <w:rsid w:val="309C6482"/>
    <w:rsid w:val="30A60FDC"/>
    <w:rsid w:val="30AF76EE"/>
    <w:rsid w:val="30BA5A7F"/>
    <w:rsid w:val="30C46FA8"/>
    <w:rsid w:val="30C62B96"/>
    <w:rsid w:val="30CA1837"/>
    <w:rsid w:val="30D07FA5"/>
    <w:rsid w:val="30D30BA7"/>
    <w:rsid w:val="30D7502F"/>
    <w:rsid w:val="30DB28EC"/>
    <w:rsid w:val="30DC14B6"/>
    <w:rsid w:val="30DD17B8"/>
    <w:rsid w:val="30DE27BB"/>
    <w:rsid w:val="30E03740"/>
    <w:rsid w:val="30E233C0"/>
    <w:rsid w:val="30E30E41"/>
    <w:rsid w:val="30EA07CC"/>
    <w:rsid w:val="30F658E4"/>
    <w:rsid w:val="31002970"/>
    <w:rsid w:val="310061F3"/>
    <w:rsid w:val="31067C7A"/>
    <w:rsid w:val="310811F3"/>
    <w:rsid w:val="310857FE"/>
    <w:rsid w:val="310D1C85"/>
    <w:rsid w:val="31121990"/>
    <w:rsid w:val="311B77D4"/>
    <w:rsid w:val="31201A2A"/>
    <w:rsid w:val="31210390"/>
    <w:rsid w:val="31216728"/>
    <w:rsid w:val="312B4AB9"/>
    <w:rsid w:val="31350C4C"/>
    <w:rsid w:val="314011DB"/>
    <w:rsid w:val="31406FDD"/>
    <w:rsid w:val="31416C5C"/>
    <w:rsid w:val="31514CF8"/>
    <w:rsid w:val="315658FD"/>
    <w:rsid w:val="31584683"/>
    <w:rsid w:val="31586882"/>
    <w:rsid w:val="315C308A"/>
    <w:rsid w:val="315D0B0B"/>
    <w:rsid w:val="315F1A90"/>
    <w:rsid w:val="3168109A"/>
    <w:rsid w:val="316A459E"/>
    <w:rsid w:val="316F42A9"/>
    <w:rsid w:val="317119AA"/>
    <w:rsid w:val="3174292F"/>
    <w:rsid w:val="318254C8"/>
    <w:rsid w:val="318C5DD7"/>
    <w:rsid w:val="318E12DA"/>
    <w:rsid w:val="31971BEA"/>
    <w:rsid w:val="319F2879"/>
    <w:rsid w:val="31A81E84"/>
    <w:rsid w:val="31AA0C0A"/>
    <w:rsid w:val="31AE7611"/>
    <w:rsid w:val="31B3151A"/>
    <w:rsid w:val="31B55940"/>
    <w:rsid w:val="31B66C1B"/>
    <w:rsid w:val="31BE4028"/>
    <w:rsid w:val="31C10830"/>
    <w:rsid w:val="31C51434"/>
    <w:rsid w:val="31C57236"/>
    <w:rsid w:val="31C66EB6"/>
    <w:rsid w:val="31CD277D"/>
    <w:rsid w:val="31D574D0"/>
    <w:rsid w:val="31DA5B56"/>
    <w:rsid w:val="31DF79A9"/>
    <w:rsid w:val="31E032E3"/>
    <w:rsid w:val="31E651EC"/>
    <w:rsid w:val="31E8528A"/>
    <w:rsid w:val="31F34B01"/>
    <w:rsid w:val="31F400B8"/>
    <w:rsid w:val="31F51F83"/>
    <w:rsid w:val="31F8678B"/>
    <w:rsid w:val="31FA3E8C"/>
    <w:rsid w:val="31FD4E11"/>
    <w:rsid w:val="31FF6116"/>
    <w:rsid w:val="3200779C"/>
    <w:rsid w:val="3204479C"/>
    <w:rsid w:val="320C1BA8"/>
    <w:rsid w:val="32103E32"/>
    <w:rsid w:val="32103FEE"/>
    <w:rsid w:val="32145AB4"/>
    <w:rsid w:val="32187540"/>
    <w:rsid w:val="32194741"/>
    <w:rsid w:val="321E5346"/>
    <w:rsid w:val="32207918"/>
    <w:rsid w:val="32211AF1"/>
    <w:rsid w:val="32294689"/>
    <w:rsid w:val="32300AE3"/>
    <w:rsid w:val="32323FE6"/>
    <w:rsid w:val="323E7DF9"/>
    <w:rsid w:val="325532A1"/>
    <w:rsid w:val="32561875"/>
    <w:rsid w:val="326225B7"/>
    <w:rsid w:val="32676A3F"/>
    <w:rsid w:val="326D0948"/>
    <w:rsid w:val="326E1C4D"/>
    <w:rsid w:val="326F3E4B"/>
    <w:rsid w:val="326F76CF"/>
    <w:rsid w:val="32705150"/>
    <w:rsid w:val="327C0F63"/>
    <w:rsid w:val="327F1EE7"/>
    <w:rsid w:val="327F40E6"/>
    <w:rsid w:val="32851B1A"/>
    <w:rsid w:val="32861024"/>
    <w:rsid w:val="32883C32"/>
    <w:rsid w:val="328A5CFA"/>
    <w:rsid w:val="328C11FD"/>
    <w:rsid w:val="32963D0B"/>
    <w:rsid w:val="32972AC2"/>
    <w:rsid w:val="32AD3681"/>
    <w:rsid w:val="32B310BD"/>
    <w:rsid w:val="32B545C0"/>
    <w:rsid w:val="32BD19CC"/>
    <w:rsid w:val="32C216D7"/>
    <w:rsid w:val="32C56DD8"/>
    <w:rsid w:val="32C835E0"/>
    <w:rsid w:val="32CA473F"/>
    <w:rsid w:val="32CB6763"/>
    <w:rsid w:val="32D009ED"/>
    <w:rsid w:val="32D43E3A"/>
    <w:rsid w:val="32D528F6"/>
    <w:rsid w:val="32D8387B"/>
    <w:rsid w:val="32E62B90"/>
    <w:rsid w:val="32EF7C1D"/>
    <w:rsid w:val="32F13120"/>
    <w:rsid w:val="32F31EA6"/>
    <w:rsid w:val="32FB72B2"/>
    <w:rsid w:val="3302769F"/>
    <w:rsid w:val="3304433F"/>
    <w:rsid w:val="33047BC2"/>
    <w:rsid w:val="330630C5"/>
    <w:rsid w:val="330A6248"/>
    <w:rsid w:val="330C174B"/>
    <w:rsid w:val="33111456"/>
    <w:rsid w:val="331B77E7"/>
    <w:rsid w:val="33265B78"/>
    <w:rsid w:val="333208A8"/>
    <w:rsid w:val="33371696"/>
    <w:rsid w:val="333B229A"/>
    <w:rsid w:val="333E321F"/>
    <w:rsid w:val="33417A27"/>
    <w:rsid w:val="33445128"/>
    <w:rsid w:val="334A28B5"/>
    <w:rsid w:val="334F6D3D"/>
    <w:rsid w:val="33580768"/>
    <w:rsid w:val="3358764C"/>
    <w:rsid w:val="336124DA"/>
    <w:rsid w:val="33666E2C"/>
    <w:rsid w:val="33712774"/>
    <w:rsid w:val="33797B81"/>
    <w:rsid w:val="337B3084"/>
    <w:rsid w:val="33905E8E"/>
    <w:rsid w:val="339461AC"/>
    <w:rsid w:val="339729B4"/>
    <w:rsid w:val="33980436"/>
    <w:rsid w:val="33995EB7"/>
    <w:rsid w:val="339A5ADA"/>
    <w:rsid w:val="339B5B37"/>
    <w:rsid w:val="339D6ABC"/>
    <w:rsid w:val="33A275A6"/>
    <w:rsid w:val="33A53EC8"/>
    <w:rsid w:val="33AB1C16"/>
    <w:rsid w:val="33AF297E"/>
    <w:rsid w:val="33B169E4"/>
    <w:rsid w:val="33BA5704"/>
    <w:rsid w:val="33C137F8"/>
    <w:rsid w:val="33C33478"/>
    <w:rsid w:val="33C36CFB"/>
    <w:rsid w:val="33C40EFA"/>
    <w:rsid w:val="33C4477D"/>
    <w:rsid w:val="33C50C9B"/>
    <w:rsid w:val="33C643FD"/>
    <w:rsid w:val="33C7466E"/>
    <w:rsid w:val="33CE508C"/>
    <w:rsid w:val="33D0278E"/>
    <w:rsid w:val="33D23A93"/>
    <w:rsid w:val="33D64697"/>
    <w:rsid w:val="33D835A4"/>
    <w:rsid w:val="33D9561C"/>
    <w:rsid w:val="33DB301A"/>
    <w:rsid w:val="33DE60D8"/>
    <w:rsid w:val="33E0082A"/>
    <w:rsid w:val="33EC1B85"/>
    <w:rsid w:val="33ED7B40"/>
    <w:rsid w:val="33F05B15"/>
    <w:rsid w:val="33F474CA"/>
    <w:rsid w:val="33F66251"/>
    <w:rsid w:val="33F85478"/>
    <w:rsid w:val="33F85ED1"/>
    <w:rsid w:val="33FC48D7"/>
    <w:rsid w:val="34034262"/>
    <w:rsid w:val="34052FE8"/>
    <w:rsid w:val="34057765"/>
    <w:rsid w:val="340D03F4"/>
    <w:rsid w:val="340D3AA9"/>
    <w:rsid w:val="341B1908"/>
    <w:rsid w:val="341F5D90"/>
    <w:rsid w:val="3420011D"/>
    <w:rsid w:val="3424001A"/>
    <w:rsid w:val="343D0BC3"/>
    <w:rsid w:val="343D7734"/>
    <w:rsid w:val="344078BE"/>
    <w:rsid w:val="344175CA"/>
    <w:rsid w:val="344423B0"/>
    <w:rsid w:val="344A2458"/>
    <w:rsid w:val="344E0E5E"/>
    <w:rsid w:val="34563CEC"/>
    <w:rsid w:val="346076B1"/>
    <w:rsid w:val="34646885"/>
    <w:rsid w:val="34661D88"/>
    <w:rsid w:val="346A4F0B"/>
    <w:rsid w:val="3473361C"/>
    <w:rsid w:val="347352B7"/>
    <w:rsid w:val="34745C97"/>
    <w:rsid w:val="34777F6D"/>
    <w:rsid w:val="347C06A8"/>
    <w:rsid w:val="347D19AD"/>
    <w:rsid w:val="347F162D"/>
    <w:rsid w:val="34891371"/>
    <w:rsid w:val="348A3241"/>
    <w:rsid w:val="34902BCC"/>
    <w:rsid w:val="3491064E"/>
    <w:rsid w:val="349A7C58"/>
    <w:rsid w:val="349E40E0"/>
    <w:rsid w:val="349E665E"/>
    <w:rsid w:val="349F1B61"/>
    <w:rsid w:val="34AC6C79"/>
    <w:rsid w:val="34B20B82"/>
    <w:rsid w:val="34B51B07"/>
    <w:rsid w:val="34C05919"/>
    <w:rsid w:val="34CA4F44"/>
    <w:rsid w:val="34D310B7"/>
    <w:rsid w:val="34D77893"/>
    <w:rsid w:val="34D96843"/>
    <w:rsid w:val="34E01279"/>
    <w:rsid w:val="34E15E4E"/>
    <w:rsid w:val="34E411C2"/>
    <w:rsid w:val="34E54854"/>
    <w:rsid w:val="34E622D6"/>
    <w:rsid w:val="34F373ED"/>
    <w:rsid w:val="34F62570"/>
    <w:rsid w:val="34FA4916"/>
    <w:rsid w:val="350B2DD9"/>
    <w:rsid w:val="351864FF"/>
    <w:rsid w:val="351C27B0"/>
    <w:rsid w:val="351E2AB9"/>
    <w:rsid w:val="35216C38"/>
    <w:rsid w:val="35290AE3"/>
    <w:rsid w:val="35301317"/>
    <w:rsid w:val="35301450"/>
    <w:rsid w:val="3536335A"/>
    <w:rsid w:val="353A1D60"/>
    <w:rsid w:val="353E3FE9"/>
    <w:rsid w:val="353F1A6B"/>
    <w:rsid w:val="353F61E8"/>
    <w:rsid w:val="35412652"/>
    <w:rsid w:val="35414F6E"/>
    <w:rsid w:val="35424BEE"/>
    <w:rsid w:val="354748F9"/>
    <w:rsid w:val="35497DFC"/>
    <w:rsid w:val="354A1FFA"/>
    <w:rsid w:val="354B460C"/>
    <w:rsid w:val="354C0D81"/>
    <w:rsid w:val="35584B93"/>
    <w:rsid w:val="355C710A"/>
    <w:rsid w:val="356B3EAF"/>
    <w:rsid w:val="356C3834"/>
    <w:rsid w:val="356E6D37"/>
    <w:rsid w:val="3572793B"/>
    <w:rsid w:val="35764143"/>
    <w:rsid w:val="357F4A53"/>
    <w:rsid w:val="358259D7"/>
    <w:rsid w:val="35886381"/>
    <w:rsid w:val="35915FF2"/>
    <w:rsid w:val="359549F8"/>
    <w:rsid w:val="359955FD"/>
    <w:rsid w:val="359B4383"/>
    <w:rsid w:val="359C6581"/>
    <w:rsid w:val="35A04F88"/>
    <w:rsid w:val="35A2048B"/>
    <w:rsid w:val="35A66D8A"/>
    <w:rsid w:val="35AB0D9A"/>
    <w:rsid w:val="35B00AA5"/>
    <w:rsid w:val="35B05222"/>
    <w:rsid w:val="35B23FA8"/>
    <w:rsid w:val="35B6712B"/>
    <w:rsid w:val="35B8262E"/>
    <w:rsid w:val="35B85EB2"/>
    <w:rsid w:val="35C8614C"/>
    <w:rsid w:val="35CE0055"/>
    <w:rsid w:val="35D12C0E"/>
    <w:rsid w:val="35D231D8"/>
    <w:rsid w:val="35D3070E"/>
    <w:rsid w:val="35D65462"/>
    <w:rsid w:val="35DC736B"/>
    <w:rsid w:val="35DD1B16"/>
    <w:rsid w:val="35E421F9"/>
    <w:rsid w:val="35F36F90"/>
    <w:rsid w:val="35F8464C"/>
    <w:rsid w:val="35FC56A1"/>
    <w:rsid w:val="36044CAC"/>
    <w:rsid w:val="360714B4"/>
    <w:rsid w:val="360836B2"/>
    <w:rsid w:val="36100ABF"/>
    <w:rsid w:val="361A26D3"/>
    <w:rsid w:val="36227ADF"/>
    <w:rsid w:val="362551E1"/>
    <w:rsid w:val="362A0D2E"/>
    <w:rsid w:val="362B296D"/>
    <w:rsid w:val="362E5AF0"/>
    <w:rsid w:val="363244F6"/>
    <w:rsid w:val="36374201"/>
    <w:rsid w:val="363D610B"/>
    <w:rsid w:val="363E0309"/>
    <w:rsid w:val="363F5D8A"/>
    <w:rsid w:val="36430014"/>
    <w:rsid w:val="36476A1A"/>
    <w:rsid w:val="364C0EFB"/>
    <w:rsid w:val="3652282D"/>
    <w:rsid w:val="365C4DA4"/>
    <w:rsid w:val="365D4441"/>
    <w:rsid w:val="365F40C1"/>
    <w:rsid w:val="36612E47"/>
    <w:rsid w:val="36643DCC"/>
    <w:rsid w:val="366614CD"/>
    <w:rsid w:val="366A7ED3"/>
    <w:rsid w:val="366F7BDE"/>
    <w:rsid w:val="36720B63"/>
    <w:rsid w:val="367252E0"/>
    <w:rsid w:val="367C1473"/>
    <w:rsid w:val="368E0F0F"/>
    <w:rsid w:val="368E4C10"/>
    <w:rsid w:val="36940D18"/>
    <w:rsid w:val="369B06A2"/>
    <w:rsid w:val="369C3F7E"/>
    <w:rsid w:val="369C6124"/>
    <w:rsid w:val="369E4EAA"/>
    <w:rsid w:val="36AF5145"/>
    <w:rsid w:val="36B23B4B"/>
    <w:rsid w:val="36C80F8C"/>
    <w:rsid w:val="36C95CEF"/>
    <w:rsid w:val="36CE25E7"/>
    <w:rsid w:val="36D80507"/>
    <w:rsid w:val="36D93AE4"/>
    <w:rsid w:val="36DD356C"/>
    <w:rsid w:val="36DE2411"/>
    <w:rsid w:val="36E3431A"/>
    <w:rsid w:val="36E47B9D"/>
    <w:rsid w:val="36E64E2E"/>
    <w:rsid w:val="36E70B22"/>
    <w:rsid w:val="36E96223"/>
    <w:rsid w:val="36EA5A89"/>
    <w:rsid w:val="36EB7528"/>
    <w:rsid w:val="36F2777E"/>
    <w:rsid w:val="36FA1D41"/>
    <w:rsid w:val="36FB77C2"/>
    <w:rsid w:val="37036DCD"/>
    <w:rsid w:val="3705164D"/>
    <w:rsid w:val="370A6758"/>
    <w:rsid w:val="370B7A5D"/>
    <w:rsid w:val="370F6463"/>
    <w:rsid w:val="37111966"/>
    <w:rsid w:val="3715036C"/>
    <w:rsid w:val="371A47F4"/>
    <w:rsid w:val="371B136A"/>
    <w:rsid w:val="371C198B"/>
    <w:rsid w:val="371F66FD"/>
    <w:rsid w:val="37206A37"/>
    <w:rsid w:val="372D5A13"/>
    <w:rsid w:val="372E6D18"/>
    <w:rsid w:val="373508A1"/>
    <w:rsid w:val="373A0948"/>
    <w:rsid w:val="373E372F"/>
    <w:rsid w:val="37417F37"/>
    <w:rsid w:val="37445638"/>
    <w:rsid w:val="374A7542"/>
    <w:rsid w:val="374D3D49"/>
    <w:rsid w:val="37506ECC"/>
    <w:rsid w:val="375867E7"/>
    <w:rsid w:val="375D0761"/>
    <w:rsid w:val="37617167"/>
    <w:rsid w:val="3763266A"/>
    <w:rsid w:val="37635EED"/>
    <w:rsid w:val="37645B6D"/>
    <w:rsid w:val="376535EE"/>
    <w:rsid w:val="37671737"/>
    <w:rsid w:val="37724F07"/>
    <w:rsid w:val="377D6D25"/>
    <w:rsid w:val="37842F91"/>
    <w:rsid w:val="378828AA"/>
    <w:rsid w:val="378D6D31"/>
    <w:rsid w:val="378E0036"/>
    <w:rsid w:val="37935EAB"/>
    <w:rsid w:val="37977641"/>
    <w:rsid w:val="379A3E49"/>
    <w:rsid w:val="379A74B9"/>
    <w:rsid w:val="379C3AC9"/>
    <w:rsid w:val="37AC3D63"/>
    <w:rsid w:val="37B02769"/>
    <w:rsid w:val="37B25C6C"/>
    <w:rsid w:val="37B449F3"/>
    <w:rsid w:val="37B54672"/>
    <w:rsid w:val="37B620F4"/>
    <w:rsid w:val="37B67EF6"/>
    <w:rsid w:val="37B93079"/>
    <w:rsid w:val="37BE7500"/>
    <w:rsid w:val="37C2178A"/>
    <w:rsid w:val="37C4140A"/>
    <w:rsid w:val="37CD4298"/>
    <w:rsid w:val="37D16521"/>
    <w:rsid w:val="37D57125"/>
    <w:rsid w:val="37D90433"/>
    <w:rsid w:val="37DB48B2"/>
    <w:rsid w:val="37DC2E23"/>
    <w:rsid w:val="37E67554"/>
    <w:rsid w:val="37F16A56"/>
    <w:rsid w:val="37F222D9"/>
    <w:rsid w:val="37F457DC"/>
    <w:rsid w:val="37FB2BE8"/>
    <w:rsid w:val="37FC066A"/>
    <w:rsid w:val="38022573"/>
    <w:rsid w:val="38070BF9"/>
    <w:rsid w:val="3808447D"/>
    <w:rsid w:val="3808667B"/>
    <w:rsid w:val="38137C9C"/>
    <w:rsid w:val="38192198"/>
    <w:rsid w:val="38267F5A"/>
    <w:rsid w:val="382849B1"/>
    <w:rsid w:val="38365EC5"/>
    <w:rsid w:val="383B234D"/>
    <w:rsid w:val="383C5BD0"/>
    <w:rsid w:val="383C7DCF"/>
    <w:rsid w:val="3842555B"/>
    <w:rsid w:val="3845436E"/>
    <w:rsid w:val="384719E3"/>
    <w:rsid w:val="384D38EC"/>
    <w:rsid w:val="3852678F"/>
    <w:rsid w:val="38604B0B"/>
    <w:rsid w:val="38615E10"/>
    <w:rsid w:val="386A76DE"/>
    <w:rsid w:val="386C091E"/>
    <w:rsid w:val="38735D2A"/>
    <w:rsid w:val="3875122D"/>
    <w:rsid w:val="38771C0C"/>
    <w:rsid w:val="38774730"/>
    <w:rsid w:val="38797C33"/>
    <w:rsid w:val="388109FB"/>
    <w:rsid w:val="38853A46"/>
    <w:rsid w:val="3888024E"/>
    <w:rsid w:val="388D46D6"/>
    <w:rsid w:val="389152DA"/>
    <w:rsid w:val="38953CE0"/>
    <w:rsid w:val="38964FE5"/>
    <w:rsid w:val="389E23F2"/>
    <w:rsid w:val="389E45F0"/>
    <w:rsid w:val="38A07AF3"/>
    <w:rsid w:val="38A22FF6"/>
    <w:rsid w:val="38A677FE"/>
    <w:rsid w:val="38A96204"/>
    <w:rsid w:val="38B1327A"/>
    <w:rsid w:val="38B15205"/>
    <w:rsid w:val="38BC19A2"/>
    <w:rsid w:val="38BE4EA5"/>
    <w:rsid w:val="38C2132C"/>
    <w:rsid w:val="38C90CB7"/>
    <w:rsid w:val="38D00642"/>
    <w:rsid w:val="38D34E4A"/>
    <w:rsid w:val="38D61C53"/>
    <w:rsid w:val="38D6254B"/>
    <w:rsid w:val="38D96D53"/>
    <w:rsid w:val="38EA11EC"/>
    <w:rsid w:val="38EB24F1"/>
    <w:rsid w:val="38F143FA"/>
    <w:rsid w:val="38F52E00"/>
    <w:rsid w:val="38F60882"/>
    <w:rsid w:val="39027EFE"/>
    <w:rsid w:val="39065299"/>
    <w:rsid w:val="39091AA1"/>
    <w:rsid w:val="390F39AA"/>
    <w:rsid w:val="39106EAD"/>
    <w:rsid w:val="39137E32"/>
    <w:rsid w:val="39155474"/>
    <w:rsid w:val="39191359"/>
    <w:rsid w:val="3919383B"/>
    <w:rsid w:val="391D0741"/>
    <w:rsid w:val="39217148"/>
    <w:rsid w:val="3923264B"/>
    <w:rsid w:val="39291FD6"/>
    <w:rsid w:val="392E0314"/>
    <w:rsid w:val="393206E7"/>
    <w:rsid w:val="393670ED"/>
    <w:rsid w:val="393E44F9"/>
    <w:rsid w:val="39432B7F"/>
    <w:rsid w:val="39456083"/>
    <w:rsid w:val="394D348F"/>
    <w:rsid w:val="394E0F10"/>
    <w:rsid w:val="39507C97"/>
    <w:rsid w:val="39573D9E"/>
    <w:rsid w:val="39577622"/>
    <w:rsid w:val="39592B25"/>
    <w:rsid w:val="395A05A6"/>
    <w:rsid w:val="395E3F7E"/>
    <w:rsid w:val="39607F31"/>
    <w:rsid w:val="39627BB1"/>
    <w:rsid w:val="3970274A"/>
    <w:rsid w:val="397A0ADB"/>
    <w:rsid w:val="398D4278"/>
    <w:rsid w:val="398D7AFC"/>
    <w:rsid w:val="398F7860"/>
    <w:rsid w:val="39931A05"/>
    <w:rsid w:val="399C6A91"/>
    <w:rsid w:val="399D7D96"/>
    <w:rsid w:val="39A3641C"/>
    <w:rsid w:val="39A828A4"/>
    <w:rsid w:val="39AE6463"/>
    <w:rsid w:val="39B324CD"/>
    <w:rsid w:val="39BA18C5"/>
    <w:rsid w:val="39BE0611"/>
    <w:rsid w:val="39C03EA5"/>
    <w:rsid w:val="39C36951"/>
    <w:rsid w:val="39C57535"/>
    <w:rsid w:val="39CA501E"/>
    <w:rsid w:val="39CE505E"/>
    <w:rsid w:val="39D02258"/>
    <w:rsid w:val="39D349ED"/>
    <w:rsid w:val="39D5079A"/>
    <w:rsid w:val="39DB1DF9"/>
    <w:rsid w:val="39E11784"/>
    <w:rsid w:val="39F32D23"/>
    <w:rsid w:val="39F374A0"/>
    <w:rsid w:val="39F43210"/>
    <w:rsid w:val="39FA666B"/>
    <w:rsid w:val="39FB232E"/>
    <w:rsid w:val="39FD3633"/>
    <w:rsid w:val="3A041D6B"/>
    <w:rsid w:val="3A0606BF"/>
    <w:rsid w:val="3A1122D3"/>
    <w:rsid w:val="3A143258"/>
    <w:rsid w:val="3A167314"/>
    <w:rsid w:val="3A195161"/>
    <w:rsid w:val="3A213CB9"/>
    <w:rsid w:val="3A286675"/>
    <w:rsid w:val="3A2940F7"/>
    <w:rsid w:val="3A29797A"/>
    <w:rsid w:val="3A301503"/>
    <w:rsid w:val="3A307305"/>
    <w:rsid w:val="3A3C5316"/>
    <w:rsid w:val="3A415021"/>
    <w:rsid w:val="3A5307BE"/>
    <w:rsid w:val="3A5C6ECF"/>
    <w:rsid w:val="3A601780"/>
    <w:rsid w:val="3A6058D6"/>
    <w:rsid w:val="3A622FD7"/>
    <w:rsid w:val="3A653F5C"/>
    <w:rsid w:val="3A6E266D"/>
    <w:rsid w:val="3A717D6E"/>
    <w:rsid w:val="3A7257F0"/>
    <w:rsid w:val="3A747B83"/>
    <w:rsid w:val="3A767A79"/>
    <w:rsid w:val="3A7A647F"/>
    <w:rsid w:val="3A7A7510"/>
    <w:rsid w:val="3A7B60FF"/>
    <w:rsid w:val="3A810009"/>
    <w:rsid w:val="3A871F12"/>
    <w:rsid w:val="3A887993"/>
    <w:rsid w:val="3A8A2E97"/>
    <w:rsid w:val="3A8E189D"/>
    <w:rsid w:val="3A9003B4"/>
    <w:rsid w:val="3A9C1EB7"/>
    <w:rsid w:val="3AA008BD"/>
    <w:rsid w:val="3AA2053D"/>
    <w:rsid w:val="3AB25844"/>
    <w:rsid w:val="3AB4755E"/>
    <w:rsid w:val="3AB54FE0"/>
    <w:rsid w:val="3ABA1467"/>
    <w:rsid w:val="3ABD5C6F"/>
    <w:rsid w:val="3AC501D7"/>
    <w:rsid w:val="3ACA7503"/>
    <w:rsid w:val="3AD26B0E"/>
    <w:rsid w:val="3AD42011"/>
    <w:rsid w:val="3ADB521F"/>
    <w:rsid w:val="3ADD527F"/>
    <w:rsid w:val="3ADE5C5A"/>
    <w:rsid w:val="3AE17129"/>
    <w:rsid w:val="3AE24BAA"/>
    <w:rsid w:val="3AE80CB2"/>
    <w:rsid w:val="3AE96733"/>
    <w:rsid w:val="3AF060BE"/>
    <w:rsid w:val="3AF11D8C"/>
    <w:rsid w:val="3AF24DD9"/>
    <w:rsid w:val="3AF40348"/>
    <w:rsid w:val="3AF44AC4"/>
    <w:rsid w:val="3AF55DC9"/>
    <w:rsid w:val="3AF6384B"/>
    <w:rsid w:val="3AF67FC7"/>
    <w:rsid w:val="3B056063"/>
    <w:rsid w:val="3B083765"/>
    <w:rsid w:val="3B084AF6"/>
    <w:rsid w:val="3B0E0EF1"/>
    <w:rsid w:val="3B20468F"/>
    <w:rsid w:val="3B2228E9"/>
    <w:rsid w:val="3B2A0822"/>
    <w:rsid w:val="3B2C04A1"/>
    <w:rsid w:val="3B2E7228"/>
    <w:rsid w:val="3B337DC4"/>
    <w:rsid w:val="3B341131"/>
    <w:rsid w:val="3B35605C"/>
    <w:rsid w:val="3B366CEA"/>
    <w:rsid w:val="3B38059C"/>
    <w:rsid w:val="3B3977B7"/>
    <w:rsid w:val="3B3A5239"/>
    <w:rsid w:val="3B3C073C"/>
    <w:rsid w:val="3B4413CB"/>
    <w:rsid w:val="3B476ACD"/>
    <w:rsid w:val="3B48454E"/>
    <w:rsid w:val="3B587B7A"/>
    <w:rsid w:val="3B651551"/>
    <w:rsid w:val="3B676B56"/>
    <w:rsid w:val="3B677002"/>
    <w:rsid w:val="3B782B1F"/>
    <w:rsid w:val="3B7D6FA7"/>
    <w:rsid w:val="3B8443B3"/>
    <w:rsid w:val="3B8637C8"/>
    <w:rsid w:val="3B8A40BE"/>
    <w:rsid w:val="3B8C5043"/>
    <w:rsid w:val="3B915302"/>
    <w:rsid w:val="3B9236C9"/>
    <w:rsid w:val="3B9338B9"/>
    <w:rsid w:val="3B9C66E6"/>
    <w:rsid w:val="3B9D52DD"/>
    <w:rsid w:val="3BA77DEB"/>
    <w:rsid w:val="3BB2617C"/>
    <w:rsid w:val="3BBA6E0C"/>
    <w:rsid w:val="3BBB6A8C"/>
    <w:rsid w:val="3BBE3A81"/>
    <w:rsid w:val="3BBE7A10"/>
    <w:rsid w:val="3BC606A0"/>
    <w:rsid w:val="3BCC6D26"/>
    <w:rsid w:val="3BCF2324"/>
    <w:rsid w:val="3BDC2844"/>
    <w:rsid w:val="3BDE270D"/>
    <w:rsid w:val="3BDF32AC"/>
    <w:rsid w:val="3BEA1B59"/>
    <w:rsid w:val="3BEE268D"/>
    <w:rsid w:val="3BF746F2"/>
    <w:rsid w:val="3BFB7875"/>
    <w:rsid w:val="3BFE07FA"/>
    <w:rsid w:val="3BFE407D"/>
    <w:rsid w:val="3BFE4857"/>
    <w:rsid w:val="3C022A83"/>
    <w:rsid w:val="3C030505"/>
    <w:rsid w:val="3C035A0C"/>
    <w:rsid w:val="3C053A08"/>
    <w:rsid w:val="3C0D0E14"/>
    <w:rsid w:val="3C12749A"/>
    <w:rsid w:val="3C196E25"/>
    <w:rsid w:val="3C1C0729"/>
    <w:rsid w:val="3C207D85"/>
    <w:rsid w:val="3C227735"/>
    <w:rsid w:val="3C245D0D"/>
    <w:rsid w:val="3C2E3547"/>
    <w:rsid w:val="3C317D4F"/>
    <w:rsid w:val="3C39515C"/>
    <w:rsid w:val="3C3D4687"/>
    <w:rsid w:val="3C4569F0"/>
    <w:rsid w:val="3C4E187E"/>
    <w:rsid w:val="3C543787"/>
    <w:rsid w:val="3C585A10"/>
    <w:rsid w:val="3C5F2E1D"/>
    <w:rsid w:val="3C623D29"/>
    <w:rsid w:val="3C6D68AF"/>
    <w:rsid w:val="3C6E1DB2"/>
    <w:rsid w:val="3C73623A"/>
    <w:rsid w:val="3C7F204D"/>
    <w:rsid w:val="3C831101"/>
    <w:rsid w:val="3C876996"/>
    <w:rsid w:val="3C8C7164"/>
    <w:rsid w:val="3C8F00E9"/>
    <w:rsid w:val="3C907D69"/>
    <w:rsid w:val="3C957A74"/>
    <w:rsid w:val="3CA05E05"/>
    <w:rsid w:val="3CA13886"/>
    <w:rsid w:val="3CA80C93"/>
    <w:rsid w:val="3CB0609F"/>
    <w:rsid w:val="3CB15833"/>
    <w:rsid w:val="3CB32E62"/>
    <w:rsid w:val="3CB90F2D"/>
    <w:rsid w:val="3CBC5735"/>
    <w:rsid w:val="3CBD31B6"/>
    <w:rsid w:val="3CBD7933"/>
    <w:rsid w:val="3CCC59CF"/>
    <w:rsid w:val="3CE1686E"/>
    <w:rsid w:val="3CE477F3"/>
    <w:rsid w:val="3CE70777"/>
    <w:rsid w:val="3CED2681"/>
    <w:rsid w:val="3CEF1407"/>
    <w:rsid w:val="3CF37E0D"/>
    <w:rsid w:val="3CFB7418"/>
    <w:rsid w:val="3CFF77A0"/>
    <w:rsid w:val="3D0038A0"/>
    <w:rsid w:val="3D053D82"/>
    <w:rsid w:val="3D0B3C09"/>
    <w:rsid w:val="3D0C2F35"/>
    <w:rsid w:val="3D0E6439"/>
    <w:rsid w:val="3D153845"/>
    <w:rsid w:val="3D1559A5"/>
    <w:rsid w:val="3D2902E7"/>
    <w:rsid w:val="3D2B37EA"/>
    <w:rsid w:val="3D2B59E9"/>
    <w:rsid w:val="3D2F21F1"/>
    <w:rsid w:val="3D307C72"/>
    <w:rsid w:val="3D313175"/>
    <w:rsid w:val="3D3675FD"/>
    <w:rsid w:val="3D390582"/>
    <w:rsid w:val="3D456592"/>
    <w:rsid w:val="3D4A69A7"/>
    <w:rsid w:val="3D5123A5"/>
    <w:rsid w:val="3D527E27"/>
    <w:rsid w:val="3D5B6538"/>
    <w:rsid w:val="3D6350F3"/>
    <w:rsid w:val="3D677DCC"/>
    <w:rsid w:val="3D6C09D0"/>
    <w:rsid w:val="3D6D1CD5"/>
    <w:rsid w:val="3D6D6452"/>
    <w:rsid w:val="3D734107"/>
    <w:rsid w:val="3D793569"/>
    <w:rsid w:val="3D802EF4"/>
    <w:rsid w:val="3D810976"/>
    <w:rsid w:val="3D895D82"/>
    <w:rsid w:val="3D8B1285"/>
    <w:rsid w:val="3D90570D"/>
    <w:rsid w:val="3D947997"/>
    <w:rsid w:val="3D98639D"/>
    <w:rsid w:val="3D9918A0"/>
    <w:rsid w:val="3DA108C1"/>
    <w:rsid w:val="3DA13429"/>
    <w:rsid w:val="3DA443AE"/>
    <w:rsid w:val="3DA662CF"/>
    <w:rsid w:val="3DAB17BA"/>
    <w:rsid w:val="3DB24CED"/>
    <w:rsid w:val="3DB868D1"/>
    <w:rsid w:val="3DC15EDC"/>
    <w:rsid w:val="3DC93D93"/>
    <w:rsid w:val="3DD006F5"/>
    <w:rsid w:val="3DDB2309"/>
    <w:rsid w:val="3DE14212"/>
    <w:rsid w:val="3DE27716"/>
    <w:rsid w:val="3DE47CE0"/>
    <w:rsid w:val="3DE970A0"/>
    <w:rsid w:val="3DF156C8"/>
    <w:rsid w:val="3DF33233"/>
    <w:rsid w:val="3DFE37C3"/>
    <w:rsid w:val="3DFF1244"/>
    <w:rsid w:val="3E012549"/>
    <w:rsid w:val="3E0334CE"/>
    <w:rsid w:val="3E0F72E0"/>
    <w:rsid w:val="3E1533E8"/>
    <w:rsid w:val="3E1A30F3"/>
    <w:rsid w:val="3E1A5671"/>
    <w:rsid w:val="3E1B0B74"/>
    <w:rsid w:val="3E1E266B"/>
    <w:rsid w:val="3E212A7E"/>
    <w:rsid w:val="3E214783"/>
    <w:rsid w:val="3E2B338D"/>
    <w:rsid w:val="3E2C0E0F"/>
    <w:rsid w:val="3E317495"/>
    <w:rsid w:val="3E332998"/>
    <w:rsid w:val="3E3A252C"/>
    <w:rsid w:val="3E530CCE"/>
    <w:rsid w:val="3E59645B"/>
    <w:rsid w:val="3E605DE6"/>
    <w:rsid w:val="3E6246F2"/>
    <w:rsid w:val="3E6C7FAB"/>
    <w:rsid w:val="3E772188"/>
    <w:rsid w:val="3E787C09"/>
    <w:rsid w:val="3E7C1E93"/>
    <w:rsid w:val="3E802A97"/>
    <w:rsid w:val="3E8C68AA"/>
    <w:rsid w:val="3E924036"/>
    <w:rsid w:val="3E995BBF"/>
    <w:rsid w:val="3E9F334C"/>
    <w:rsid w:val="3E9F7AC9"/>
    <w:rsid w:val="3EA93C5B"/>
    <w:rsid w:val="3EAA16DD"/>
    <w:rsid w:val="3EAB715E"/>
    <w:rsid w:val="3EAC686A"/>
    <w:rsid w:val="3EAF5B65"/>
    <w:rsid w:val="3EB91CF7"/>
    <w:rsid w:val="3EC42287"/>
    <w:rsid w:val="3ECB1C12"/>
    <w:rsid w:val="3ECE0886"/>
    <w:rsid w:val="3ED1739E"/>
    <w:rsid w:val="3ED65A24"/>
    <w:rsid w:val="3ED80F27"/>
    <w:rsid w:val="3EDB1EAC"/>
    <w:rsid w:val="3EDF4135"/>
    <w:rsid w:val="3EE13DB5"/>
    <w:rsid w:val="3EE405BD"/>
    <w:rsid w:val="3EEC7BC8"/>
    <w:rsid w:val="3EF839DA"/>
    <w:rsid w:val="3EF9145C"/>
    <w:rsid w:val="3EFF3BB4"/>
    <w:rsid w:val="3F00466A"/>
    <w:rsid w:val="3F01030F"/>
    <w:rsid w:val="3F0120EC"/>
    <w:rsid w:val="3F0220C1"/>
    <w:rsid w:val="3F0355EF"/>
    <w:rsid w:val="3F0377ED"/>
    <w:rsid w:val="3F063FF5"/>
    <w:rsid w:val="3F1D3C1A"/>
    <w:rsid w:val="3F2435A5"/>
    <w:rsid w:val="3F2F51B9"/>
    <w:rsid w:val="3F345DBE"/>
    <w:rsid w:val="3F3D66CD"/>
    <w:rsid w:val="3F3E7581"/>
    <w:rsid w:val="3F410957"/>
    <w:rsid w:val="3F4117E2"/>
    <w:rsid w:val="3F433E5A"/>
    <w:rsid w:val="3F4C3465"/>
    <w:rsid w:val="3F4D6968"/>
    <w:rsid w:val="3F50359F"/>
    <w:rsid w:val="3F5078EC"/>
    <w:rsid w:val="3F520BF1"/>
    <w:rsid w:val="3F530871"/>
    <w:rsid w:val="3F536673"/>
    <w:rsid w:val="3F5B5C7D"/>
    <w:rsid w:val="3F5D1180"/>
    <w:rsid w:val="3F640B0B"/>
    <w:rsid w:val="3F663E5C"/>
    <w:rsid w:val="3F703557"/>
    <w:rsid w:val="3F790AB1"/>
    <w:rsid w:val="3F7E4F38"/>
    <w:rsid w:val="3F846E42"/>
    <w:rsid w:val="3F8548C3"/>
    <w:rsid w:val="3F91693F"/>
    <w:rsid w:val="3F954B5E"/>
    <w:rsid w:val="3F9A4869"/>
    <w:rsid w:val="3FA04B9A"/>
    <w:rsid w:val="3FB862CC"/>
    <w:rsid w:val="3FBC4938"/>
    <w:rsid w:val="3FBD02A0"/>
    <w:rsid w:val="3FC41290"/>
    <w:rsid w:val="3FC41E29"/>
    <w:rsid w:val="3FCC2AB9"/>
    <w:rsid w:val="3FD32444"/>
    <w:rsid w:val="3FD60E4A"/>
    <w:rsid w:val="3FDC6BE3"/>
    <w:rsid w:val="3FE0175A"/>
    <w:rsid w:val="3FE863E9"/>
    <w:rsid w:val="3FEB336E"/>
    <w:rsid w:val="3FF077F6"/>
    <w:rsid w:val="3FF53C7D"/>
    <w:rsid w:val="3FFE458D"/>
    <w:rsid w:val="4000420D"/>
    <w:rsid w:val="40007A90"/>
    <w:rsid w:val="40063B98"/>
    <w:rsid w:val="4008709B"/>
    <w:rsid w:val="40132BD6"/>
    <w:rsid w:val="402121C3"/>
    <w:rsid w:val="40243148"/>
    <w:rsid w:val="40281B4E"/>
    <w:rsid w:val="4031025F"/>
    <w:rsid w:val="40325CE1"/>
    <w:rsid w:val="403646E7"/>
    <w:rsid w:val="403A250A"/>
    <w:rsid w:val="40442B0E"/>
    <w:rsid w:val="404A3387"/>
    <w:rsid w:val="404D430C"/>
    <w:rsid w:val="40516596"/>
    <w:rsid w:val="40545110"/>
    <w:rsid w:val="4056719A"/>
    <w:rsid w:val="40585F20"/>
    <w:rsid w:val="405B6EA5"/>
    <w:rsid w:val="40620A2E"/>
    <w:rsid w:val="40621874"/>
    <w:rsid w:val="40667434"/>
    <w:rsid w:val="4069345B"/>
    <w:rsid w:val="406E00C4"/>
    <w:rsid w:val="406E3CE2"/>
    <w:rsid w:val="40720CC9"/>
    <w:rsid w:val="40766E43"/>
    <w:rsid w:val="40775150"/>
    <w:rsid w:val="407C15D8"/>
    <w:rsid w:val="407E035E"/>
    <w:rsid w:val="408234E1"/>
    <w:rsid w:val="408244D3"/>
    <w:rsid w:val="40826D65"/>
    <w:rsid w:val="408347E6"/>
    <w:rsid w:val="4086576B"/>
    <w:rsid w:val="40877969"/>
    <w:rsid w:val="408C7674"/>
    <w:rsid w:val="4092377C"/>
    <w:rsid w:val="40973487"/>
    <w:rsid w:val="40993106"/>
    <w:rsid w:val="4099698A"/>
    <w:rsid w:val="409D1B0D"/>
    <w:rsid w:val="40A17D71"/>
    <w:rsid w:val="40A21818"/>
    <w:rsid w:val="40A75C9F"/>
    <w:rsid w:val="40C142CB"/>
    <w:rsid w:val="40C355D0"/>
    <w:rsid w:val="40C81FC2"/>
    <w:rsid w:val="40C91060"/>
    <w:rsid w:val="40CE5B5F"/>
    <w:rsid w:val="40DA7C1A"/>
    <w:rsid w:val="40E35B04"/>
    <w:rsid w:val="40E43586"/>
    <w:rsid w:val="40E63206"/>
    <w:rsid w:val="40E7450B"/>
    <w:rsid w:val="40ED6414"/>
    <w:rsid w:val="40F8236D"/>
    <w:rsid w:val="40FD2E2B"/>
    <w:rsid w:val="40FD66AE"/>
    <w:rsid w:val="41034D34"/>
    <w:rsid w:val="410427B6"/>
    <w:rsid w:val="410924C1"/>
    <w:rsid w:val="410D0EC7"/>
    <w:rsid w:val="410E6949"/>
    <w:rsid w:val="4111484F"/>
    <w:rsid w:val="411936F5"/>
    <w:rsid w:val="41210516"/>
    <w:rsid w:val="41240AEC"/>
    <w:rsid w:val="4124436F"/>
    <w:rsid w:val="4125656E"/>
    <w:rsid w:val="41284F74"/>
    <w:rsid w:val="41321107"/>
    <w:rsid w:val="41367B0D"/>
    <w:rsid w:val="41371D0B"/>
    <w:rsid w:val="413E4F19"/>
    <w:rsid w:val="41415E9E"/>
    <w:rsid w:val="4143359F"/>
    <w:rsid w:val="41465248"/>
    <w:rsid w:val="41487A27"/>
    <w:rsid w:val="414B422F"/>
    <w:rsid w:val="414F73B2"/>
    <w:rsid w:val="415747BE"/>
    <w:rsid w:val="415822AF"/>
    <w:rsid w:val="415A0FC6"/>
    <w:rsid w:val="41647357"/>
    <w:rsid w:val="416702DC"/>
    <w:rsid w:val="41674A59"/>
    <w:rsid w:val="41696ED6"/>
    <w:rsid w:val="416C4764"/>
    <w:rsid w:val="416D21E5"/>
    <w:rsid w:val="416F56E8"/>
    <w:rsid w:val="417575F2"/>
    <w:rsid w:val="417C49FE"/>
    <w:rsid w:val="4185310F"/>
    <w:rsid w:val="41891B15"/>
    <w:rsid w:val="418E271A"/>
    <w:rsid w:val="419655A8"/>
    <w:rsid w:val="4199432E"/>
    <w:rsid w:val="419A43E3"/>
    <w:rsid w:val="41AA67C7"/>
    <w:rsid w:val="41AC554D"/>
    <w:rsid w:val="41AC774B"/>
    <w:rsid w:val="41B06152"/>
    <w:rsid w:val="41B67527"/>
    <w:rsid w:val="41B71360"/>
    <w:rsid w:val="41BE4CC7"/>
    <w:rsid w:val="41C31159"/>
    <w:rsid w:val="41C37371"/>
    <w:rsid w:val="41C52633"/>
    <w:rsid w:val="41C815FA"/>
    <w:rsid w:val="41CB0000"/>
    <w:rsid w:val="41CF2217"/>
    <w:rsid w:val="41D04488"/>
    <w:rsid w:val="41D2798B"/>
    <w:rsid w:val="41E50BAA"/>
    <w:rsid w:val="41E51A4C"/>
    <w:rsid w:val="41EA080A"/>
    <w:rsid w:val="41EA2E34"/>
    <w:rsid w:val="41EC3DB8"/>
    <w:rsid w:val="41ED183A"/>
    <w:rsid w:val="41EF4D3D"/>
    <w:rsid w:val="41F2243E"/>
    <w:rsid w:val="41F411C5"/>
    <w:rsid w:val="41F646C8"/>
    <w:rsid w:val="41F84348"/>
    <w:rsid w:val="41FC07CF"/>
    <w:rsid w:val="42006361"/>
    <w:rsid w:val="420131F5"/>
    <w:rsid w:val="42045BDC"/>
    <w:rsid w:val="421C6B06"/>
    <w:rsid w:val="42220A0F"/>
    <w:rsid w:val="42236491"/>
    <w:rsid w:val="42251994"/>
    <w:rsid w:val="422B389D"/>
    <w:rsid w:val="422D0F9E"/>
    <w:rsid w:val="422E4822"/>
    <w:rsid w:val="422E6A20"/>
    <w:rsid w:val="42334A3B"/>
    <w:rsid w:val="42375131"/>
    <w:rsid w:val="423F253E"/>
    <w:rsid w:val="4252155E"/>
    <w:rsid w:val="42565461"/>
    <w:rsid w:val="42577BE4"/>
    <w:rsid w:val="425B65EB"/>
    <w:rsid w:val="425F0874"/>
    <w:rsid w:val="4260289D"/>
    <w:rsid w:val="42675C80"/>
    <w:rsid w:val="42683702"/>
    <w:rsid w:val="42691183"/>
    <w:rsid w:val="42706590"/>
    <w:rsid w:val="42764C16"/>
    <w:rsid w:val="427A361C"/>
    <w:rsid w:val="427C23A2"/>
    <w:rsid w:val="42802FA7"/>
    <w:rsid w:val="428710CC"/>
    <w:rsid w:val="428761B5"/>
    <w:rsid w:val="428916B8"/>
    <w:rsid w:val="428E5B40"/>
    <w:rsid w:val="42907FB1"/>
    <w:rsid w:val="42961503"/>
    <w:rsid w:val="4296514B"/>
    <w:rsid w:val="429C7054"/>
    <w:rsid w:val="42A038DB"/>
    <w:rsid w:val="42A1124E"/>
    <w:rsid w:val="42A16D5F"/>
    <w:rsid w:val="42AB766E"/>
    <w:rsid w:val="42AC48D8"/>
    <w:rsid w:val="42AF6075"/>
    <w:rsid w:val="42B51E33"/>
    <w:rsid w:val="42B7177D"/>
    <w:rsid w:val="42B84786"/>
    <w:rsid w:val="42BE088D"/>
    <w:rsid w:val="42BE731B"/>
    <w:rsid w:val="42C24FD0"/>
    <w:rsid w:val="42C96C1E"/>
    <w:rsid w:val="42CB59A5"/>
    <w:rsid w:val="42D84CBA"/>
    <w:rsid w:val="42DE6BC4"/>
    <w:rsid w:val="42DF0DC2"/>
    <w:rsid w:val="42E22B11"/>
    <w:rsid w:val="42E4524A"/>
    <w:rsid w:val="42E5654F"/>
    <w:rsid w:val="42E661CE"/>
    <w:rsid w:val="42E6709F"/>
    <w:rsid w:val="42E874D3"/>
    <w:rsid w:val="42E94F55"/>
    <w:rsid w:val="42E97153"/>
    <w:rsid w:val="42EB0458"/>
    <w:rsid w:val="42F629C9"/>
    <w:rsid w:val="42F703B3"/>
    <w:rsid w:val="42F9196C"/>
    <w:rsid w:val="42FA4910"/>
    <w:rsid w:val="42FF70F8"/>
    <w:rsid w:val="4309116E"/>
    <w:rsid w:val="430C640E"/>
    <w:rsid w:val="4315129C"/>
    <w:rsid w:val="43236033"/>
    <w:rsid w:val="432702BD"/>
    <w:rsid w:val="43274A3A"/>
    <w:rsid w:val="43285D3E"/>
    <w:rsid w:val="43297F3D"/>
    <w:rsid w:val="433078C8"/>
    <w:rsid w:val="43310BCC"/>
    <w:rsid w:val="43353D4F"/>
    <w:rsid w:val="433575D3"/>
    <w:rsid w:val="433834D6"/>
    <w:rsid w:val="433D6BDD"/>
    <w:rsid w:val="434123BC"/>
    <w:rsid w:val="434E26FB"/>
    <w:rsid w:val="434F69ED"/>
    <w:rsid w:val="43580A8C"/>
    <w:rsid w:val="435E7112"/>
    <w:rsid w:val="435F025C"/>
    <w:rsid w:val="43602615"/>
    <w:rsid w:val="43610097"/>
    <w:rsid w:val="4365448B"/>
    <w:rsid w:val="43697CE0"/>
    <w:rsid w:val="436D51AE"/>
    <w:rsid w:val="437370B7"/>
    <w:rsid w:val="437525BA"/>
    <w:rsid w:val="43790FC1"/>
    <w:rsid w:val="43835153"/>
    <w:rsid w:val="43837DA9"/>
    <w:rsid w:val="438660D8"/>
    <w:rsid w:val="438928CD"/>
    <w:rsid w:val="438F3164"/>
    <w:rsid w:val="438F69E7"/>
    <w:rsid w:val="439240E9"/>
    <w:rsid w:val="4395506D"/>
    <w:rsid w:val="43981875"/>
    <w:rsid w:val="439A3786"/>
    <w:rsid w:val="43A31E05"/>
    <w:rsid w:val="43A8628C"/>
    <w:rsid w:val="43AB683C"/>
    <w:rsid w:val="43B45922"/>
    <w:rsid w:val="43B533A4"/>
    <w:rsid w:val="43B70AA5"/>
    <w:rsid w:val="43BD29AF"/>
    <w:rsid w:val="43CA7AC6"/>
    <w:rsid w:val="43CB5548"/>
    <w:rsid w:val="43DF4B5D"/>
    <w:rsid w:val="43E32E62"/>
    <w:rsid w:val="43E40670"/>
    <w:rsid w:val="43EA2579"/>
    <w:rsid w:val="43F01F04"/>
    <w:rsid w:val="43FB0295"/>
    <w:rsid w:val="43FF6C9B"/>
    <w:rsid w:val="440234A3"/>
    <w:rsid w:val="440A08B0"/>
    <w:rsid w:val="441311BF"/>
    <w:rsid w:val="44146C41"/>
    <w:rsid w:val="44185647"/>
    <w:rsid w:val="441D624B"/>
    <w:rsid w:val="441F4FD2"/>
    <w:rsid w:val="44235BD6"/>
    <w:rsid w:val="44277E60"/>
    <w:rsid w:val="442858E1"/>
    <w:rsid w:val="443800FA"/>
    <w:rsid w:val="443A7260"/>
    <w:rsid w:val="44472913"/>
    <w:rsid w:val="445441A7"/>
    <w:rsid w:val="445D4AB6"/>
    <w:rsid w:val="4460292F"/>
    <w:rsid w:val="44605A3B"/>
    <w:rsid w:val="447659E0"/>
    <w:rsid w:val="44850357"/>
    <w:rsid w:val="448B2102"/>
    <w:rsid w:val="44942A12"/>
    <w:rsid w:val="44954C10"/>
    <w:rsid w:val="44965F15"/>
    <w:rsid w:val="449A1098"/>
    <w:rsid w:val="449C7E1E"/>
    <w:rsid w:val="44A21D28"/>
    <w:rsid w:val="44A668D8"/>
    <w:rsid w:val="44A816B2"/>
    <w:rsid w:val="44A90532"/>
    <w:rsid w:val="44AC00B9"/>
    <w:rsid w:val="44B609C8"/>
    <w:rsid w:val="44BB06D3"/>
    <w:rsid w:val="44C06D59"/>
    <w:rsid w:val="44C531E1"/>
    <w:rsid w:val="44D85D07"/>
    <w:rsid w:val="44D8697E"/>
    <w:rsid w:val="44DE22C0"/>
    <w:rsid w:val="44E43A96"/>
    <w:rsid w:val="44F55F2E"/>
    <w:rsid w:val="44F86EB3"/>
    <w:rsid w:val="450000A3"/>
    <w:rsid w:val="450D4629"/>
    <w:rsid w:val="451A3F70"/>
    <w:rsid w:val="451B19F1"/>
    <w:rsid w:val="452025F6"/>
    <w:rsid w:val="4527041D"/>
    <w:rsid w:val="452C1C8C"/>
    <w:rsid w:val="45321617"/>
    <w:rsid w:val="453D79A8"/>
    <w:rsid w:val="45454DB4"/>
    <w:rsid w:val="45456FB2"/>
    <w:rsid w:val="454724B5"/>
    <w:rsid w:val="454937BA"/>
    <w:rsid w:val="454D43BF"/>
    <w:rsid w:val="45533A0C"/>
    <w:rsid w:val="455A14D6"/>
    <w:rsid w:val="455B1156"/>
    <w:rsid w:val="455D64CB"/>
    <w:rsid w:val="455F595E"/>
    <w:rsid w:val="45662D6A"/>
    <w:rsid w:val="456D26F5"/>
    <w:rsid w:val="45811396"/>
    <w:rsid w:val="458146FC"/>
    <w:rsid w:val="45817197"/>
    <w:rsid w:val="45824C19"/>
    <w:rsid w:val="45826E17"/>
    <w:rsid w:val="458E2F8D"/>
    <w:rsid w:val="458F06AB"/>
    <w:rsid w:val="458F3F2F"/>
    <w:rsid w:val="45947D5B"/>
    <w:rsid w:val="45950052"/>
    <w:rsid w:val="459C79C1"/>
    <w:rsid w:val="459F0946"/>
    <w:rsid w:val="459F57FF"/>
    <w:rsid w:val="45A32BCF"/>
    <w:rsid w:val="45AA255A"/>
    <w:rsid w:val="45B45068"/>
    <w:rsid w:val="45C83D08"/>
    <w:rsid w:val="45C862F3"/>
    <w:rsid w:val="45CE1495"/>
    <w:rsid w:val="45D1241A"/>
    <w:rsid w:val="45DA52A8"/>
    <w:rsid w:val="45EC0A45"/>
    <w:rsid w:val="45EF524D"/>
    <w:rsid w:val="45F261D2"/>
    <w:rsid w:val="45F95B5C"/>
    <w:rsid w:val="45FB105F"/>
    <w:rsid w:val="45FC3617"/>
    <w:rsid w:val="45FE1FE4"/>
    <w:rsid w:val="45FF414D"/>
    <w:rsid w:val="460C34F8"/>
    <w:rsid w:val="460E1AB7"/>
    <w:rsid w:val="46101EFE"/>
    <w:rsid w:val="46120C85"/>
    <w:rsid w:val="461B1594"/>
    <w:rsid w:val="461C3792"/>
    <w:rsid w:val="4623311D"/>
    <w:rsid w:val="462640A2"/>
    <w:rsid w:val="463A65C6"/>
    <w:rsid w:val="463F2A4E"/>
    <w:rsid w:val="46452166"/>
    <w:rsid w:val="464C1D63"/>
    <w:rsid w:val="46517C54"/>
    <w:rsid w:val="465700F4"/>
    <w:rsid w:val="465C7DFF"/>
    <w:rsid w:val="46621D09"/>
    <w:rsid w:val="46640D69"/>
    <w:rsid w:val="46641988"/>
    <w:rsid w:val="46693892"/>
    <w:rsid w:val="466A5B37"/>
    <w:rsid w:val="466E7D19"/>
    <w:rsid w:val="46780629"/>
    <w:rsid w:val="467A73AF"/>
    <w:rsid w:val="467F3837"/>
    <w:rsid w:val="467F5A35"/>
    <w:rsid w:val="46840346"/>
    <w:rsid w:val="468531C2"/>
    <w:rsid w:val="468808C3"/>
    <w:rsid w:val="46896345"/>
    <w:rsid w:val="468A764A"/>
    <w:rsid w:val="468D4D4B"/>
    <w:rsid w:val="468E6050"/>
    <w:rsid w:val="468F05E0"/>
    <w:rsid w:val="46911D1D"/>
    <w:rsid w:val="46923F84"/>
    <w:rsid w:val="46987A02"/>
    <w:rsid w:val="469F0F73"/>
    <w:rsid w:val="469F29BA"/>
    <w:rsid w:val="469F7480"/>
    <w:rsid w:val="46A1726F"/>
    <w:rsid w:val="46A54A1A"/>
    <w:rsid w:val="46B226AF"/>
    <w:rsid w:val="46B3080E"/>
    <w:rsid w:val="46B46290"/>
    <w:rsid w:val="46B84C96"/>
    <w:rsid w:val="46BC111E"/>
    <w:rsid w:val="46C07B24"/>
    <w:rsid w:val="46C661AA"/>
    <w:rsid w:val="46C929B2"/>
    <w:rsid w:val="46CF6AB9"/>
    <w:rsid w:val="46D17DBE"/>
    <w:rsid w:val="46D354BF"/>
    <w:rsid w:val="46DF3663"/>
    <w:rsid w:val="46E22257"/>
    <w:rsid w:val="46E56A5F"/>
    <w:rsid w:val="46E81BE2"/>
    <w:rsid w:val="46F721FC"/>
    <w:rsid w:val="46F91AA1"/>
    <w:rsid w:val="46FD6304"/>
    <w:rsid w:val="46FE16A9"/>
    <w:rsid w:val="46FE1B87"/>
    <w:rsid w:val="46FE3D85"/>
    <w:rsid w:val="46FF1807"/>
    <w:rsid w:val="4701233C"/>
    <w:rsid w:val="47095999"/>
    <w:rsid w:val="471B6F39"/>
    <w:rsid w:val="471C49BA"/>
    <w:rsid w:val="471D463A"/>
    <w:rsid w:val="471D6BB8"/>
    <w:rsid w:val="472033C0"/>
    <w:rsid w:val="47240763"/>
    <w:rsid w:val="4729044D"/>
    <w:rsid w:val="472B5FDC"/>
    <w:rsid w:val="472E48D4"/>
    <w:rsid w:val="47382C65"/>
    <w:rsid w:val="473A6169"/>
    <w:rsid w:val="473B19EC"/>
    <w:rsid w:val="473F5E74"/>
    <w:rsid w:val="47473280"/>
    <w:rsid w:val="476A6CB8"/>
    <w:rsid w:val="476C21BB"/>
    <w:rsid w:val="476D241D"/>
    <w:rsid w:val="477305A8"/>
    <w:rsid w:val="4776054C"/>
    <w:rsid w:val="47812160"/>
    <w:rsid w:val="4789471E"/>
    <w:rsid w:val="478E39F4"/>
    <w:rsid w:val="47905C32"/>
    <w:rsid w:val="479123FB"/>
    <w:rsid w:val="47970A81"/>
    <w:rsid w:val="47972677"/>
    <w:rsid w:val="47997807"/>
    <w:rsid w:val="479D298A"/>
    <w:rsid w:val="47A14C13"/>
    <w:rsid w:val="47A55818"/>
    <w:rsid w:val="47AB2FA4"/>
    <w:rsid w:val="47B34B2D"/>
    <w:rsid w:val="47B538B4"/>
    <w:rsid w:val="47B84838"/>
    <w:rsid w:val="47BB57BD"/>
    <w:rsid w:val="47BF63C2"/>
    <w:rsid w:val="47C81250"/>
    <w:rsid w:val="47CC34D9"/>
    <w:rsid w:val="47CF38C5"/>
    <w:rsid w:val="47D32E64"/>
    <w:rsid w:val="47D56367"/>
    <w:rsid w:val="47E17BFB"/>
    <w:rsid w:val="47E2206A"/>
    <w:rsid w:val="47E2567D"/>
    <w:rsid w:val="47E75388"/>
    <w:rsid w:val="47EB1342"/>
    <w:rsid w:val="47ED1D60"/>
    <w:rsid w:val="48007F0A"/>
    <w:rsid w:val="480623B9"/>
    <w:rsid w:val="480B0A3F"/>
    <w:rsid w:val="480C64C1"/>
    <w:rsid w:val="480F2E5A"/>
    <w:rsid w:val="481935D8"/>
    <w:rsid w:val="481B3128"/>
    <w:rsid w:val="482737C7"/>
    <w:rsid w:val="48286A8F"/>
    <w:rsid w:val="482C0320"/>
    <w:rsid w:val="482D123C"/>
    <w:rsid w:val="48303F53"/>
    <w:rsid w:val="48310C7F"/>
    <w:rsid w:val="483153FC"/>
    <w:rsid w:val="483A3B0D"/>
    <w:rsid w:val="484C2B2E"/>
    <w:rsid w:val="48516FB5"/>
    <w:rsid w:val="485559BC"/>
    <w:rsid w:val="485C3DC6"/>
    <w:rsid w:val="486017CE"/>
    <w:rsid w:val="48667E54"/>
    <w:rsid w:val="486A685A"/>
    <w:rsid w:val="486C1D5E"/>
    <w:rsid w:val="486D3062"/>
    <w:rsid w:val="487274EA"/>
    <w:rsid w:val="4875266D"/>
    <w:rsid w:val="487B2804"/>
    <w:rsid w:val="487B7DFA"/>
    <w:rsid w:val="487F6800"/>
    <w:rsid w:val="48816480"/>
    <w:rsid w:val="48835206"/>
    <w:rsid w:val="4891591B"/>
    <w:rsid w:val="4892419C"/>
    <w:rsid w:val="48955BB2"/>
    <w:rsid w:val="489D5DB0"/>
    <w:rsid w:val="48A37CB9"/>
    <w:rsid w:val="48A84141"/>
    <w:rsid w:val="48B06FCF"/>
    <w:rsid w:val="48B337D7"/>
    <w:rsid w:val="48B56CDA"/>
    <w:rsid w:val="48B7695A"/>
    <w:rsid w:val="48BE1B68"/>
    <w:rsid w:val="48BF3D66"/>
    <w:rsid w:val="48C017E8"/>
    <w:rsid w:val="48C37705"/>
    <w:rsid w:val="48C536F1"/>
    <w:rsid w:val="48C82477"/>
    <w:rsid w:val="48CC307C"/>
    <w:rsid w:val="48CD0AFD"/>
    <w:rsid w:val="48D6081A"/>
    <w:rsid w:val="48D74C90"/>
    <w:rsid w:val="48D90E71"/>
    <w:rsid w:val="48E40723"/>
    <w:rsid w:val="48F254BA"/>
    <w:rsid w:val="48F61CC2"/>
    <w:rsid w:val="48F77743"/>
    <w:rsid w:val="48FB3BCB"/>
    <w:rsid w:val="49046A59"/>
    <w:rsid w:val="490544DA"/>
    <w:rsid w:val="49077C6D"/>
    <w:rsid w:val="490F4DEA"/>
    <w:rsid w:val="49142F9E"/>
    <w:rsid w:val="49146CF3"/>
    <w:rsid w:val="491969FE"/>
    <w:rsid w:val="491B667E"/>
    <w:rsid w:val="49256F8E"/>
    <w:rsid w:val="49275242"/>
    <w:rsid w:val="49287F12"/>
    <w:rsid w:val="49316623"/>
    <w:rsid w:val="49333D25"/>
    <w:rsid w:val="493E20B6"/>
    <w:rsid w:val="49400E15"/>
    <w:rsid w:val="494450FB"/>
    <w:rsid w:val="49464F44"/>
    <w:rsid w:val="494D0152"/>
    <w:rsid w:val="4953205B"/>
    <w:rsid w:val="4954425A"/>
    <w:rsid w:val="49551CDB"/>
    <w:rsid w:val="495E03EC"/>
    <w:rsid w:val="496140CE"/>
    <w:rsid w:val="49646021"/>
    <w:rsid w:val="4966327A"/>
    <w:rsid w:val="496C37C9"/>
    <w:rsid w:val="4972708D"/>
    <w:rsid w:val="49750012"/>
    <w:rsid w:val="49780F96"/>
    <w:rsid w:val="497852DB"/>
    <w:rsid w:val="497A0C1F"/>
    <w:rsid w:val="497A1F1B"/>
    <w:rsid w:val="4993038A"/>
    <w:rsid w:val="4999531C"/>
    <w:rsid w:val="499E33D4"/>
    <w:rsid w:val="49A452DD"/>
    <w:rsid w:val="49A565E2"/>
    <w:rsid w:val="49A71AE5"/>
    <w:rsid w:val="49A83CE4"/>
    <w:rsid w:val="49A93E0B"/>
    <w:rsid w:val="49A94FE8"/>
    <w:rsid w:val="49AC5F6D"/>
    <w:rsid w:val="49AF10F0"/>
    <w:rsid w:val="49B145F3"/>
    <w:rsid w:val="49C35B92"/>
    <w:rsid w:val="49C76797"/>
    <w:rsid w:val="49C8201A"/>
    <w:rsid w:val="49D203AB"/>
    <w:rsid w:val="49D42DB7"/>
    <w:rsid w:val="49D61BFB"/>
    <w:rsid w:val="49DD673C"/>
    <w:rsid w:val="49DE41BE"/>
    <w:rsid w:val="49E012F6"/>
    <w:rsid w:val="49E87825"/>
    <w:rsid w:val="49EB34D3"/>
    <w:rsid w:val="49F51014"/>
    <w:rsid w:val="49FC181A"/>
    <w:rsid w:val="4A072E04"/>
    <w:rsid w:val="4A096307"/>
    <w:rsid w:val="4A0B7C07"/>
    <w:rsid w:val="4A113713"/>
    <w:rsid w:val="4A133393"/>
    <w:rsid w:val="4A1E71A6"/>
    <w:rsid w:val="4A244932"/>
    <w:rsid w:val="4A264ABA"/>
    <w:rsid w:val="4A2B030E"/>
    <w:rsid w:val="4A2C3F3D"/>
    <w:rsid w:val="4A2C64BB"/>
    <w:rsid w:val="4A2E7440"/>
    <w:rsid w:val="4A344BCC"/>
    <w:rsid w:val="4A34702F"/>
    <w:rsid w:val="4A34714B"/>
    <w:rsid w:val="4A357BCE"/>
    <w:rsid w:val="4A3600D0"/>
    <w:rsid w:val="4A3E54DC"/>
    <w:rsid w:val="4A416461"/>
    <w:rsid w:val="4A464097"/>
    <w:rsid w:val="4A4970F0"/>
    <w:rsid w:val="4A566406"/>
    <w:rsid w:val="4A59738B"/>
    <w:rsid w:val="4A5E3812"/>
    <w:rsid w:val="4A5E3AA4"/>
    <w:rsid w:val="4A614797"/>
    <w:rsid w:val="4A634417"/>
    <w:rsid w:val="4A691BA3"/>
    <w:rsid w:val="4A7200BF"/>
    <w:rsid w:val="4A7346B1"/>
    <w:rsid w:val="4A7A403C"/>
    <w:rsid w:val="4A83494B"/>
    <w:rsid w:val="4A8536D2"/>
    <w:rsid w:val="4A952667"/>
    <w:rsid w:val="4AA71688"/>
    <w:rsid w:val="4AA94B8B"/>
    <w:rsid w:val="4AB27A19"/>
    <w:rsid w:val="4AB30D1E"/>
    <w:rsid w:val="4AB467A0"/>
    <w:rsid w:val="4AB92C27"/>
    <w:rsid w:val="4ABA7A6E"/>
    <w:rsid w:val="4AC23537"/>
    <w:rsid w:val="4AC35735"/>
    <w:rsid w:val="4AC8223F"/>
    <w:rsid w:val="4AC94B13"/>
    <w:rsid w:val="4AC9763E"/>
    <w:rsid w:val="4ACC5D2B"/>
    <w:rsid w:val="4ADA0BDD"/>
    <w:rsid w:val="4ADE48CE"/>
    <w:rsid w:val="4AE820F1"/>
    <w:rsid w:val="4AEC0AF8"/>
    <w:rsid w:val="4AF33D06"/>
    <w:rsid w:val="4AF7270C"/>
    <w:rsid w:val="4AF76666"/>
    <w:rsid w:val="4AF8018E"/>
    <w:rsid w:val="4AF9238C"/>
    <w:rsid w:val="4AF95C0F"/>
    <w:rsid w:val="4B0156D1"/>
    <w:rsid w:val="4B0C31CA"/>
    <w:rsid w:val="4B1132B6"/>
    <w:rsid w:val="4B14423A"/>
    <w:rsid w:val="4B176330"/>
    <w:rsid w:val="4B1A0571"/>
    <w:rsid w:val="4B1D70C8"/>
    <w:rsid w:val="4B1F5E4F"/>
    <w:rsid w:val="4B222ECF"/>
    <w:rsid w:val="4B245E32"/>
    <w:rsid w:val="4B29095D"/>
    <w:rsid w:val="4B3237EB"/>
    <w:rsid w:val="4B32706E"/>
    <w:rsid w:val="4B383175"/>
    <w:rsid w:val="4B3C1B7C"/>
    <w:rsid w:val="4B3D53FF"/>
    <w:rsid w:val="4B40491C"/>
    <w:rsid w:val="4B48598E"/>
    <w:rsid w:val="4B4B2196"/>
    <w:rsid w:val="4B4D5699"/>
    <w:rsid w:val="4B4D62F3"/>
    <w:rsid w:val="4B51629E"/>
    <w:rsid w:val="4B547222"/>
    <w:rsid w:val="4B5F55B3"/>
    <w:rsid w:val="4B6121A7"/>
    <w:rsid w:val="4B6716A1"/>
    <w:rsid w:val="4B6A71C8"/>
    <w:rsid w:val="4B753A52"/>
    <w:rsid w:val="4B76442C"/>
    <w:rsid w:val="4B7919E0"/>
    <w:rsid w:val="4B7C2965"/>
    <w:rsid w:val="4B7D03E7"/>
    <w:rsid w:val="4B7E5E68"/>
    <w:rsid w:val="4B802070"/>
    <w:rsid w:val="4B8200F2"/>
    <w:rsid w:val="4B82486E"/>
    <w:rsid w:val="4B85737C"/>
    <w:rsid w:val="4B874579"/>
    <w:rsid w:val="4B8C2BFF"/>
    <w:rsid w:val="4B8E6103"/>
    <w:rsid w:val="4B901606"/>
    <w:rsid w:val="4BA076A2"/>
    <w:rsid w:val="4BA17322"/>
    <w:rsid w:val="4BA24DA3"/>
    <w:rsid w:val="4BA460A8"/>
    <w:rsid w:val="4BAF1EBA"/>
    <w:rsid w:val="4BB271EF"/>
    <w:rsid w:val="4BB275BC"/>
    <w:rsid w:val="4BB3503D"/>
    <w:rsid w:val="4BBC594D"/>
    <w:rsid w:val="4BBE6944"/>
    <w:rsid w:val="4BC04353"/>
    <w:rsid w:val="4BC27856"/>
    <w:rsid w:val="4BC507DB"/>
    <w:rsid w:val="4BC61AE0"/>
    <w:rsid w:val="4BC81760"/>
    <w:rsid w:val="4BCC39E9"/>
    <w:rsid w:val="4BD777FC"/>
    <w:rsid w:val="4BDB6202"/>
    <w:rsid w:val="4BDE7186"/>
    <w:rsid w:val="4BE87A96"/>
    <w:rsid w:val="4BEB429E"/>
    <w:rsid w:val="4BF23C29"/>
    <w:rsid w:val="4BF25E27"/>
    <w:rsid w:val="4BF4132A"/>
    <w:rsid w:val="4BF6482D"/>
    <w:rsid w:val="4BF64A7D"/>
    <w:rsid w:val="4BF94EB0"/>
    <w:rsid w:val="4BFF76BB"/>
    <w:rsid w:val="4C031945"/>
    <w:rsid w:val="4C07034B"/>
    <w:rsid w:val="4C085DCC"/>
    <w:rsid w:val="4C0A34CE"/>
    <w:rsid w:val="4C0B0F4F"/>
    <w:rsid w:val="4C0D2254"/>
    <w:rsid w:val="4C140257"/>
    <w:rsid w:val="4C1E7B16"/>
    <w:rsid w:val="4C1E7F70"/>
    <w:rsid w:val="4C1F216E"/>
    <w:rsid w:val="4C26537C"/>
    <w:rsid w:val="4C2904FF"/>
    <w:rsid w:val="4C293D83"/>
    <w:rsid w:val="4C2F5C8C"/>
    <w:rsid w:val="4C304D42"/>
    <w:rsid w:val="4C344283"/>
    <w:rsid w:val="4C3F04A5"/>
    <w:rsid w:val="4C453CFD"/>
    <w:rsid w:val="4C480DB4"/>
    <w:rsid w:val="4C4B55BC"/>
    <w:rsid w:val="4C5216C4"/>
    <w:rsid w:val="4C5600CA"/>
    <w:rsid w:val="4C5713CF"/>
    <w:rsid w:val="4C582666"/>
    <w:rsid w:val="4C586E50"/>
    <w:rsid w:val="4C5E40F0"/>
    <w:rsid w:val="4C6373E0"/>
    <w:rsid w:val="4C675DE6"/>
    <w:rsid w:val="4C6B47EC"/>
    <w:rsid w:val="4C6D3572"/>
    <w:rsid w:val="4C73767A"/>
    <w:rsid w:val="4C7C2508"/>
    <w:rsid w:val="4C7E5A0B"/>
    <w:rsid w:val="4C804791"/>
    <w:rsid w:val="4C812213"/>
    <w:rsid w:val="4C831E93"/>
    <w:rsid w:val="4C862E17"/>
    <w:rsid w:val="4C863E30"/>
    <w:rsid w:val="4C87411C"/>
    <w:rsid w:val="4C9011A8"/>
    <w:rsid w:val="4C943432"/>
    <w:rsid w:val="4C9C083E"/>
    <w:rsid w:val="4C9D62C0"/>
    <w:rsid w:val="4C9E1C15"/>
    <w:rsid w:val="4CA84651"/>
    <w:rsid w:val="4CA8645C"/>
    <w:rsid w:val="4CB1386B"/>
    <w:rsid w:val="4CB229E2"/>
    <w:rsid w:val="4CB30463"/>
    <w:rsid w:val="4CB41768"/>
    <w:rsid w:val="4CB571EA"/>
    <w:rsid w:val="4CB8016E"/>
    <w:rsid w:val="4CB9236D"/>
    <w:rsid w:val="4CBA3672"/>
    <w:rsid w:val="4CBB5870"/>
    <w:rsid w:val="4CBF4276"/>
    <w:rsid w:val="4CC151FB"/>
    <w:rsid w:val="4CC17779"/>
    <w:rsid w:val="4CC306FE"/>
    <w:rsid w:val="4CC954DC"/>
    <w:rsid w:val="4CCA5EB6"/>
    <w:rsid w:val="4CCD4891"/>
    <w:rsid w:val="4CCE2312"/>
    <w:rsid w:val="4CD86E63"/>
    <w:rsid w:val="4CE15AB0"/>
    <w:rsid w:val="4CE20FB3"/>
    <w:rsid w:val="4CF04A45"/>
    <w:rsid w:val="4CF237CB"/>
    <w:rsid w:val="4CF643D0"/>
    <w:rsid w:val="4CFA2DD6"/>
    <w:rsid w:val="4D0314E7"/>
    <w:rsid w:val="4D0549EA"/>
    <w:rsid w:val="4D057223"/>
    <w:rsid w:val="4D0734F8"/>
    <w:rsid w:val="4D0F1E17"/>
    <w:rsid w:val="4D0F5EA8"/>
    <w:rsid w:val="4D102D7B"/>
    <w:rsid w:val="4D123D00"/>
    <w:rsid w:val="4D134AE8"/>
    <w:rsid w:val="4D264F1F"/>
    <w:rsid w:val="4D2F3630"/>
    <w:rsid w:val="4D2F582F"/>
    <w:rsid w:val="4D3A3BC0"/>
    <w:rsid w:val="4D3F0047"/>
    <w:rsid w:val="4D4052E5"/>
    <w:rsid w:val="4D416DCE"/>
    <w:rsid w:val="4D4344CF"/>
    <w:rsid w:val="4D4507B1"/>
    <w:rsid w:val="4D4579D2"/>
    <w:rsid w:val="4D5238EF"/>
    <w:rsid w:val="4D5634F0"/>
    <w:rsid w:val="4D5756EE"/>
    <w:rsid w:val="4D5A1EF6"/>
    <w:rsid w:val="4D5B1B76"/>
    <w:rsid w:val="4D605FFE"/>
    <w:rsid w:val="4D655D09"/>
    <w:rsid w:val="4D660768"/>
    <w:rsid w:val="4D6D3115"/>
    <w:rsid w:val="4D70409A"/>
    <w:rsid w:val="4D72759D"/>
    <w:rsid w:val="4D737DF0"/>
    <w:rsid w:val="4D796F28"/>
    <w:rsid w:val="4D7A022C"/>
    <w:rsid w:val="4D7D33AF"/>
    <w:rsid w:val="4D825639"/>
    <w:rsid w:val="4D8D144B"/>
    <w:rsid w:val="4D8E364A"/>
    <w:rsid w:val="4D9023D0"/>
    <w:rsid w:val="4D9F7C3C"/>
    <w:rsid w:val="4DA14869"/>
    <w:rsid w:val="4DA41071"/>
    <w:rsid w:val="4DB12905"/>
    <w:rsid w:val="4DB14E32"/>
    <w:rsid w:val="4DB45A88"/>
    <w:rsid w:val="4DB849B8"/>
    <w:rsid w:val="4DBD0916"/>
    <w:rsid w:val="4DBD0F93"/>
    <w:rsid w:val="4DBE1C1A"/>
    <w:rsid w:val="4DBE5E3B"/>
    <w:rsid w:val="4DC0511E"/>
    <w:rsid w:val="4DC537A4"/>
    <w:rsid w:val="4DC61225"/>
    <w:rsid w:val="4DC74AA8"/>
    <w:rsid w:val="4DCF6E04"/>
    <w:rsid w:val="4DD12E39"/>
    <w:rsid w:val="4DD207E6"/>
    <w:rsid w:val="4DDB3749"/>
    <w:rsid w:val="4DDE46CE"/>
    <w:rsid w:val="4DE13C01"/>
    <w:rsid w:val="4DE13DC5"/>
    <w:rsid w:val="4DE44058"/>
    <w:rsid w:val="4DE80860"/>
    <w:rsid w:val="4DEA3D63"/>
    <w:rsid w:val="4DEE1B39"/>
    <w:rsid w:val="4DEF23EA"/>
    <w:rsid w:val="4DF11170"/>
    <w:rsid w:val="4DF34673"/>
    <w:rsid w:val="4DF52A78"/>
    <w:rsid w:val="4E000105"/>
    <w:rsid w:val="4E073314"/>
    <w:rsid w:val="4E077A90"/>
    <w:rsid w:val="4E0E741B"/>
    <w:rsid w:val="4E0F0720"/>
    <w:rsid w:val="4E152629"/>
    <w:rsid w:val="4E1D1C34"/>
    <w:rsid w:val="4E272543"/>
    <w:rsid w:val="4E2D2168"/>
    <w:rsid w:val="4E2D6AB3"/>
    <w:rsid w:val="4E385A0D"/>
    <w:rsid w:val="4E3C24E9"/>
    <w:rsid w:val="4E4740FD"/>
    <w:rsid w:val="4E481B7F"/>
    <w:rsid w:val="4E4B2B03"/>
    <w:rsid w:val="4E4F1509"/>
    <w:rsid w:val="4E501189"/>
    <w:rsid w:val="4E5302C5"/>
    <w:rsid w:val="4E5A1A99"/>
    <w:rsid w:val="4E5A531C"/>
    <w:rsid w:val="4E5B751A"/>
    <w:rsid w:val="4E676BB0"/>
    <w:rsid w:val="4E6B77B5"/>
    <w:rsid w:val="4E6D653B"/>
    <w:rsid w:val="4E753947"/>
    <w:rsid w:val="4E7613C9"/>
    <w:rsid w:val="4E796ACA"/>
    <w:rsid w:val="4E7E09D4"/>
    <w:rsid w:val="4E8B5AEB"/>
    <w:rsid w:val="4E8D0FEE"/>
    <w:rsid w:val="4E9179F4"/>
    <w:rsid w:val="4E937674"/>
    <w:rsid w:val="4EA17C8F"/>
    <w:rsid w:val="4EAC18A3"/>
    <w:rsid w:val="4EAE1523"/>
    <w:rsid w:val="4EBB663A"/>
    <w:rsid w:val="4EBD75BF"/>
    <w:rsid w:val="4EBF7184"/>
    <w:rsid w:val="4EC46F4A"/>
    <w:rsid w:val="4ECE1A58"/>
    <w:rsid w:val="4ECF7B72"/>
    <w:rsid w:val="4ED04F5B"/>
    <w:rsid w:val="4ED468DF"/>
    <w:rsid w:val="4EDD2072"/>
    <w:rsid w:val="4EDE59FF"/>
    <w:rsid w:val="4EE0665E"/>
    <w:rsid w:val="4EE10A78"/>
    <w:rsid w:val="4EE151F5"/>
    <w:rsid w:val="4EE306F8"/>
    <w:rsid w:val="4EE62CE1"/>
    <w:rsid w:val="4EF03291"/>
    <w:rsid w:val="4EF26794"/>
    <w:rsid w:val="4EF67834"/>
    <w:rsid w:val="4EFA3BA1"/>
    <w:rsid w:val="4EFB766D"/>
    <w:rsid w:val="4F005AAA"/>
    <w:rsid w:val="4F01352B"/>
    <w:rsid w:val="4F0E2841"/>
    <w:rsid w:val="4F18038A"/>
    <w:rsid w:val="4F1A1ED7"/>
    <w:rsid w:val="4F2411C2"/>
    <w:rsid w:val="4F275CED"/>
    <w:rsid w:val="4F344AEC"/>
    <w:rsid w:val="4F350502"/>
    <w:rsid w:val="4F376970"/>
    <w:rsid w:val="4F3C208C"/>
    <w:rsid w:val="4F3E558F"/>
    <w:rsid w:val="4F423F95"/>
    <w:rsid w:val="4F493920"/>
    <w:rsid w:val="4F4A13A1"/>
    <w:rsid w:val="4F4B6E23"/>
    <w:rsid w:val="4F4F10AC"/>
    <w:rsid w:val="4F522031"/>
    <w:rsid w:val="4F547732"/>
    <w:rsid w:val="4F552FB6"/>
    <w:rsid w:val="4F560A37"/>
    <w:rsid w:val="4F637D4D"/>
    <w:rsid w:val="4F6D065C"/>
    <w:rsid w:val="4F731FEA"/>
    <w:rsid w:val="4F760F6C"/>
    <w:rsid w:val="4F7A7972"/>
    <w:rsid w:val="4F840281"/>
    <w:rsid w:val="4F843B05"/>
    <w:rsid w:val="4F872739"/>
    <w:rsid w:val="4F9B0FCB"/>
    <w:rsid w:val="4FA465B8"/>
    <w:rsid w:val="4FA74FBE"/>
    <w:rsid w:val="4FA904C1"/>
    <w:rsid w:val="4FB50A50"/>
    <w:rsid w:val="4FB87457"/>
    <w:rsid w:val="4FC1444E"/>
    <w:rsid w:val="4FC5456E"/>
    <w:rsid w:val="4FC81BF6"/>
    <w:rsid w:val="4FD7228A"/>
    <w:rsid w:val="4FDA3874"/>
    <w:rsid w:val="4FE13E9E"/>
    <w:rsid w:val="4FE57021"/>
    <w:rsid w:val="4FE87FA6"/>
    <w:rsid w:val="4FE95A27"/>
    <w:rsid w:val="4FEE1EAF"/>
    <w:rsid w:val="4FEE5732"/>
    <w:rsid w:val="4FEE5FA1"/>
    <w:rsid w:val="4FF31BBA"/>
    <w:rsid w:val="50067556"/>
    <w:rsid w:val="500C6526"/>
    <w:rsid w:val="500F7E65"/>
    <w:rsid w:val="50103002"/>
    <w:rsid w:val="501555F2"/>
    <w:rsid w:val="5022399A"/>
    <w:rsid w:val="5027550C"/>
    <w:rsid w:val="5031169F"/>
    <w:rsid w:val="5033257E"/>
    <w:rsid w:val="50396AAB"/>
    <w:rsid w:val="503A452D"/>
    <w:rsid w:val="50456141"/>
    <w:rsid w:val="50463BC3"/>
    <w:rsid w:val="50465DC1"/>
    <w:rsid w:val="504870C6"/>
    <w:rsid w:val="504925C9"/>
    <w:rsid w:val="504A47C7"/>
    <w:rsid w:val="504B75D0"/>
    <w:rsid w:val="504C7CCA"/>
    <w:rsid w:val="504D0FCF"/>
    <w:rsid w:val="504D280E"/>
    <w:rsid w:val="504F44D2"/>
    <w:rsid w:val="50537FDF"/>
    <w:rsid w:val="505B02E5"/>
    <w:rsid w:val="505F6CEB"/>
    <w:rsid w:val="50687CFD"/>
    <w:rsid w:val="506917F9"/>
    <w:rsid w:val="506D01FF"/>
    <w:rsid w:val="506E3F2C"/>
    <w:rsid w:val="50714976"/>
    <w:rsid w:val="50716C05"/>
    <w:rsid w:val="5073269B"/>
    <w:rsid w:val="5073598C"/>
    <w:rsid w:val="50737B8A"/>
    <w:rsid w:val="50760B0E"/>
    <w:rsid w:val="507A7515"/>
    <w:rsid w:val="507C629B"/>
    <w:rsid w:val="50812723"/>
    <w:rsid w:val="508436A7"/>
    <w:rsid w:val="50851129"/>
    <w:rsid w:val="508A55B1"/>
    <w:rsid w:val="508C0AB4"/>
    <w:rsid w:val="508E61B5"/>
    <w:rsid w:val="508F4A82"/>
    <w:rsid w:val="5092043F"/>
    <w:rsid w:val="509513C3"/>
    <w:rsid w:val="50B10CF4"/>
    <w:rsid w:val="50B13272"/>
    <w:rsid w:val="50B6517B"/>
    <w:rsid w:val="50B8067E"/>
    <w:rsid w:val="50BE6D04"/>
    <w:rsid w:val="50C20F8E"/>
    <w:rsid w:val="50CD151D"/>
    <w:rsid w:val="50D3620C"/>
    <w:rsid w:val="50D4472B"/>
    <w:rsid w:val="50D521AD"/>
    <w:rsid w:val="50D90008"/>
    <w:rsid w:val="50DB40B6"/>
    <w:rsid w:val="50DD17B8"/>
    <w:rsid w:val="50DF2ABC"/>
    <w:rsid w:val="50E3297E"/>
    <w:rsid w:val="50E52447"/>
    <w:rsid w:val="50EC1DD2"/>
    <w:rsid w:val="50F3175D"/>
    <w:rsid w:val="50FF2FF1"/>
    <w:rsid w:val="51062CAA"/>
    <w:rsid w:val="510703FD"/>
    <w:rsid w:val="51085E7F"/>
    <w:rsid w:val="51122012"/>
    <w:rsid w:val="51172EEC"/>
    <w:rsid w:val="51193B9B"/>
    <w:rsid w:val="511A65FC"/>
    <w:rsid w:val="511D25A1"/>
    <w:rsid w:val="5121482B"/>
    <w:rsid w:val="51222CF3"/>
    <w:rsid w:val="51252566"/>
    <w:rsid w:val="512B18B7"/>
    <w:rsid w:val="512D08AC"/>
    <w:rsid w:val="512D283B"/>
    <w:rsid w:val="51311242"/>
    <w:rsid w:val="51317043"/>
    <w:rsid w:val="513B1B51"/>
    <w:rsid w:val="514064B2"/>
    <w:rsid w:val="51450449"/>
    <w:rsid w:val="51457EE2"/>
    <w:rsid w:val="514968E8"/>
    <w:rsid w:val="514B1DEB"/>
    <w:rsid w:val="514D3B3B"/>
    <w:rsid w:val="51531831"/>
    <w:rsid w:val="51583680"/>
    <w:rsid w:val="515841B3"/>
    <w:rsid w:val="515B3646"/>
    <w:rsid w:val="515B7E88"/>
    <w:rsid w:val="515D5589"/>
    <w:rsid w:val="516B0122"/>
    <w:rsid w:val="516D3625"/>
    <w:rsid w:val="517E44CE"/>
    <w:rsid w:val="517E7143"/>
    <w:rsid w:val="51861AB2"/>
    <w:rsid w:val="518F4E5F"/>
    <w:rsid w:val="51A227FA"/>
    <w:rsid w:val="51A33AFF"/>
    <w:rsid w:val="51B53A19"/>
    <w:rsid w:val="51C20B31"/>
    <w:rsid w:val="51C252AD"/>
    <w:rsid w:val="51C2798E"/>
    <w:rsid w:val="51C82A3A"/>
    <w:rsid w:val="51C9315E"/>
    <w:rsid w:val="51CB39BF"/>
    <w:rsid w:val="51D058C8"/>
    <w:rsid w:val="51DA038A"/>
    <w:rsid w:val="51E00B3C"/>
    <w:rsid w:val="51E46AE7"/>
    <w:rsid w:val="51E57DEC"/>
    <w:rsid w:val="51E732EF"/>
    <w:rsid w:val="51F11680"/>
    <w:rsid w:val="51F22F7D"/>
    <w:rsid w:val="51F42968"/>
    <w:rsid w:val="51F86065"/>
    <w:rsid w:val="51F8622A"/>
    <w:rsid w:val="51F96A8C"/>
    <w:rsid w:val="51FB1F8F"/>
    <w:rsid w:val="51FC7A11"/>
    <w:rsid w:val="51FF0996"/>
    <w:rsid w:val="52000615"/>
    <w:rsid w:val="52044E1D"/>
    <w:rsid w:val="520934A3"/>
    <w:rsid w:val="52137636"/>
    <w:rsid w:val="5217023B"/>
    <w:rsid w:val="522143CD"/>
    <w:rsid w:val="522B0A7A"/>
    <w:rsid w:val="522C275E"/>
    <w:rsid w:val="522D01E0"/>
    <w:rsid w:val="522D058C"/>
    <w:rsid w:val="523555EC"/>
    <w:rsid w:val="52391A74"/>
    <w:rsid w:val="523955FA"/>
    <w:rsid w:val="523A6B73"/>
    <w:rsid w:val="5252299E"/>
    <w:rsid w:val="5254009F"/>
    <w:rsid w:val="52586AA6"/>
    <w:rsid w:val="525D2F2D"/>
    <w:rsid w:val="52603EB2"/>
    <w:rsid w:val="5266163F"/>
    <w:rsid w:val="526712BE"/>
    <w:rsid w:val="52684B42"/>
    <w:rsid w:val="526C5746"/>
    <w:rsid w:val="526D6A4B"/>
    <w:rsid w:val="526E44CD"/>
    <w:rsid w:val="5270414C"/>
    <w:rsid w:val="52722ED3"/>
    <w:rsid w:val="5277735B"/>
    <w:rsid w:val="5279285E"/>
    <w:rsid w:val="527B24DD"/>
    <w:rsid w:val="52873D72"/>
    <w:rsid w:val="5293044E"/>
    <w:rsid w:val="5298788F"/>
    <w:rsid w:val="52AD5EA9"/>
    <w:rsid w:val="52B007B9"/>
    <w:rsid w:val="52BA32C7"/>
    <w:rsid w:val="52BB6B4A"/>
    <w:rsid w:val="52BD424C"/>
    <w:rsid w:val="52BE1CCD"/>
    <w:rsid w:val="52BE7978"/>
    <w:rsid w:val="52C97A4D"/>
    <w:rsid w:val="52CF57EB"/>
    <w:rsid w:val="52D0326C"/>
    <w:rsid w:val="52D62BF7"/>
    <w:rsid w:val="52D65176"/>
    <w:rsid w:val="52E61B8D"/>
    <w:rsid w:val="52E72E92"/>
    <w:rsid w:val="52ED6F99"/>
    <w:rsid w:val="52EF249C"/>
    <w:rsid w:val="52F037A1"/>
    <w:rsid w:val="52F11223"/>
    <w:rsid w:val="52F57E63"/>
    <w:rsid w:val="52F80CCF"/>
    <w:rsid w:val="52F81F7A"/>
    <w:rsid w:val="52FA40B1"/>
    <w:rsid w:val="52FD5035"/>
    <w:rsid w:val="53080E48"/>
    <w:rsid w:val="531254ED"/>
    <w:rsid w:val="53132A5C"/>
    <w:rsid w:val="531404DE"/>
    <w:rsid w:val="531E556A"/>
    <w:rsid w:val="5327310A"/>
    <w:rsid w:val="53285A20"/>
    <w:rsid w:val="532F6B09"/>
    <w:rsid w:val="5330458B"/>
    <w:rsid w:val="53370692"/>
    <w:rsid w:val="533A4E9A"/>
    <w:rsid w:val="533A7098"/>
    <w:rsid w:val="533B45CA"/>
    <w:rsid w:val="533F4966"/>
    <w:rsid w:val="5347092C"/>
    <w:rsid w:val="534F15BC"/>
    <w:rsid w:val="5350123C"/>
    <w:rsid w:val="53522541"/>
    <w:rsid w:val="535D6353"/>
    <w:rsid w:val="536072D8"/>
    <w:rsid w:val="536611E1"/>
    <w:rsid w:val="536A7BE8"/>
    <w:rsid w:val="536F1AF1"/>
    <w:rsid w:val="5376752B"/>
    <w:rsid w:val="537A3705"/>
    <w:rsid w:val="5380560E"/>
    <w:rsid w:val="53820B12"/>
    <w:rsid w:val="53867518"/>
    <w:rsid w:val="53871716"/>
    <w:rsid w:val="53887F4D"/>
    <w:rsid w:val="538B39A0"/>
    <w:rsid w:val="53917AA7"/>
    <w:rsid w:val="53932FAA"/>
    <w:rsid w:val="539719B0"/>
    <w:rsid w:val="539F2640"/>
    <w:rsid w:val="53A17D41"/>
    <w:rsid w:val="53A51A58"/>
    <w:rsid w:val="53A9514E"/>
    <w:rsid w:val="53B858E2"/>
    <w:rsid w:val="53BA2E6A"/>
    <w:rsid w:val="53C127F5"/>
    <w:rsid w:val="53D33D94"/>
    <w:rsid w:val="53D57297"/>
    <w:rsid w:val="53DA11A0"/>
    <w:rsid w:val="53DF5628"/>
    <w:rsid w:val="53E45333"/>
    <w:rsid w:val="53E72A34"/>
    <w:rsid w:val="53EA0737"/>
    <w:rsid w:val="53EC5BF6"/>
    <w:rsid w:val="53ED493E"/>
    <w:rsid w:val="53EE23BF"/>
    <w:rsid w:val="53EF16DE"/>
    <w:rsid w:val="53F6304F"/>
    <w:rsid w:val="53F80750"/>
    <w:rsid w:val="53FA74D7"/>
    <w:rsid w:val="53FB02AA"/>
    <w:rsid w:val="53FE5EDD"/>
    <w:rsid w:val="54071B43"/>
    <w:rsid w:val="540754E7"/>
    <w:rsid w:val="54093771"/>
    <w:rsid w:val="54143355"/>
    <w:rsid w:val="54186A87"/>
    <w:rsid w:val="54194508"/>
    <w:rsid w:val="541F6411"/>
    <w:rsid w:val="54216091"/>
    <w:rsid w:val="54237016"/>
    <w:rsid w:val="542B2ADC"/>
    <w:rsid w:val="54363EAB"/>
    <w:rsid w:val="544B5FDC"/>
    <w:rsid w:val="544E36DD"/>
    <w:rsid w:val="54571DEF"/>
    <w:rsid w:val="54583FED"/>
    <w:rsid w:val="545C0475"/>
    <w:rsid w:val="545E1779"/>
    <w:rsid w:val="54696135"/>
    <w:rsid w:val="546B520C"/>
    <w:rsid w:val="5481389E"/>
    <w:rsid w:val="548173AF"/>
    <w:rsid w:val="54866D6A"/>
    <w:rsid w:val="548A223D"/>
    <w:rsid w:val="548B3542"/>
    <w:rsid w:val="54974DD6"/>
    <w:rsid w:val="549D3414"/>
    <w:rsid w:val="549F21E3"/>
    <w:rsid w:val="54A72E72"/>
    <w:rsid w:val="54A85071"/>
    <w:rsid w:val="54AF247D"/>
    <w:rsid w:val="54B05D00"/>
    <w:rsid w:val="54CA432C"/>
    <w:rsid w:val="54CC3FAC"/>
    <w:rsid w:val="54DB45C6"/>
    <w:rsid w:val="54DB67C4"/>
    <w:rsid w:val="54DC2048"/>
    <w:rsid w:val="54DD7595"/>
    <w:rsid w:val="54DD7AC9"/>
    <w:rsid w:val="54E52957"/>
    <w:rsid w:val="54EB4860"/>
    <w:rsid w:val="54ED7D64"/>
    <w:rsid w:val="54EE1F62"/>
    <w:rsid w:val="54EF45FD"/>
    <w:rsid w:val="54F20968"/>
    <w:rsid w:val="54F33E6B"/>
    <w:rsid w:val="54FA15F8"/>
    <w:rsid w:val="54FF02B0"/>
    <w:rsid w:val="55076432"/>
    <w:rsid w:val="5510379B"/>
    <w:rsid w:val="55122522"/>
    <w:rsid w:val="55137FA3"/>
    <w:rsid w:val="551556A5"/>
    <w:rsid w:val="552114B7"/>
    <w:rsid w:val="552D2D4B"/>
    <w:rsid w:val="553304D8"/>
    <w:rsid w:val="553C7AE3"/>
    <w:rsid w:val="553F4189"/>
    <w:rsid w:val="55401D6C"/>
    <w:rsid w:val="5543746D"/>
    <w:rsid w:val="554738F5"/>
    <w:rsid w:val="554A72FB"/>
    <w:rsid w:val="554C1057"/>
    <w:rsid w:val="554C49FE"/>
    <w:rsid w:val="554D57FF"/>
    <w:rsid w:val="555A2916"/>
    <w:rsid w:val="555D22A2"/>
    <w:rsid w:val="555E60BF"/>
    <w:rsid w:val="556641AA"/>
    <w:rsid w:val="556E15B6"/>
    <w:rsid w:val="5571253B"/>
    <w:rsid w:val="5574697B"/>
    <w:rsid w:val="55746D43"/>
    <w:rsid w:val="55820D2C"/>
    <w:rsid w:val="558939DF"/>
    <w:rsid w:val="558B30E5"/>
    <w:rsid w:val="558B6069"/>
    <w:rsid w:val="55910872"/>
    <w:rsid w:val="559304F1"/>
    <w:rsid w:val="55933D75"/>
    <w:rsid w:val="559439F4"/>
    <w:rsid w:val="55996D5A"/>
    <w:rsid w:val="559B337F"/>
    <w:rsid w:val="559C6C03"/>
    <w:rsid w:val="55A07807"/>
    <w:rsid w:val="55A57512"/>
    <w:rsid w:val="55A84C13"/>
    <w:rsid w:val="55A92695"/>
    <w:rsid w:val="55AB141B"/>
    <w:rsid w:val="55AC6E9D"/>
    <w:rsid w:val="55AD491E"/>
    <w:rsid w:val="55AF7E22"/>
    <w:rsid w:val="55B53F29"/>
    <w:rsid w:val="55B577AC"/>
    <w:rsid w:val="55B80731"/>
    <w:rsid w:val="55B961B3"/>
    <w:rsid w:val="55BA03B1"/>
    <w:rsid w:val="55C21041"/>
    <w:rsid w:val="55C44544"/>
    <w:rsid w:val="55C630E5"/>
    <w:rsid w:val="55CE5AEE"/>
    <w:rsid w:val="55D155B6"/>
    <w:rsid w:val="55D75763"/>
    <w:rsid w:val="55E4287A"/>
    <w:rsid w:val="55E67F7B"/>
    <w:rsid w:val="55F0088B"/>
    <w:rsid w:val="55F1630D"/>
    <w:rsid w:val="55F23D8E"/>
    <w:rsid w:val="55F66018"/>
    <w:rsid w:val="55F76859"/>
    <w:rsid w:val="56006927"/>
    <w:rsid w:val="560A1435"/>
    <w:rsid w:val="560B273A"/>
    <w:rsid w:val="56106BC1"/>
    <w:rsid w:val="561342C3"/>
    <w:rsid w:val="56155247"/>
    <w:rsid w:val="561E00D5"/>
    <w:rsid w:val="56204D1B"/>
    <w:rsid w:val="562654E2"/>
    <w:rsid w:val="56435FE8"/>
    <w:rsid w:val="5645161A"/>
    <w:rsid w:val="5648259F"/>
    <w:rsid w:val="564B64CF"/>
    <w:rsid w:val="564C5721"/>
    <w:rsid w:val="565463B1"/>
    <w:rsid w:val="56553E33"/>
    <w:rsid w:val="5655483B"/>
    <w:rsid w:val="56565406"/>
    <w:rsid w:val="56567336"/>
    <w:rsid w:val="56571534"/>
    <w:rsid w:val="56586FB6"/>
    <w:rsid w:val="565C59BC"/>
    <w:rsid w:val="566043C2"/>
    <w:rsid w:val="56635347"/>
    <w:rsid w:val="56664FEF"/>
    <w:rsid w:val="566A2753"/>
    <w:rsid w:val="566A39AB"/>
    <w:rsid w:val="56754367"/>
    <w:rsid w:val="56781A69"/>
    <w:rsid w:val="567E7BBA"/>
    <w:rsid w:val="568001CB"/>
    <w:rsid w:val="56803504"/>
    <w:rsid w:val="568048F7"/>
    <w:rsid w:val="568432FD"/>
    <w:rsid w:val="568D1A0E"/>
    <w:rsid w:val="56981F4E"/>
    <w:rsid w:val="569F51AC"/>
    <w:rsid w:val="56A570B5"/>
    <w:rsid w:val="56A64B36"/>
    <w:rsid w:val="56AD44C1"/>
    <w:rsid w:val="56B12EC7"/>
    <w:rsid w:val="56B241CC"/>
    <w:rsid w:val="56B518CE"/>
    <w:rsid w:val="56B72852"/>
    <w:rsid w:val="56BB1258"/>
    <w:rsid w:val="56CA1873"/>
    <w:rsid w:val="56D0377C"/>
    <w:rsid w:val="56D0597B"/>
    <w:rsid w:val="56D65686"/>
    <w:rsid w:val="56D90809"/>
    <w:rsid w:val="56DB758F"/>
    <w:rsid w:val="56DD2A92"/>
    <w:rsid w:val="56DE0514"/>
    <w:rsid w:val="56E31118"/>
    <w:rsid w:val="56ED3C1F"/>
    <w:rsid w:val="56F0042E"/>
    <w:rsid w:val="56F96B3F"/>
    <w:rsid w:val="56FE2FC7"/>
    <w:rsid w:val="57034EE7"/>
    <w:rsid w:val="570738D6"/>
    <w:rsid w:val="570F0CE3"/>
    <w:rsid w:val="570F4566"/>
    <w:rsid w:val="570F6AE4"/>
    <w:rsid w:val="571254EA"/>
    <w:rsid w:val="57183B71"/>
    <w:rsid w:val="571B0378"/>
    <w:rsid w:val="571E5A7A"/>
    <w:rsid w:val="5727418B"/>
    <w:rsid w:val="572F7019"/>
    <w:rsid w:val="57381EA7"/>
    <w:rsid w:val="57482141"/>
    <w:rsid w:val="57503CCA"/>
    <w:rsid w:val="575304D2"/>
    <w:rsid w:val="57586B58"/>
    <w:rsid w:val="575A58DF"/>
    <w:rsid w:val="576077E8"/>
    <w:rsid w:val="57707A82"/>
    <w:rsid w:val="5776198C"/>
    <w:rsid w:val="5776778D"/>
    <w:rsid w:val="57784E8F"/>
    <w:rsid w:val="57796194"/>
    <w:rsid w:val="577B5E13"/>
    <w:rsid w:val="577C3895"/>
    <w:rsid w:val="577D4B9A"/>
    <w:rsid w:val="57827278"/>
    <w:rsid w:val="57855EFF"/>
    <w:rsid w:val="57871C26"/>
    <w:rsid w:val="578909AC"/>
    <w:rsid w:val="578D15B1"/>
    <w:rsid w:val="579D3DCA"/>
    <w:rsid w:val="57A04D4E"/>
    <w:rsid w:val="57A16053"/>
    <w:rsid w:val="57A87046"/>
    <w:rsid w:val="57BC467E"/>
    <w:rsid w:val="57C5191B"/>
    <w:rsid w:val="57C726CD"/>
    <w:rsid w:val="57CF589D"/>
    <w:rsid w:val="57D41D25"/>
    <w:rsid w:val="57D65228"/>
    <w:rsid w:val="57D72CAA"/>
    <w:rsid w:val="57DA7034"/>
    <w:rsid w:val="57EF0351"/>
    <w:rsid w:val="57F347D8"/>
    <w:rsid w:val="57F44FEE"/>
    <w:rsid w:val="5808093A"/>
    <w:rsid w:val="5811760C"/>
    <w:rsid w:val="58156012"/>
    <w:rsid w:val="581C599D"/>
    <w:rsid w:val="582662AC"/>
    <w:rsid w:val="58294CB2"/>
    <w:rsid w:val="582F2980"/>
    <w:rsid w:val="582F6BBC"/>
    <w:rsid w:val="583355C2"/>
    <w:rsid w:val="58350AC5"/>
    <w:rsid w:val="58406E56"/>
    <w:rsid w:val="58422359"/>
    <w:rsid w:val="5843585C"/>
    <w:rsid w:val="584432DE"/>
    <w:rsid w:val="585103F5"/>
    <w:rsid w:val="58587D80"/>
    <w:rsid w:val="585C6786"/>
    <w:rsid w:val="585F1909"/>
    <w:rsid w:val="5860518C"/>
    <w:rsid w:val="58653812"/>
    <w:rsid w:val="58684797"/>
    <w:rsid w:val="586B6CCB"/>
    <w:rsid w:val="586D0C1F"/>
    <w:rsid w:val="586E1F24"/>
    <w:rsid w:val="587305AA"/>
    <w:rsid w:val="5879446B"/>
    <w:rsid w:val="587B59B6"/>
    <w:rsid w:val="587C6CBB"/>
    <w:rsid w:val="587F6944"/>
    <w:rsid w:val="58801E3E"/>
    <w:rsid w:val="58825341"/>
    <w:rsid w:val="588A0E14"/>
    <w:rsid w:val="588E49D7"/>
    <w:rsid w:val="589A727B"/>
    <w:rsid w:val="589B3CED"/>
    <w:rsid w:val="58A96885"/>
    <w:rsid w:val="58B12628"/>
    <w:rsid w:val="58B3387C"/>
    <w:rsid w:val="58B54896"/>
    <w:rsid w:val="58B95CBA"/>
    <w:rsid w:val="58BB2023"/>
    <w:rsid w:val="58BB5D2B"/>
    <w:rsid w:val="58BE7724"/>
    <w:rsid w:val="58C3742F"/>
    <w:rsid w:val="58C70034"/>
    <w:rsid w:val="58CD57C0"/>
    <w:rsid w:val="58D376CA"/>
    <w:rsid w:val="58DF56DB"/>
    <w:rsid w:val="58E95FEA"/>
    <w:rsid w:val="58EF3777"/>
    <w:rsid w:val="58F133F6"/>
    <w:rsid w:val="58F47BFE"/>
    <w:rsid w:val="58F63101"/>
    <w:rsid w:val="58FB7589"/>
    <w:rsid w:val="59047E99"/>
    <w:rsid w:val="5906339C"/>
    <w:rsid w:val="590F622A"/>
    <w:rsid w:val="591304B3"/>
    <w:rsid w:val="591D6844"/>
    <w:rsid w:val="5924294C"/>
    <w:rsid w:val="592503CD"/>
    <w:rsid w:val="592B73D0"/>
    <w:rsid w:val="59373B6B"/>
    <w:rsid w:val="593F0F77"/>
    <w:rsid w:val="59421EFC"/>
    <w:rsid w:val="594453FF"/>
    <w:rsid w:val="59456704"/>
    <w:rsid w:val="59473E05"/>
    <w:rsid w:val="594A0CAC"/>
    <w:rsid w:val="59564420"/>
    <w:rsid w:val="59635CB4"/>
    <w:rsid w:val="59676D53"/>
    <w:rsid w:val="59754CD5"/>
    <w:rsid w:val="59841A6C"/>
    <w:rsid w:val="598474ED"/>
    <w:rsid w:val="59874BEF"/>
    <w:rsid w:val="598C48FA"/>
    <w:rsid w:val="598F1FFB"/>
    <w:rsid w:val="59972C8B"/>
    <w:rsid w:val="599D2616"/>
    <w:rsid w:val="599E6821"/>
    <w:rsid w:val="59A1101C"/>
    <w:rsid w:val="59A53FC9"/>
    <w:rsid w:val="59A85123"/>
    <w:rsid w:val="59AF0332"/>
    <w:rsid w:val="59B853BE"/>
    <w:rsid w:val="59C8345A"/>
    <w:rsid w:val="59DD33FF"/>
    <w:rsid w:val="59E73D0F"/>
    <w:rsid w:val="59E97212"/>
    <w:rsid w:val="59ED369A"/>
    <w:rsid w:val="59EF7C4D"/>
    <w:rsid w:val="59F27CE6"/>
    <w:rsid w:val="59F31D20"/>
    <w:rsid w:val="59F81A2B"/>
    <w:rsid w:val="59FD00B1"/>
    <w:rsid w:val="59FD2166"/>
    <w:rsid w:val="59FD262F"/>
    <w:rsid w:val="5A006E37"/>
    <w:rsid w:val="5A097746"/>
    <w:rsid w:val="5A0E034B"/>
    <w:rsid w:val="5A0E3BCE"/>
    <w:rsid w:val="5A1C50E2"/>
    <w:rsid w:val="5A1D2B64"/>
    <w:rsid w:val="5A301B84"/>
    <w:rsid w:val="5A3B5997"/>
    <w:rsid w:val="5A3C4682"/>
    <w:rsid w:val="5A3D6C9C"/>
    <w:rsid w:val="5A4675AB"/>
    <w:rsid w:val="5A4717AA"/>
    <w:rsid w:val="5A4A5FB2"/>
    <w:rsid w:val="5A4C06CD"/>
    <w:rsid w:val="5A4F4638"/>
    <w:rsid w:val="5A5233BE"/>
    <w:rsid w:val="5A5B1C29"/>
    <w:rsid w:val="5A623658"/>
    <w:rsid w:val="5A66425D"/>
    <w:rsid w:val="5A687760"/>
    <w:rsid w:val="5A692FE3"/>
    <w:rsid w:val="5A696017"/>
    <w:rsid w:val="5A6D19E9"/>
    <w:rsid w:val="5A7238F3"/>
    <w:rsid w:val="5A7B6781"/>
    <w:rsid w:val="5A812888"/>
    <w:rsid w:val="5A885A96"/>
    <w:rsid w:val="5A95732A"/>
    <w:rsid w:val="5A9A7A80"/>
    <w:rsid w:val="5AA10BBF"/>
    <w:rsid w:val="5AA31EC3"/>
    <w:rsid w:val="5AA553C6"/>
    <w:rsid w:val="5AA62E48"/>
    <w:rsid w:val="5AA7634B"/>
    <w:rsid w:val="5ABA1AE9"/>
    <w:rsid w:val="5ABA6049"/>
    <w:rsid w:val="5ABB1768"/>
    <w:rsid w:val="5AC05BF0"/>
    <w:rsid w:val="5AC93A53"/>
    <w:rsid w:val="5ACD7484"/>
    <w:rsid w:val="5ACE0789"/>
    <w:rsid w:val="5ADB46FF"/>
    <w:rsid w:val="5AE23BA6"/>
    <w:rsid w:val="5AE65E30"/>
    <w:rsid w:val="5AEA4836"/>
    <w:rsid w:val="5AEC04E7"/>
    <w:rsid w:val="5AEE323C"/>
    <w:rsid w:val="5AF42BC7"/>
    <w:rsid w:val="5AF50649"/>
    <w:rsid w:val="5AFA4AD0"/>
    <w:rsid w:val="5B021C30"/>
    <w:rsid w:val="5B0522AC"/>
    <w:rsid w:val="5B0608E3"/>
    <w:rsid w:val="5B06742A"/>
    <w:rsid w:val="5B073DE6"/>
    <w:rsid w:val="5B0C6070"/>
    <w:rsid w:val="5B1A7584"/>
    <w:rsid w:val="5B20148D"/>
    <w:rsid w:val="5B23548E"/>
    <w:rsid w:val="5B28431B"/>
    <w:rsid w:val="5B291D9C"/>
    <w:rsid w:val="5B2B0B23"/>
    <w:rsid w:val="5B2C65A4"/>
    <w:rsid w:val="5B2D3EB5"/>
    <w:rsid w:val="5B3710B2"/>
    <w:rsid w:val="5B3C0DBD"/>
    <w:rsid w:val="5B3F3F40"/>
    <w:rsid w:val="5B404CF2"/>
    <w:rsid w:val="5B420748"/>
    <w:rsid w:val="5B474BD0"/>
    <w:rsid w:val="5B4F6759"/>
    <w:rsid w:val="5B5828EC"/>
    <w:rsid w:val="5B58403B"/>
    <w:rsid w:val="5B5B5B3E"/>
    <w:rsid w:val="5B6D158C"/>
    <w:rsid w:val="5B6F23F4"/>
    <w:rsid w:val="5B7140C0"/>
    <w:rsid w:val="5B746998"/>
    <w:rsid w:val="5B762629"/>
    <w:rsid w:val="5B77791D"/>
    <w:rsid w:val="5B7B5B4F"/>
    <w:rsid w:val="5B825CAE"/>
    <w:rsid w:val="5B836FB3"/>
    <w:rsid w:val="5B8411B1"/>
    <w:rsid w:val="5B844A35"/>
    <w:rsid w:val="5B887691"/>
    <w:rsid w:val="5B8A0B3C"/>
    <w:rsid w:val="5B8C1E41"/>
    <w:rsid w:val="5B956ECD"/>
    <w:rsid w:val="5B993B5A"/>
    <w:rsid w:val="5B9F0763"/>
    <w:rsid w:val="5BA16563"/>
    <w:rsid w:val="5BA416E6"/>
    <w:rsid w:val="5BAD4574"/>
    <w:rsid w:val="5BB00D7C"/>
    <w:rsid w:val="5BB43EFF"/>
    <w:rsid w:val="5BB47782"/>
    <w:rsid w:val="5BB95E08"/>
    <w:rsid w:val="5BBB130B"/>
    <w:rsid w:val="5BBE0092"/>
    <w:rsid w:val="5BC709A1"/>
    <w:rsid w:val="5BCD28AA"/>
    <w:rsid w:val="5BD0382F"/>
    <w:rsid w:val="5BD60FBC"/>
    <w:rsid w:val="5BD80C3B"/>
    <w:rsid w:val="5BDA681A"/>
    <w:rsid w:val="5BE73454"/>
    <w:rsid w:val="5BEB0156"/>
    <w:rsid w:val="5BF714F0"/>
    <w:rsid w:val="5BFE4C2F"/>
    <w:rsid w:val="5C032D84"/>
    <w:rsid w:val="5C092EC7"/>
    <w:rsid w:val="5C0F0D95"/>
    <w:rsid w:val="5C152C9F"/>
    <w:rsid w:val="5C1C5EAD"/>
    <w:rsid w:val="5C2855D3"/>
    <w:rsid w:val="5C350B71"/>
    <w:rsid w:val="5C3C41E3"/>
    <w:rsid w:val="5C3D1C65"/>
    <w:rsid w:val="5C3F333A"/>
    <w:rsid w:val="5C402BE9"/>
    <w:rsid w:val="5C464AF3"/>
    <w:rsid w:val="5C4B3179"/>
    <w:rsid w:val="5C4D1EFF"/>
    <w:rsid w:val="5C515082"/>
    <w:rsid w:val="5C55730B"/>
    <w:rsid w:val="5C584A0D"/>
    <w:rsid w:val="5C596748"/>
    <w:rsid w:val="5C5D6916"/>
    <w:rsid w:val="5C622D9E"/>
    <w:rsid w:val="5C63081F"/>
    <w:rsid w:val="5C6520B7"/>
    <w:rsid w:val="5C692729"/>
    <w:rsid w:val="5C6D49B2"/>
    <w:rsid w:val="5C707A82"/>
    <w:rsid w:val="5C761A3E"/>
    <w:rsid w:val="5C7878F3"/>
    <w:rsid w:val="5C7E6E4B"/>
    <w:rsid w:val="5C813653"/>
    <w:rsid w:val="5C824ADE"/>
    <w:rsid w:val="5C825851"/>
    <w:rsid w:val="5C8567D6"/>
    <w:rsid w:val="5C8833E1"/>
    <w:rsid w:val="5C8A64E1"/>
    <w:rsid w:val="5C8E4EE7"/>
    <w:rsid w:val="5CA6258E"/>
    <w:rsid w:val="5CA66FC3"/>
    <w:rsid w:val="5CAC1F18"/>
    <w:rsid w:val="5CAF09DB"/>
    <w:rsid w:val="5CB660AB"/>
    <w:rsid w:val="5CB702A9"/>
    <w:rsid w:val="5CB73B2D"/>
    <w:rsid w:val="5CB85D2B"/>
    <w:rsid w:val="5CC15BA8"/>
    <w:rsid w:val="5CC608C4"/>
    <w:rsid w:val="5CC93A47"/>
    <w:rsid w:val="5CCA72CA"/>
    <w:rsid w:val="5CCC5468"/>
    <w:rsid w:val="5CCD5CD0"/>
    <w:rsid w:val="5CD268D5"/>
    <w:rsid w:val="5CD41DD8"/>
    <w:rsid w:val="5CD94A8F"/>
    <w:rsid w:val="5CDA7564"/>
    <w:rsid w:val="5CDB71E4"/>
    <w:rsid w:val="5CDD26E7"/>
    <w:rsid w:val="5CE003D5"/>
    <w:rsid w:val="5CE16EEF"/>
    <w:rsid w:val="5CFB06F8"/>
    <w:rsid w:val="5D035EA0"/>
    <w:rsid w:val="5D0A22B2"/>
    <w:rsid w:val="5D0C5506"/>
    <w:rsid w:val="5D11008D"/>
    <w:rsid w:val="5D1B5DD0"/>
    <w:rsid w:val="5D270949"/>
    <w:rsid w:val="5D272D4B"/>
    <w:rsid w:val="5D295531"/>
    <w:rsid w:val="5D2B5065"/>
    <w:rsid w:val="5D2C5CEA"/>
    <w:rsid w:val="5D317F73"/>
    <w:rsid w:val="5D3573D5"/>
    <w:rsid w:val="5D3E1BE0"/>
    <w:rsid w:val="5D3E3A06"/>
    <w:rsid w:val="5D41498A"/>
    <w:rsid w:val="5D4C4020"/>
    <w:rsid w:val="5D6221FC"/>
    <w:rsid w:val="5D700D5D"/>
    <w:rsid w:val="5D747763"/>
    <w:rsid w:val="5D7A51C0"/>
    <w:rsid w:val="5D7D4714"/>
    <w:rsid w:val="5D85547F"/>
    <w:rsid w:val="5D855F42"/>
    <w:rsid w:val="5D862F00"/>
    <w:rsid w:val="5D893E85"/>
    <w:rsid w:val="5D8F5D8E"/>
    <w:rsid w:val="5D920689"/>
    <w:rsid w:val="5D930F11"/>
    <w:rsid w:val="5DA2372A"/>
    <w:rsid w:val="5DA546AF"/>
    <w:rsid w:val="5DA85633"/>
    <w:rsid w:val="5DB31446"/>
    <w:rsid w:val="5DB37248"/>
    <w:rsid w:val="5DB5274B"/>
    <w:rsid w:val="5DB736CF"/>
    <w:rsid w:val="5DC21A60"/>
    <w:rsid w:val="5DD12E22"/>
    <w:rsid w:val="5DD76183"/>
    <w:rsid w:val="5DDB040C"/>
    <w:rsid w:val="5DDC5E8E"/>
    <w:rsid w:val="5DE27D97"/>
    <w:rsid w:val="5DF35AB3"/>
    <w:rsid w:val="5DF43534"/>
    <w:rsid w:val="5DF55733"/>
    <w:rsid w:val="5DFD158F"/>
    <w:rsid w:val="5E001545"/>
    <w:rsid w:val="5E01566C"/>
    <w:rsid w:val="5E0537CF"/>
    <w:rsid w:val="5E0821D5"/>
    <w:rsid w:val="5E0943D3"/>
    <w:rsid w:val="5E0B0912"/>
    <w:rsid w:val="5E0B78D6"/>
    <w:rsid w:val="5E0F62DC"/>
    <w:rsid w:val="5E176F6C"/>
    <w:rsid w:val="5E1D3074"/>
    <w:rsid w:val="5E1E66DC"/>
    <w:rsid w:val="5E284C88"/>
    <w:rsid w:val="5E2C368E"/>
    <w:rsid w:val="5E3929A4"/>
    <w:rsid w:val="5E3C729B"/>
    <w:rsid w:val="5E3E4C2D"/>
    <w:rsid w:val="5E405BB2"/>
    <w:rsid w:val="5E417DB0"/>
    <w:rsid w:val="5E4853B5"/>
    <w:rsid w:val="5E4A64C2"/>
    <w:rsid w:val="5E4B74CC"/>
    <w:rsid w:val="5E554853"/>
    <w:rsid w:val="5E5A2ED9"/>
    <w:rsid w:val="5E66256E"/>
    <w:rsid w:val="5E714CB3"/>
    <w:rsid w:val="5E734DF0"/>
    <w:rsid w:val="5E736001"/>
    <w:rsid w:val="5E785D0C"/>
    <w:rsid w:val="5E7D6910"/>
    <w:rsid w:val="5E85179E"/>
    <w:rsid w:val="5E867220"/>
    <w:rsid w:val="5E941DB9"/>
    <w:rsid w:val="5E9C71C5"/>
    <w:rsid w:val="5E9E621B"/>
    <w:rsid w:val="5EA16ED0"/>
    <w:rsid w:val="5EA65556"/>
    <w:rsid w:val="5EA72FD8"/>
    <w:rsid w:val="5EA731C3"/>
    <w:rsid w:val="5EB138E7"/>
    <w:rsid w:val="5EB24BEC"/>
    <w:rsid w:val="5EB3143F"/>
    <w:rsid w:val="5EB522EE"/>
    <w:rsid w:val="5EB660B0"/>
    <w:rsid w:val="5EB71074"/>
    <w:rsid w:val="5EB73272"/>
    <w:rsid w:val="5EBD517B"/>
    <w:rsid w:val="5EBF3F02"/>
    <w:rsid w:val="5EC24E86"/>
    <w:rsid w:val="5ECC1F13"/>
    <w:rsid w:val="5ED13E1C"/>
    <w:rsid w:val="5ED73B27"/>
    <w:rsid w:val="5ED7628F"/>
    <w:rsid w:val="5ED837A7"/>
    <w:rsid w:val="5EDB1AE4"/>
    <w:rsid w:val="5EDE0F33"/>
    <w:rsid w:val="5EDF3132"/>
    <w:rsid w:val="5EE11EB8"/>
    <w:rsid w:val="5EE16635"/>
    <w:rsid w:val="5EE3728C"/>
    <w:rsid w:val="5EE5503B"/>
    <w:rsid w:val="5EE85FC0"/>
    <w:rsid w:val="5EE914C3"/>
    <w:rsid w:val="5EEA4D46"/>
    <w:rsid w:val="5EEA51BC"/>
    <w:rsid w:val="5EEE374C"/>
    <w:rsid w:val="5EF046D1"/>
    <w:rsid w:val="5EF12152"/>
    <w:rsid w:val="5EF86DE5"/>
    <w:rsid w:val="5EFD1201"/>
    <w:rsid w:val="5EFF6B19"/>
    <w:rsid w:val="5F0977F9"/>
    <w:rsid w:val="5F0A01E1"/>
    <w:rsid w:val="5F0D4001"/>
    <w:rsid w:val="5F0E1C18"/>
    <w:rsid w:val="5F107184"/>
    <w:rsid w:val="5F125F0A"/>
    <w:rsid w:val="5F130109"/>
    <w:rsid w:val="5F14140D"/>
    <w:rsid w:val="5F260774"/>
    <w:rsid w:val="5F261328"/>
    <w:rsid w:val="5F267129"/>
    <w:rsid w:val="5F2800AE"/>
    <w:rsid w:val="5F295B30"/>
    <w:rsid w:val="5F3054BA"/>
    <w:rsid w:val="5F332BBC"/>
    <w:rsid w:val="5F3B4A22"/>
    <w:rsid w:val="5F3D6D4F"/>
    <w:rsid w:val="5F4712CA"/>
    <w:rsid w:val="5F4A27E1"/>
    <w:rsid w:val="5F4A7038"/>
    <w:rsid w:val="5F4C495A"/>
    <w:rsid w:val="5F4C5CE4"/>
    <w:rsid w:val="5F4C7D6C"/>
    <w:rsid w:val="5F561E77"/>
    <w:rsid w:val="5F5D0E23"/>
    <w:rsid w:val="5F5D7283"/>
    <w:rsid w:val="5F600208"/>
    <w:rsid w:val="5F62370B"/>
    <w:rsid w:val="5F625516"/>
    <w:rsid w:val="5F662111"/>
    <w:rsid w:val="5F681281"/>
    <w:rsid w:val="5F6F6BEE"/>
    <w:rsid w:val="5F746EA8"/>
    <w:rsid w:val="5F75492A"/>
    <w:rsid w:val="5F864BC4"/>
    <w:rsid w:val="5F8C454F"/>
    <w:rsid w:val="5F9109D7"/>
    <w:rsid w:val="5F952C60"/>
    <w:rsid w:val="5F9B42B9"/>
    <w:rsid w:val="5F9D1D2E"/>
    <w:rsid w:val="5FA10C71"/>
    <w:rsid w:val="5FAA3AFF"/>
    <w:rsid w:val="5FAB4E04"/>
    <w:rsid w:val="5FAD4A84"/>
    <w:rsid w:val="5FAE2505"/>
    <w:rsid w:val="5FB4244C"/>
    <w:rsid w:val="5FBB641C"/>
    <w:rsid w:val="5FBE05A1"/>
    <w:rsid w:val="5FCC5339"/>
    <w:rsid w:val="5FD15044"/>
    <w:rsid w:val="5FD44DAC"/>
    <w:rsid w:val="5FD45FC8"/>
    <w:rsid w:val="5FD65C48"/>
    <w:rsid w:val="5FD76F4D"/>
    <w:rsid w:val="5FDC33D5"/>
    <w:rsid w:val="5FE307E1"/>
    <w:rsid w:val="5FE50461"/>
    <w:rsid w:val="5FE53CE4"/>
    <w:rsid w:val="5FF11260"/>
    <w:rsid w:val="5FF14274"/>
    <w:rsid w:val="5FF87482"/>
    <w:rsid w:val="5FFA4B83"/>
    <w:rsid w:val="5FFB60DB"/>
    <w:rsid w:val="60021F8F"/>
    <w:rsid w:val="6009191A"/>
    <w:rsid w:val="600C6122"/>
    <w:rsid w:val="600E1625"/>
    <w:rsid w:val="6012002C"/>
    <w:rsid w:val="601428A1"/>
    <w:rsid w:val="60151D76"/>
    <w:rsid w:val="601531AE"/>
    <w:rsid w:val="601A2EBA"/>
    <w:rsid w:val="601A7636"/>
    <w:rsid w:val="601F78BB"/>
    <w:rsid w:val="602202C6"/>
    <w:rsid w:val="60263197"/>
    <w:rsid w:val="602821CF"/>
    <w:rsid w:val="60297C51"/>
    <w:rsid w:val="602F7951"/>
    <w:rsid w:val="603766D7"/>
    <w:rsid w:val="604030F9"/>
    <w:rsid w:val="60443CFE"/>
    <w:rsid w:val="6044542C"/>
    <w:rsid w:val="604B3689"/>
    <w:rsid w:val="604C498D"/>
    <w:rsid w:val="605E1909"/>
    <w:rsid w:val="606467B1"/>
    <w:rsid w:val="60657AB6"/>
    <w:rsid w:val="60665537"/>
    <w:rsid w:val="606C3BBD"/>
    <w:rsid w:val="606E2944"/>
    <w:rsid w:val="607B63D6"/>
    <w:rsid w:val="607C3E58"/>
    <w:rsid w:val="607D18D9"/>
    <w:rsid w:val="60837066"/>
    <w:rsid w:val="608A16EF"/>
    <w:rsid w:val="608D07DE"/>
    <w:rsid w:val="60952803"/>
    <w:rsid w:val="60954768"/>
    <w:rsid w:val="60960285"/>
    <w:rsid w:val="609F6996"/>
    <w:rsid w:val="60A4759A"/>
    <w:rsid w:val="60A5089F"/>
    <w:rsid w:val="60A97045"/>
    <w:rsid w:val="60A972A5"/>
    <w:rsid w:val="60AB27A8"/>
    <w:rsid w:val="60AB374C"/>
    <w:rsid w:val="60AC2428"/>
    <w:rsid w:val="60B216CC"/>
    <w:rsid w:val="60B35636"/>
    <w:rsid w:val="60B418BE"/>
    <w:rsid w:val="60B50B3A"/>
    <w:rsid w:val="60B71EF9"/>
    <w:rsid w:val="60CC075F"/>
    <w:rsid w:val="60D76AF0"/>
    <w:rsid w:val="60E115FE"/>
    <w:rsid w:val="60E50004"/>
    <w:rsid w:val="60EE6715"/>
    <w:rsid w:val="60F01C18"/>
    <w:rsid w:val="60F32B9D"/>
    <w:rsid w:val="60F66235"/>
    <w:rsid w:val="60FD0F2E"/>
    <w:rsid w:val="60FE457C"/>
    <w:rsid w:val="60FF0C64"/>
    <w:rsid w:val="6104413C"/>
    <w:rsid w:val="61063DBC"/>
    <w:rsid w:val="6108329D"/>
    <w:rsid w:val="61094D40"/>
    <w:rsid w:val="610C1548"/>
    <w:rsid w:val="6118535B"/>
    <w:rsid w:val="611A2A5C"/>
    <w:rsid w:val="611C17E3"/>
    <w:rsid w:val="61246BEF"/>
    <w:rsid w:val="6125059E"/>
    <w:rsid w:val="61285552"/>
    <w:rsid w:val="61310483"/>
    <w:rsid w:val="61351088"/>
    <w:rsid w:val="6135490B"/>
    <w:rsid w:val="613B0C96"/>
    <w:rsid w:val="613B2F91"/>
    <w:rsid w:val="613E3F16"/>
    <w:rsid w:val="613F521A"/>
    <w:rsid w:val="61474825"/>
    <w:rsid w:val="614A47C5"/>
    <w:rsid w:val="614B322B"/>
    <w:rsid w:val="614D1FB2"/>
    <w:rsid w:val="615573BE"/>
    <w:rsid w:val="616D02E8"/>
    <w:rsid w:val="616D4A65"/>
    <w:rsid w:val="616F53E3"/>
    <w:rsid w:val="617059E9"/>
    <w:rsid w:val="61747C73"/>
    <w:rsid w:val="6176371D"/>
    <w:rsid w:val="617A62F9"/>
    <w:rsid w:val="617B75FE"/>
    <w:rsid w:val="617D4CFF"/>
    <w:rsid w:val="61813705"/>
    <w:rsid w:val="618A6593"/>
    <w:rsid w:val="618E4F99"/>
    <w:rsid w:val="618F4011"/>
    <w:rsid w:val="61914510"/>
    <w:rsid w:val="61927223"/>
    <w:rsid w:val="61934CA4"/>
    <w:rsid w:val="61954924"/>
    <w:rsid w:val="6198332B"/>
    <w:rsid w:val="619D77B2"/>
    <w:rsid w:val="619F2CB5"/>
    <w:rsid w:val="61A02E98"/>
    <w:rsid w:val="61A77F4A"/>
    <w:rsid w:val="61C21F70"/>
    <w:rsid w:val="61C9600A"/>
    <w:rsid w:val="61D1258B"/>
    <w:rsid w:val="61D2220B"/>
    <w:rsid w:val="61E12825"/>
    <w:rsid w:val="61E66CAD"/>
    <w:rsid w:val="61E73960"/>
    <w:rsid w:val="61E91E30"/>
    <w:rsid w:val="61F24CBE"/>
    <w:rsid w:val="61FA4987"/>
    <w:rsid w:val="62086E62"/>
    <w:rsid w:val="6209072B"/>
    <w:rsid w:val="620F2070"/>
    <w:rsid w:val="620F67EC"/>
    <w:rsid w:val="62122A6C"/>
    <w:rsid w:val="62127771"/>
    <w:rsid w:val="6218367B"/>
    <w:rsid w:val="621A25FF"/>
    <w:rsid w:val="621C3904"/>
    <w:rsid w:val="621C5B02"/>
    <w:rsid w:val="6221580D"/>
    <w:rsid w:val="62277716"/>
    <w:rsid w:val="623E733C"/>
    <w:rsid w:val="6240283F"/>
    <w:rsid w:val="624A6155"/>
    <w:rsid w:val="624B4453"/>
    <w:rsid w:val="624D7956"/>
    <w:rsid w:val="62533A5E"/>
    <w:rsid w:val="625A6C6C"/>
    <w:rsid w:val="625B46ED"/>
    <w:rsid w:val="625C216F"/>
    <w:rsid w:val="62695C01"/>
    <w:rsid w:val="62716891"/>
    <w:rsid w:val="62782999"/>
    <w:rsid w:val="627B391D"/>
    <w:rsid w:val="627C139F"/>
    <w:rsid w:val="627F5BA7"/>
    <w:rsid w:val="62853BC4"/>
    <w:rsid w:val="628A19B9"/>
    <w:rsid w:val="62931E48"/>
    <w:rsid w:val="629D5157"/>
    <w:rsid w:val="62A969EB"/>
    <w:rsid w:val="62AA3FE9"/>
    <w:rsid w:val="62AD1323"/>
    <w:rsid w:val="62B250FC"/>
    <w:rsid w:val="62B45F2D"/>
    <w:rsid w:val="62B60044"/>
    <w:rsid w:val="62BC7C0A"/>
    <w:rsid w:val="62BE310D"/>
    <w:rsid w:val="62BE44D1"/>
    <w:rsid w:val="62C04412"/>
    <w:rsid w:val="62C9149E"/>
    <w:rsid w:val="62D1432C"/>
    <w:rsid w:val="62D50B34"/>
    <w:rsid w:val="62D94FBC"/>
    <w:rsid w:val="62DE1443"/>
    <w:rsid w:val="62E245C6"/>
    <w:rsid w:val="62F66AEA"/>
    <w:rsid w:val="62FD1102"/>
    <w:rsid w:val="63041683"/>
    <w:rsid w:val="63045E00"/>
    <w:rsid w:val="631B2246"/>
    <w:rsid w:val="631E1871"/>
    <w:rsid w:val="632153B0"/>
    <w:rsid w:val="63246334"/>
    <w:rsid w:val="632E6C44"/>
    <w:rsid w:val="63317BC9"/>
    <w:rsid w:val="63351E52"/>
    <w:rsid w:val="63387553"/>
    <w:rsid w:val="63390858"/>
    <w:rsid w:val="634642EB"/>
    <w:rsid w:val="63490AF3"/>
    <w:rsid w:val="63493BD5"/>
    <w:rsid w:val="634E4F7A"/>
    <w:rsid w:val="635974FF"/>
    <w:rsid w:val="635D3A6D"/>
    <w:rsid w:val="63616199"/>
    <w:rsid w:val="636700A3"/>
    <w:rsid w:val="63696E29"/>
    <w:rsid w:val="636A2847"/>
    <w:rsid w:val="637451BA"/>
    <w:rsid w:val="637B25C6"/>
    <w:rsid w:val="637C47C5"/>
    <w:rsid w:val="637F0FCD"/>
    <w:rsid w:val="637F3940"/>
    <w:rsid w:val="63821F51"/>
    <w:rsid w:val="638825CB"/>
    <w:rsid w:val="638A155C"/>
    <w:rsid w:val="63910911"/>
    <w:rsid w:val="639221EC"/>
    <w:rsid w:val="63972DF0"/>
    <w:rsid w:val="639B3815"/>
    <w:rsid w:val="639D4CF9"/>
    <w:rsid w:val="63A05C7E"/>
    <w:rsid w:val="63A21181"/>
    <w:rsid w:val="63A57B87"/>
    <w:rsid w:val="63AE2A15"/>
    <w:rsid w:val="63B05F18"/>
    <w:rsid w:val="63B7111D"/>
    <w:rsid w:val="63BC55AE"/>
    <w:rsid w:val="63BF2E3F"/>
    <w:rsid w:val="63C6393F"/>
    <w:rsid w:val="63C77EDB"/>
    <w:rsid w:val="63C948C4"/>
    <w:rsid w:val="63C97664"/>
    <w:rsid w:val="63D22FD5"/>
    <w:rsid w:val="63DE6DE8"/>
    <w:rsid w:val="63E53BC8"/>
    <w:rsid w:val="63F14784"/>
    <w:rsid w:val="63F22205"/>
    <w:rsid w:val="63F27C87"/>
    <w:rsid w:val="63F3350A"/>
    <w:rsid w:val="63FD6018"/>
    <w:rsid w:val="64025D23"/>
    <w:rsid w:val="64037F21"/>
    <w:rsid w:val="640B0BB1"/>
    <w:rsid w:val="640B532D"/>
    <w:rsid w:val="6412081C"/>
    <w:rsid w:val="641C7E99"/>
    <w:rsid w:val="642826DF"/>
    <w:rsid w:val="64290161"/>
    <w:rsid w:val="642B2624"/>
    <w:rsid w:val="64316853"/>
    <w:rsid w:val="64343F73"/>
    <w:rsid w:val="64355278"/>
    <w:rsid w:val="64367476"/>
    <w:rsid w:val="6437077B"/>
    <w:rsid w:val="643861FD"/>
    <w:rsid w:val="643E4883"/>
    <w:rsid w:val="643F2304"/>
    <w:rsid w:val="64465512"/>
    <w:rsid w:val="644A511E"/>
    <w:rsid w:val="644C4FB3"/>
    <w:rsid w:val="644D291F"/>
    <w:rsid w:val="645038A3"/>
    <w:rsid w:val="64534828"/>
    <w:rsid w:val="64557D2B"/>
    <w:rsid w:val="645B3E33"/>
    <w:rsid w:val="645C18B4"/>
    <w:rsid w:val="645E4DAA"/>
    <w:rsid w:val="646060BC"/>
    <w:rsid w:val="64654DEB"/>
    <w:rsid w:val="64654FB0"/>
    <w:rsid w:val="64680F4A"/>
    <w:rsid w:val="646856C7"/>
    <w:rsid w:val="646D4C80"/>
    <w:rsid w:val="647933E3"/>
    <w:rsid w:val="647A0E64"/>
    <w:rsid w:val="647A4018"/>
    <w:rsid w:val="647B46E8"/>
    <w:rsid w:val="647D6C20"/>
    <w:rsid w:val="647F035E"/>
    <w:rsid w:val="6481324A"/>
    <w:rsid w:val="64875F7C"/>
    <w:rsid w:val="648839FD"/>
    <w:rsid w:val="64945292"/>
    <w:rsid w:val="64983C98"/>
    <w:rsid w:val="649F3623"/>
    <w:rsid w:val="64A47AAA"/>
    <w:rsid w:val="64A81D34"/>
    <w:rsid w:val="64AB7435"/>
    <w:rsid w:val="64AC2938"/>
    <w:rsid w:val="64BE0654"/>
    <w:rsid w:val="64BF1959"/>
    <w:rsid w:val="64C3035F"/>
    <w:rsid w:val="64CD2E6D"/>
    <w:rsid w:val="64D25170"/>
    <w:rsid w:val="64D34D76"/>
    <w:rsid w:val="64D92503"/>
    <w:rsid w:val="64DB5A06"/>
    <w:rsid w:val="64DC5686"/>
    <w:rsid w:val="64E076E5"/>
    <w:rsid w:val="64E11B0D"/>
    <w:rsid w:val="64E73A17"/>
    <w:rsid w:val="64EA6DFA"/>
    <w:rsid w:val="64EB5B2D"/>
    <w:rsid w:val="64EB5CA0"/>
    <w:rsid w:val="64F544B3"/>
    <w:rsid w:val="64F64031"/>
    <w:rsid w:val="64F87534"/>
    <w:rsid w:val="64FD39BC"/>
    <w:rsid w:val="64FE6EBF"/>
    <w:rsid w:val="6505684A"/>
    <w:rsid w:val="650F29DD"/>
    <w:rsid w:val="651313E3"/>
    <w:rsid w:val="651540F7"/>
    <w:rsid w:val="65171FE8"/>
    <w:rsid w:val="65180AF8"/>
    <w:rsid w:val="651A0D6E"/>
    <w:rsid w:val="651D3FC4"/>
    <w:rsid w:val="65235DFA"/>
    <w:rsid w:val="652470FF"/>
    <w:rsid w:val="65247E0C"/>
    <w:rsid w:val="652D7C77"/>
    <w:rsid w:val="653355E4"/>
    <w:rsid w:val="65343B16"/>
    <w:rsid w:val="65351598"/>
    <w:rsid w:val="65377372"/>
    <w:rsid w:val="653B6D24"/>
    <w:rsid w:val="65407929"/>
    <w:rsid w:val="654308AD"/>
    <w:rsid w:val="65453DB0"/>
    <w:rsid w:val="654B153D"/>
    <w:rsid w:val="65510EC8"/>
    <w:rsid w:val="655962D4"/>
    <w:rsid w:val="65640326"/>
    <w:rsid w:val="65680AED"/>
    <w:rsid w:val="656C666D"/>
    <w:rsid w:val="656D4A57"/>
    <w:rsid w:val="656E29F6"/>
    <w:rsid w:val="656F3CFB"/>
    <w:rsid w:val="65790D87"/>
    <w:rsid w:val="6579460B"/>
    <w:rsid w:val="65813C15"/>
    <w:rsid w:val="65861A1B"/>
    <w:rsid w:val="65863920"/>
    <w:rsid w:val="658F0275"/>
    <w:rsid w:val="65927733"/>
    <w:rsid w:val="65950DB8"/>
    <w:rsid w:val="65B81B71"/>
    <w:rsid w:val="65BC21E0"/>
    <w:rsid w:val="65C76908"/>
    <w:rsid w:val="65CE1B16"/>
    <w:rsid w:val="65D07218"/>
    <w:rsid w:val="65D514A1"/>
    <w:rsid w:val="65D87EA7"/>
    <w:rsid w:val="65DA7B27"/>
    <w:rsid w:val="65DB55A9"/>
    <w:rsid w:val="65DD0AAC"/>
    <w:rsid w:val="65E81941"/>
    <w:rsid w:val="65EE67C8"/>
    <w:rsid w:val="65F43F54"/>
    <w:rsid w:val="65F63EB7"/>
    <w:rsid w:val="65F870D7"/>
    <w:rsid w:val="65FE4864"/>
    <w:rsid w:val="6600448F"/>
    <w:rsid w:val="660157E8"/>
    <w:rsid w:val="661121FF"/>
    <w:rsid w:val="66146A07"/>
    <w:rsid w:val="661528F6"/>
    <w:rsid w:val="6618540E"/>
    <w:rsid w:val="6618760C"/>
    <w:rsid w:val="66192E8F"/>
    <w:rsid w:val="66202D18"/>
    <w:rsid w:val="662856A8"/>
    <w:rsid w:val="662F5033"/>
    <w:rsid w:val="66302AB4"/>
    <w:rsid w:val="66383744"/>
    <w:rsid w:val="663E784C"/>
    <w:rsid w:val="66402D4F"/>
    <w:rsid w:val="6648015B"/>
    <w:rsid w:val="66491460"/>
    <w:rsid w:val="664F3369"/>
    <w:rsid w:val="6651686C"/>
    <w:rsid w:val="665916FA"/>
    <w:rsid w:val="66595E77"/>
    <w:rsid w:val="665A04BD"/>
    <w:rsid w:val="66601085"/>
    <w:rsid w:val="66613283"/>
    <w:rsid w:val="6662050D"/>
    <w:rsid w:val="66644C16"/>
    <w:rsid w:val="66680690"/>
    <w:rsid w:val="666A3B93"/>
    <w:rsid w:val="666F54F7"/>
    <w:rsid w:val="6670389E"/>
    <w:rsid w:val="6672355D"/>
    <w:rsid w:val="66736A21"/>
    <w:rsid w:val="667444A2"/>
    <w:rsid w:val="667B3E2D"/>
    <w:rsid w:val="667C6A4B"/>
    <w:rsid w:val="66A9277E"/>
    <w:rsid w:val="66A96EFB"/>
    <w:rsid w:val="66A97D3D"/>
    <w:rsid w:val="66AB430D"/>
    <w:rsid w:val="66B3780A"/>
    <w:rsid w:val="66C023A3"/>
    <w:rsid w:val="66C06B20"/>
    <w:rsid w:val="66C22023"/>
    <w:rsid w:val="66CA7430"/>
    <w:rsid w:val="66CF713B"/>
    <w:rsid w:val="66D51044"/>
    <w:rsid w:val="66D57C50"/>
    <w:rsid w:val="66D85B53"/>
    <w:rsid w:val="66DB514B"/>
    <w:rsid w:val="66DC7A49"/>
    <w:rsid w:val="66E2035A"/>
    <w:rsid w:val="66E97CE4"/>
    <w:rsid w:val="66EF1BEE"/>
    <w:rsid w:val="66F0766F"/>
    <w:rsid w:val="66F150F1"/>
    <w:rsid w:val="66F51579"/>
    <w:rsid w:val="66FF570B"/>
    <w:rsid w:val="670074C7"/>
    <w:rsid w:val="6700790A"/>
    <w:rsid w:val="67022E0D"/>
    <w:rsid w:val="67034111"/>
    <w:rsid w:val="67053D91"/>
    <w:rsid w:val="67072B18"/>
    <w:rsid w:val="67110EA9"/>
    <w:rsid w:val="67113427"/>
    <w:rsid w:val="6715402C"/>
    <w:rsid w:val="671578AF"/>
    <w:rsid w:val="67172DB2"/>
    <w:rsid w:val="6717752F"/>
    <w:rsid w:val="6728524B"/>
    <w:rsid w:val="672A3FD1"/>
    <w:rsid w:val="672C3C51"/>
    <w:rsid w:val="672F1407"/>
    <w:rsid w:val="672F4BD5"/>
    <w:rsid w:val="673448E0"/>
    <w:rsid w:val="673E73EE"/>
    <w:rsid w:val="674412F8"/>
    <w:rsid w:val="675A6D1E"/>
    <w:rsid w:val="675E5725"/>
    <w:rsid w:val="67706CC4"/>
    <w:rsid w:val="67723A7B"/>
    <w:rsid w:val="677478C8"/>
    <w:rsid w:val="67774F06"/>
    <w:rsid w:val="6777710B"/>
    <w:rsid w:val="67787679"/>
    <w:rsid w:val="677A17D2"/>
    <w:rsid w:val="677A5055"/>
    <w:rsid w:val="677F5C59"/>
    <w:rsid w:val="678036DB"/>
    <w:rsid w:val="678149E0"/>
    <w:rsid w:val="67822461"/>
    <w:rsid w:val="67834660"/>
    <w:rsid w:val="67860E67"/>
    <w:rsid w:val="678808EB"/>
    <w:rsid w:val="67893A73"/>
    <w:rsid w:val="678A4C85"/>
    <w:rsid w:val="678B5672"/>
    <w:rsid w:val="67984605"/>
    <w:rsid w:val="679C2918"/>
    <w:rsid w:val="67A13C10"/>
    <w:rsid w:val="67A34B94"/>
    <w:rsid w:val="67A400BF"/>
    <w:rsid w:val="67AD0D27"/>
    <w:rsid w:val="67AF422A"/>
    <w:rsid w:val="67B06428"/>
    <w:rsid w:val="67BA25BB"/>
    <w:rsid w:val="67BC5ABE"/>
    <w:rsid w:val="67C563CE"/>
    <w:rsid w:val="67CA2856"/>
    <w:rsid w:val="67D30F67"/>
    <w:rsid w:val="67D43165"/>
    <w:rsid w:val="67D469E8"/>
    <w:rsid w:val="67D50BE7"/>
    <w:rsid w:val="67DE14F6"/>
    <w:rsid w:val="67E1027C"/>
    <w:rsid w:val="67E27EFC"/>
    <w:rsid w:val="67E46C83"/>
    <w:rsid w:val="67E66902"/>
    <w:rsid w:val="67E75B42"/>
    <w:rsid w:val="67E92F62"/>
    <w:rsid w:val="67E97887"/>
    <w:rsid w:val="67EA5309"/>
    <w:rsid w:val="67ED628D"/>
    <w:rsid w:val="67EF78EE"/>
    <w:rsid w:val="67F4149B"/>
    <w:rsid w:val="67F4369A"/>
    <w:rsid w:val="67FA55A3"/>
    <w:rsid w:val="67FB0E26"/>
    <w:rsid w:val="67FC4329"/>
    <w:rsid w:val="6802249A"/>
    <w:rsid w:val="680229AF"/>
    <w:rsid w:val="68041736"/>
    <w:rsid w:val="680B32BF"/>
    <w:rsid w:val="68112FCA"/>
    <w:rsid w:val="682F64A8"/>
    <w:rsid w:val="68314A6F"/>
    <w:rsid w:val="68326D82"/>
    <w:rsid w:val="68347D07"/>
    <w:rsid w:val="68365553"/>
    <w:rsid w:val="68415D17"/>
    <w:rsid w:val="6841733E"/>
    <w:rsid w:val="684724F9"/>
    <w:rsid w:val="6855023B"/>
    <w:rsid w:val="685933BE"/>
    <w:rsid w:val="685C1DC4"/>
    <w:rsid w:val="6861624C"/>
    <w:rsid w:val="6863174F"/>
    <w:rsid w:val="68706867"/>
    <w:rsid w:val="687377EB"/>
    <w:rsid w:val="6874746B"/>
    <w:rsid w:val="687938F3"/>
    <w:rsid w:val="687C2679"/>
    <w:rsid w:val="687D6698"/>
    <w:rsid w:val="68893870"/>
    <w:rsid w:val="688A7410"/>
    <w:rsid w:val="68902F82"/>
    <w:rsid w:val="68953223"/>
    <w:rsid w:val="689841A8"/>
    <w:rsid w:val="68A512BF"/>
    <w:rsid w:val="68A70F3F"/>
    <w:rsid w:val="68A82244"/>
    <w:rsid w:val="68AE4402"/>
    <w:rsid w:val="68AF3DCD"/>
    <w:rsid w:val="68B63758"/>
    <w:rsid w:val="68B83318"/>
    <w:rsid w:val="68CA0D5A"/>
    <w:rsid w:val="68D07B85"/>
    <w:rsid w:val="68D11D83"/>
    <w:rsid w:val="68D27805"/>
    <w:rsid w:val="68D50789"/>
    <w:rsid w:val="68D62D85"/>
    <w:rsid w:val="68D77510"/>
    <w:rsid w:val="68DE1099"/>
    <w:rsid w:val="68E35521"/>
    <w:rsid w:val="68E42FA2"/>
    <w:rsid w:val="68F25B3B"/>
    <w:rsid w:val="68F42855"/>
    <w:rsid w:val="690006D4"/>
    <w:rsid w:val="690A6A65"/>
    <w:rsid w:val="691205EE"/>
    <w:rsid w:val="691B0EFE"/>
    <w:rsid w:val="691D4401"/>
    <w:rsid w:val="6922410C"/>
    <w:rsid w:val="6925180D"/>
    <w:rsid w:val="69386C31"/>
    <w:rsid w:val="69461D42"/>
    <w:rsid w:val="694A3FCB"/>
    <w:rsid w:val="694A61CA"/>
    <w:rsid w:val="69567B1D"/>
    <w:rsid w:val="695F06ED"/>
    <w:rsid w:val="69644B75"/>
    <w:rsid w:val="69695602"/>
    <w:rsid w:val="696D0F78"/>
    <w:rsid w:val="696D5485"/>
    <w:rsid w:val="696F0988"/>
    <w:rsid w:val="69706409"/>
    <w:rsid w:val="6973738E"/>
    <w:rsid w:val="69760313"/>
    <w:rsid w:val="69775D94"/>
    <w:rsid w:val="69791297"/>
    <w:rsid w:val="697A259C"/>
    <w:rsid w:val="697B001E"/>
    <w:rsid w:val="697D7C9D"/>
    <w:rsid w:val="697E464E"/>
    <w:rsid w:val="6987602F"/>
    <w:rsid w:val="69900EBC"/>
    <w:rsid w:val="69943146"/>
    <w:rsid w:val="699740CB"/>
    <w:rsid w:val="69983D4A"/>
    <w:rsid w:val="699917CC"/>
    <w:rsid w:val="699F3443"/>
    <w:rsid w:val="69A3595F"/>
    <w:rsid w:val="69A521C6"/>
    <w:rsid w:val="69A668E3"/>
    <w:rsid w:val="69AD29EB"/>
    <w:rsid w:val="69AF0D22"/>
    <w:rsid w:val="69BB3005"/>
    <w:rsid w:val="69BC28BE"/>
    <w:rsid w:val="69BF395D"/>
    <w:rsid w:val="69C15228"/>
    <w:rsid w:val="69C9231B"/>
    <w:rsid w:val="69CA7D9D"/>
    <w:rsid w:val="69CD6B3F"/>
    <w:rsid w:val="69D4280D"/>
    <w:rsid w:val="69D4612E"/>
    <w:rsid w:val="69DA0037"/>
    <w:rsid w:val="69DB1632"/>
    <w:rsid w:val="69E33588"/>
    <w:rsid w:val="69E82BD0"/>
    <w:rsid w:val="69F2080C"/>
    <w:rsid w:val="69F875E7"/>
    <w:rsid w:val="69FC1871"/>
    <w:rsid w:val="69FE14F0"/>
    <w:rsid w:val="69FE57F9"/>
    <w:rsid w:val="69FF27F5"/>
    <w:rsid w:val="69FF49F3"/>
    <w:rsid w:val="6A025978"/>
    <w:rsid w:val="6A077C02"/>
    <w:rsid w:val="6A083105"/>
    <w:rsid w:val="6A101AF9"/>
    <w:rsid w:val="6A104C8E"/>
    <w:rsid w:val="6A115F93"/>
    <w:rsid w:val="6A146F17"/>
    <w:rsid w:val="6A1C4324"/>
    <w:rsid w:val="6A306848"/>
    <w:rsid w:val="6A3142C9"/>
    <w:rsid w:val="6A34524E"/>
    <w:rsid w:val="6A383C54"/>
    <w:rsid w:val="6A40325F"/>
    <w:rsid w:val="6A4A3798"/>
    <w:rsid w:val="6A4B15F0"/>
    <w:rsid w:val="6A4C7071"/>
    <w:rsid w:val="6A4D4AF3"/>
    <w:rsid w:val="6A4E2574"/>
    <w:rsid w:val="6A5012FB"/>
    <w:rsid w:val="6A5577CA"/>
    <w:rsid w:val="6A56202C"/>
    <w:rsid w:val="6A563204"/>
    <w:rsid w:val="6A605D12"/>
    <w:rsid w:val="6A644718"/>
    <w:rsid w:val="6A701FF3"/>
    <w:rsid w:val="6A752434"/>
    <w:rsid w:val="6A8E4888"/>
    <w:rsid w:val="6A8F6861"/>
    <w:rsid w:val="6AAA0710"/>
    <w:rsid w:val="6AB02619"/>
    <w:rsid w:val="6AB1009A"/>
    <w:rsid w:val="6AB22299"/>
    <w:rsid w:val="6AB76720"/>
    <w:rsid w:val="6ABB09AA"/>
    <w:rsid w:val="6ABD60AB"/>
    <w:rsid w:val="6AC33838"/>
    <w:rsid w:val="6AC37F2F"/>
    <w:rsid w:val="6AC56D3B"/>
    <w:rsid w:val="6ACD383A"/>
    <w:rsid w:val="6AD14D4C"/>
    <w:rsid w:val="6AD172CA"/>
    <w:rsid w:val="6AD227CD"/>
    <w:rsid w:val="6AD6255B"/>
    <w:rsid w:val="6AE32821"/>
    <w:rsid w:val="6AF04B38"/>
    <w:rsid w:val="6B057B25"/>
    <w:rsid w:val="6B073028"/>
    <w:rsid w:val="6B080AA9"/>
    <w:rsid w:val="6B0A3FAC"/>
    <w:rsid w:val="6B1000B4"/>
    <w:rsid w:val="6B141AC6"/>
    <w:rsid w:val="6B165840"/>
    <w:rsid w:val="6B192F42"/>
    <w:rsid w:val="6B2370D5"/>
    <w:rsid w:val="6B277CD9"/>
    <w:rsid w:val="6B304E9E"/>
    <w:rsid w:val="6B3063EA"/>
    <w:rsid w:val="6B341C2F"/>
    <w:rsid w:val="6B3E20B2"/>
    <w:rsid w:val="6B3F1889"/>
    <w:rsid w:val="6B421B88"/>
    <w:rsid w:val="6B426304"/>
    <w:rsid w:val="6B446AD0"/>
    <w:rsid w:val="6B46058E"/>
    <w:rsid w:val="6B5A4787"/>
    <w:rsid w:val="6B5A722E"/>
    <w:rsid w:val="6B5C2732"/>
    <w:rsid w:val="6B5E5C35"/>
    <w:rsid w:val="6B601138"/>
    <w:rsid w:val="6B62463B"/>
    <w:rsid w:val="6B681DC7"/>
    <w:rsid w:val="6B693FC6"/>
    <w:rsid w:val="6B6E3CD1"/>
    <w:rsid w:val="6B700AD5"/>
    <w:rsid w:val="6B7C51E5"/>
    <w:rsid w:val="6B7E1203"/>
    <w:rsid w:val="6B81166C"/>
    <w:rsid w:val="6B8D0D02"/>
    <w:rsid w:val="6B901C87"/>
    <w:rsid w:val="6B917708"/>
    <w:rsid w:val="6B932C0C"/>
    <w:rsid w:val="6B94288B"/>
    <w:rsid w:val="6B95030D"/>
    <w:rsid w:val="6B977093"/>
    <w:rsid w:val="6B9919CE"/>
    <w:rsid w:val="6B9F2F0A"/>
    <w:rsid w:val="6B9F7B6E"/>
    <w:rsid w:val="6BA01F21"/>
    <w:rsid w:val="6BA155F2"/>
    <w:rsid w:val="6BA208B3"/>
    <w:rsid w:val="6BA42B26"/>
    <w:rsid w:val="6BA96FAE"/>
    <w:rsid w:val="6BAC7F32"/>
    <w:rsid w:val="6BAD59B4"/>
    <w:rsid w:val="6BAE18B0"/>
    <w:rsid w:val="6BB939BA"/>
    <w:rsid w:val="6BBB3287"/>
    <w:rsid w:val="6BBE14D1"/>
    <w:rsid w:val="6BC12456"/>
    <w:rsid w:val="6BC27ED8"/>
    <w:rsid w:val="6BCD756D"/>
    <w:rsid w:val="6BCE4FEF"/>
    <w:rsid w:val="6BD35BF3"/>
    <w:rsid w:val="6BD858FE"/>
    <w:rsid w:val="6BDC307A"/>
    <w:rsid w:val="6BE35E8E"/>
    <w:rsid w:val="6BE4390F"/>
    <w:rsid w:val="6BE6558D"/>
    <w:rsid w:val="6BEE421F"/>
    <w:rsid w:val="6BF151A3"/>
    <w:rsid w:val="6BFF57BE"/>
    <w:rsid w:val="6C061F17"/>
    <w:rsid w:val="6C084DC9"/>
    <w:rsid w:val="6C0C7052"/>
    <w:rsid w:val="6C0D6CD2"/>
    <w:rsid w:val="6C1238A1"/>
    <w:rsid w:val="6C157962"/>
    <w:rsid w:val="6C1A3DE9"/>
    <w:rsid w:val="6C1C72EC"/>
    <w:rsid w:val="6C2C1B05"/>
    <w:rsid w:val="6C2E088C"/>
    <w:rsid w:val="6C2F2AD7"/>
    <w:rsid w:val="6C355C98"/>
    <w:rsid w:val="6C363657"/>
    <w:rsid w:val="6C37119B"/>
    <w:rsid w:val="6C3A2120"/>
    <w:rsid w:val="6C3C3966"/>
    <w:rsid w:val="6C3C6C6F"/>
    <w:rsid w:val="6C404029"/>
    <w:rsid w:val="6C434FAE"/>
    <w:rsid w:val="6C465F32"/>
    <w:rsid w:val="6C471454"/>
    <w:rsid w:val="6C4A4939"/>
    <w:rsid w:val="6C564F9A"/>
    <w:rsid w:val="6C5F105B"/>
    <w:rsid w:val="6C631C5F"/>
    <w:rsid w:val="6C666467"/>
    <w:rsid w:val="6C67778E"/>
    <w:rsid w:val="6C6B28EF"/>
    <w:rsid w:val="6C706D77"/>
    <w:rsid w:val="6C737CFB"/>
    <w:rsid w:val="6C74577D"/>
    <w:rsid w:val="6C7558E5"/>
    <w:rsid w:val="6C75797B"/>
    <w:rsid w:val="6C760C80"/>
    <w:rsid w:val="6C7E3B0E"/>
    <w:rsid w:val="6C853499"/>
    <w:rsid w:val="6C8D5649"/>
    <w:rsid w:val="6C9824B9"/>
    <w:rsid w:val="6C9C0EC0"/>
    <w:rsid w:val="6C9D43C3"/>
    <w:rsid w:val="6C9E1E44"/>
    <w:rsid w:val="6CB2557D"/>
    <w:rsid w:val="6CB51A69"/>
    <w:rsid w:val="6CB63C68"/>
    <w:rsid w:val="6CCD7CE3"/>
    <w:rsid w:val="6CD364C9"/>
    <w:rsid w:val="6CDE5417"/>
    <w:rsid w:val="6CE87F8C"/>
    <w:rsid w:val="6CF724D3"/>
    <w:rsid w:val="6CFB475C"/>
    <w:rsid w:val="6D083A72"/>
    <w:rsid w:val="6D0914F3"/>
    <w:rsid w:val="6D0B1173"/>
    <w:rsid w:val="6D0E3FAE"/>
    <w:rsid w:val="6D116900"/>
    <w:rsid w:val="6D144001"/>
    <w:rsid w:val="6D195F0B"/>
    <w:rsid w:val="6D1D4911"/>
    <w:rsid w:val="6D24429C"/>
    <w:rsid w:val="6D286525"/>
    <w:rsid w:val="6D336AB4"/>
    <w:rsid w:val="6D342338"/>
    <w:rsid w:val="6D3520E9"/>
    <w:rsid w:val="6D3A1CC2"/>
    <w:rsid w:val="6D3A643F"/>
    <w:rsid w:val="6D4425D2"/>
    <w:rsid w:val="6D550310"/>
    <w:rsid w:val="6D611149"/>
    <w:rsid w:val="6D632E87"/>
    <w:rsid w:val="6D65638A"/>
    <w:rsid w:val="6D673A8B"/>
    <w:rsid w:val="6D68730F"/>
    <w:rsid w:val="6D6E2B20"/>
    <w:rsid w:val="6D6E3416"/>
    <w:rsid w:val="6D7026B9"/>
    <w:rsid w:val="6D717C1E"/>
    <w:rsid w:val="6D7B052E"/>
    <w:rsid w:val="6D7F3CC6"/>
    <w:rsid w:val="6D8049B5"/>
    <w:rsid w:val="6D8220B7"/>
    <w:rsid w:val="6D85303B"/>
    <w:rsid w:val="6D887843"/>
    <w:rsid w:val="6D8C09C0"/>
    <w:rsid w:val="6D8C3795"/>
    <w:rsid w:val="6D8D3CCB"/>
    <w:rsid w:val="6D9745DB"/>
    <w:rsid w:val="6D9767D9"/>
    <w:rsid w:val="6D9A311E"/>
    <w:rsid w:val="6D9D1325"/>
    <w:rsid w:val="6DAA1F76"/>
    <w:rsid w:val="6DAF0D9E"/>
    <w:rsid w:val="6DB07703"/>
    <w:rsid w:val="6DB45A8C"/>
    <w:rsid w:val="6DB46109"/>
    <w:rsid w:val="6DBC0F97"/>
    <w:rsid w:val="6DC349DC"/>
    <w:rsid w:val="6DC618A6"/>
    <w:rsid w:val="6DC8062D"/>
    <w:rsid w:val="6DCA02AD"/>
    <w:rsid w:val="6DD07C38"/>
    <w:rsid w:val="6DD72E46"/>
    <w:rsid w:val="6DD85DD0"/>
    <w:rsid w:val="6DDF49CF"/>
    <w:rsid w:val="6DE211D7"/>
    <w:rsid w:val="6DE9769A"/>
    <w:rsid w:val="6DEE71E8"/>
    <w:rsid w:val="6DF90DFC"/>
    <w:rsid w:val="6DFD3F7F"/>
    <w:rsid w:val="6DFF2D05"/>
    <w:rsid w:val="6E010407"/>
    <w:rsid w:val="6E095813"/>
    <w:rsid w:val="6E0C014F"/>
    <w:rsid w:val="6E0D4219"/>
    <w:rsid w:val="6E1144D2"/>
    <w:rsid w:val="6E123718"/>
    <w:rsid w:val="6E1B25FD"/>
    <w:rsid w:val="6E1E1FCB"/>
    <w:rsid w:val="6E20323A"/>
    <w:rsid w:val="6E337CDC"/>
    <w:rsid w:val="6E34575E"/>
    <w:rsid w:val="6E372E5F"/>
    <w:rsid w:val="6E3C4D68"/>
    <w:rsid w:val="6E3E4D1D"/>
    <w:rsid w:val="6E3F3AEF"/>
    <w:rsid w:val="6E40376F"/>
    <w:rsid w:val="6E4224F5"/>
    <w:rsid w:val="6E440737"/>
    <w:rsid w:val="6E493F8C"/>
    <w:rsid w:val="6E4B47B0"/>
    <w:rsid w:val="6E4B5383"/>
    <w:rsid w:val="6E565963"/>
    <w:rsid w:val="6E601AA5"/>
    <w:rsid w:val="6E6910B0"/>
    <w:rsid w:val="6E6A3CC0"/>
    <w:rsid w:val="6E6E0DBB"/>
    <w:rsid w:val="6E7177C1"/>
    <w:rsid w:val="6E7305F8"/>
    <w:rsid w:val="6E736ABC"/>
    <w:rsid w:val="6E744EC2"/>
    <w:rsid w:val="6E763C49"/>
    <w:rsid w:val="6E7C5B52"/>
    <w:rsid w:val="6E7E1055"/>
    <w:rsid w:val="6E881964"/>
    <w:rsid w:val="6E8B036B"/>
    <w:rsid w:val="6E930FFA"/>
    <w:rsid w:val="6E9E3B08"/>
    <w:rsid w:val="6E9E738B"/>
    <w:rsid w:val="6EA33813"/>
    <w:rsid w:val="6EA41295"/>
    <w:rsid w:val="6EAA1385"/>
    <w:rsid w:val="6EAB66A1"/>
    <w:rsid w:val="6EAE3DA2"/>
    <w:rsid w:val="6EAF1824"/>
    <w:rsid w:val="6EAF73C0"/>
    <w:rsid w:val="6EB072A6"/>
    <w:rsid w:val="6EB14BEE"/>
    <w:rsid w:val="6EB3022A"/>
    <w:rsid w:val="6EB87F35"/>
    <w:rsid w:val="6EB9232D"/>
    <w:rsid w:val="6EBC0B3A"/>
    <w:rsid w:val="6EC22A43"/>
    <w:rsid w:val="6EC466C2"/>
    <w:rsid w:val="6EC539C8"/>
    <w:rsid w:val="6EC7274E"/>
    <w:rsid w:val="6EC923CE"/>
    <w:rsid w:val="6ED055DC"/>
    <w:rsid w:val="6ED3075F"/>
    <w:rsid w:val="6ED42D7D"/>
    <w:rsid w:val="6ED742C8"/>
    <w:rsid w:val="6ED9046A"/>
    <w:rsid w:val="6EDB7B1D"/>
    <w:rsid w:val="6EDE6BAF"/>
    <w:rsid w:val="6EE20D79"/>
    <w:rsid w:val="6EE67780"/>
    <w:rsid w:val="6EF21014"/>
    <w:rsid w:val="6EF87B5A"/>
    <w:rsid w:val="6EF967A0"/>
    <w:rsid w:val="6EFA4222"/>
    <w:rsid w:val="6EFC438E"/>
    <w:rsid w:val="6EFE4E26"/>
    <w:rsid w:val="6F02382D"/>
    <w:rsid w:val="6F050034"/>
    <w:rsid w:val="6F0A66BA"/>
    <w:rsid w:val="6F130D6B"/>
    <w:rsid w:val="6F14284D"/>
    <w:rsid w:val="6F146FCA"/>
    <w:rsid w:val="6F154A4C"/>
    <w:rsid w:val="6F223AF6"/>
    <w:rsid w:val="6F2375E4"/>
    <w:rsid w:val="6F2A6F6F"/>
    <w:rsid w:val="6F2C4671"/>
    <w:rsid w:val="6F321ABA"/>
    <w:rsid w:val="6F457799"/>
    <w:rsid w:val="6F4A74A4"/>
    <w:rsid w:val="6F50730C"/>
    <w:rsid w:val="6F5248B0"/>
    <w:rsid w:val="6F532332"/>
    <w:rsid w:val="6F5A1CBD"/>
    <w:rsid w:val="6F614ECB"/>
    <w:rsid w:val="6F6303CE"/>
    <w:rsid w:val="6F631F99"/>
    <w:rsid w:val="6F635E50"/>
    <w:rsid w:val="6F655ACF"/>
    <w:rsid w:val="6F722BE7"/>
    <w:rsid w:val="6F727364"/>
    <w:rsid w:val="6F730668"/>
    <w:rsid w:val="6F732867"/>
    <w:rsid w:val="6F755D6A"/>
    <w:rsid w:val="6F76182F"/>
    <w:rsid w:val="6F784AF0"/>
    <w:rsid w:val="6F7E447B"/>
    <w:rsid w:val="6F8A7395"/>
    <w:rsid w:val="6F8B5D0F"/>
    <w:rsid w:val="6F8D3411"/>
    <w:rsid w:val="6F9540A0"/>
    <w:rsid w:val="6F985025"/>
    <w:rsid w:val="6F997223"/>
    <w:rsid w:val="6F9A4CA5"/>
    <w:rsid w:val="6F9E6F2E"/>
    <w:rsid w:val="6FA220B1"/>
    <w:rsid w:val="6FA43036"/>
    <w:rsid w:val="6FAF4C4A"/>
    <w:rsid w:val="6FB56B53"/>
    <w:rsid w:val="6FB726F2"/>
    <w:rsid w:val="6FBB0A5D"/>
    <w:rsid w:val="6FBE5C81"/>
    <w:rsid w:val="6FC325D7"/>
    <w:rsid w:val="6FC44F9F"/>
    <w:rsid w:val="6FC54BEF"/>
    <w:rsid w:val="6FC56DEE"/>
    <w:rsid w:val="6FC6486F"/>
    <w:rsid w:val="6FC700F2"/>
    <w:rsid w:val="6FCD41FA"/>
    <w:rsid w:val="6FD23F05"/>
    <w:rsid w:val="6FD6290B"/>
    <w:rsid w:val="6FD93890"/>
    <w:rsid w:val="6FE16F90"/>
    <w:rsid w:val="6FE3639E"/>
    <w:rsid w:val="6FEA5D29"/>
    <w:rsid w:val="6FEC4AAF"/>
    <w:rsid w:val="6FF23135"/>
    <w:rsid w:val="6FF3443A"/>
    <w:rsid w:val="700111D1"/>
    <w:rsid w:val="700532A9"/>
    <w:rsid w:val="70077857"/>
    <w:rsid w:val="700C7562"/>
    <w:rsid w:val="700D71E2"/>
    <w:rsid w:val="70105F68"/>
    <w:rsid w:val="703603A6"/>
    <w:rsid w:val="703C22B0"/>
    <w:rsid w:val="703C5B33"/>
    <w:rsid w:val="70404539"/>
    <w:rsid w:val="70427B87"/>
    <w:rsid w:val="70481945"/>
    <w:rsid w:val="704D384F"/>
    <w:rsid w:val="704E12D0"/>
    <w:rsid w:val="704E5A4D"/>
    <w:rsid w:val="704E6F2B"/>
    <w:rsid w:val="705431DA"/>
    <w:rsid w:val="70550C5B"/>
    <w:rsid w:val="705C4D63"/>
    <w:rsid w:val="705F3769"/>
    <w:rsid w:val="7065300C"/>
    <w:rsid w:val="70670B75"/>
    <w:rsid w:val="70745C8D"/>
    <w:rsid w:val="70757E8B"/>
    <w:rsid w:val="7077331E"/>
    <w:rsid w:val="70790236"/>
    <w:rsid w:val="707B5618"/>
    <w:rsid w:val="707E3A8B"/>
    <w:rsid w:val="708F302F"/>
    <w:rsid w:val="709177BB"/>
    <w:rsid w:val="70951A45"/>
    <w:rsid w:val="70A03792"/>
    <w:rsid w:val="70A63EDD"/>
    <w:rsid w:val="70A82C64"/>
    <w:rsid w:val="70AA6167"/>
    <w:rsid w:val="70B00070"/>
    <w:rsid w:val="70B17CF0"/>
    <w:rsid w:val="70B43760"/>
    <w:rsid w:val="70BE4E07"/>
    <w:rsid w:val="70C366B0"/>
    <w:rsid w:val="70C654CB"/>
    <w:rsid w:val="70C96C71"/>
    <w:rsid w:val="70CB2BBE"/>
    <w:rsid w:val="70CC631B"/>
    <w:rsid w:val="70D746AC"/>
    <w:rsid w:val="70DB30B2"/>
    <w:rsid w:val="70DB6936"/>
    <w:rsid w:val="70E57BE1"/>
    <w:rsid w:val="70E62748"/>
    <w:rsid w:val="70E70099"/>
    <w:rsid w:val="70E936CD"/>
    <w:rsid w:val="70EE7B55"/>
    <w:rsid w:val="70F95EE6"/>
    <w:rsid w:val="71076500"/>
    <w:rsid w:val="71091CB0"/>
    <w:rsid w:val="710974B8"/>
    <w:rsid w:val="710A284E"/>
    <w:rsid w:val="710D4B86"/>
    <w:rsid w:val="710E67F0"/>
    <w:rsid w:val="71105B0B"/>
    <w:rsid w:val="711F7357"/>
    <w:rsid w:val="712212A8"/>
    <w:rsid w:val="712E50BB"/>
    <w:rsid w:val="712E574D"/>
    <w:rsid w:val="7138344C"/>
    <w:rsid w:val="713D78D4"/>
    <w:rsid w:val="71423D5C"/>
    <w:rsid w:val="714D5970"/>
    <w:rsid w:val="714E33F1"/>
    <w:rsid w:val="715507FE"/>
    <w:rsid w:val="71561EAF"/>
    <w:rsid w:val="715737BA"/>
    <w:rsid w:val="71602412"/>
    <w:rsid w:val="71690610"/>
    <w:rsid w:val="716B07A3"/>
    <w:rsid w:val="716F13A8"/>
    <w:rsid w:val="716F71A9"/>
    <w:rsid w:val="717767B4"/>
    <w:rsid w:val="7179553A"/>
    <w:rsid w:val="717E0285"/>
    <w:rsid w:val="717F3BC0"/>
    <w:rsid w:val="717F7444"/>
    <w:rsid w:val="718070C4"/>
    <w:rsid w:val="71887D53"/>
    <w:rsid w:val="718957D5"/>
    <w:rsid w:val="718B0CD8"/>
    <w:rsid w:val="718F76DE"/>
    <w:rsid w:val="71940098"/>
    <w:rsid w:val="7198476A"/>
    <w:rsid w:val="719B56EF"/>
    <w:rsid w:val="71A053FA"/>
    <w:rsid w:val="71B07C13"/>
    <w:rsid w:val="71B30B97"/>
    <w:rsid w:val="71B61B1C"/>
    <w:rsid w:val="71B7759E"/>
    <w:rsid w:val="71C92D3B"/>
    <w:rsid w:val="71CA4040"/>
    <w:rsid w:val="71D05F49"/>
    <w:rsid w:val="71D26A65"/>
    <w:rsid w:val="71D62051"/>
    <w:rsid w:val="71D80DD7"/>
    <w:rsid w:val="71E25E63"/>
    <w:rsid w:val="71EA6AF3"/>
    <w:rsid w:val="71EE29DB"/>
    <w:rsid w:val="71F02BFB"/>
    <w:rsid w:val="71FA2E5E"/>
    <w:rsid w:val="72026398"/>
    <w:rsid w:val="72083B25"/>
    <w:rsid w:val="720C6CA8"/>
    <w:rsid w:val="720D4729"/>
    <w:rsid w:val="721169B3"/>
    <w:rsid w:val="72124434"/>
    <w:rsid w:val="7220374A"/>
    <w:rsid w:val="722111CB"/>
    <w:rsid w:val="722731C5"/>
    <w:rsid w:val="72313EC3"/>
    <w:rsid w:val="72315E86"/>
    <w:rsid w:val="7232276A"/>
    <w:rsid w:val="72380DF1"/>
    <w:rsid w:val="72396872"/>
    <w:rsid w:val="723C5278"/>
    <w:rsid w:val="723D2CFA"/>
    <w:rsid w:val="72417502"/>
    <w:rsid w:val="724F0A16"/>
    <w:rsid w:val="72506497"/>
    <w:rsid w:val="7252521E"/>
    <w:rsid w:val="725503A1"/>
    <w:rsid w:val="725E4FAE"/>
    <w:rsid w:val="72617A36"/>
    <w:rsid w:val="72697041"/>
    <w:rsid w:val="726B0346"/>
    <w:rsid w:val="727067FE"/>
    <w:rsid w:val="727473FF"/>
    <w:rsid w:val="727608D5"/>
    <w:rsid w:val="728A2DF9"/>
    <w:rsid w:val="728F7281"/>
    <w:rsid w:val="72912870"/>
    <w:rsid w:val="7297468D"/>
    <w:rsid w:val="729B3093"/>
    <w:rsid w:val="729F54DC"/>
    <w:rsid w:val="72A10820"/>
    <w:rsid w:val="72A35F21"/>
    <w:rsid w:val="72A97E2B"/>
    <w:rsid w:val="72AA36AE"/>
    <w:rsid w:val="72AC0BB9"/>
    <w:rsid w:val="72AD20B4"/>
    <w:rsid w:val="72B15237"/>
    <w:rsid w:val="72BB35C8"/>
    <w:rsid w:val="72BE2919"/>
    <w:rsid w:val="72BF41FF"/>
    <w:rsid w:val="72C05852"/>
    <w:rsid w:val="72C34258"/>
    <w:rsid w:val="72C72C5E"/>
    <w:rsid w:val="72C817F9"/>
    <w:rsid w:val="72CF006A"/>
    <w:rsid w:val="72D54172"/>
    <w:rsid w:val="72DA05FA"/>
    <w:rsid w:val="72E05D86"/>
    <w:rsid w:val="72E4478C"/>
    <w:rsid w:val="72E44E7D"/>
    <w:rsid w:val="72E83193"/>
    <w:rsid w:val="72EA20A6"/>
    <w:rsid w:val="72ED761A"/>
    <w:rsid w:val="72F00843"/>
    <w:rsid w:val="72F113E2"/>
    <w:rsid w:val="72F96CB0"/>
    <w:rsid w:val="72FA21B3"/>
    <w:rsid w:val="72FE19C7"/>
    <w:rsid w:val="73035041"/>
    <w:rsid w:val="73065FC6"/>
    <w:rsid w:val="730B6BCA"/>
    <w:rsid w:val="731166A2"/>
    <w:rsid w:val="73123FD7"/>
    <w:rsid w:val="73161D67"/>
    <w:rsid w:val="731755C9"/>
    <w:rsid w:val="731971E5"/>
    <w:rsid w:val="731C48E6"/>
    <w:rsid w:val="73201B9F"/>
    <w:rsid w:val="732145F1"/>
    <w:rsid w:val="732B2432"/>
    <w:rsid w:val="732D2602"/>
    <w:rsid w:val="732D5494"/>
    <w:rsid w:val="73380993"/>
    <w:rsid w:val="733E6120"/>
    <w:rsid w:val="733F3BA1"/>
    <w:rsid w:val="73424E40"/>
    <w:rsid w:val="734C2EB7"/>
    <w:rsid w:val="734D0939"/>
    <w:rsid w:val="73524DC0"/>
    <w:rsid w:val="735635E4"/>
    <w:rsid w:val="735637C7"/>
    <w:rsid w:val="73663A61"/>
    <w:rsid w:val="736D33EC"/>
    <w:rsid w:val="736F2172"/>
    <w:rsid w:val="73763CFB"/>
    <w:rsid w:val="737B0183"/>
    <w:rsid w:val="737B3A06"/>
    <w:rsid w:val="737E498B"/>
    <w:rsid w:val="73815620"/>
    <w:rsid w:val="73815910"/>
    <w:rsid w:val="73833CEC"/>
    <w:rsid w:val="738C041D"/>
    <w:rsid w:val="73927DA8"/>
    <w:rsid w:val="739410AD"/>
    <w:rsid w:val="7394143C"/>
    <w:rsid w:val="73985535"/>
    <w:rsid w:val="739C7034"/>
    <w:rsid w:val="73A45AC4"/>
    <w:rsid w:val="73A957CF"/>
    <w:rsid w:val="73AF515A"/>
    <w:rsid w:val="73B1065D"/>
    <w:rsid w:val="73B260DF"/>
    <w:rsid w:val="73BC6B9B"/>
    <w:rsid w:val="73BD4470"/>
    <w:rsid w:val="73C2417B"/>
    <w:rsid w:val="73C572FE"/>
    <w:rsid w:val="73C7645B"/>
    <w:rsid w:val="73C93B06"/>
    <w:rsid w:val="73CE218C"/>
    <w:rsid w:val="73D47918"/>
    <w:rsid w:val="73E111AC"/>
    <w:rsid w:val="73EE4C3F"/>
    <w:rsid w:val="73EF26C0"/>
    <w:rsid w:val="73F26EC8"/>
    <w:rsid w:val="73F3494A"/>
    <w:rsid w:val="73F658CE"/>
    <w:rsid w:val="73F67ACD"/>
    <w:rsid w:val="73F90A51"/>
    <w:rsid w:val="740500E7"/>
    <w:rsid w:val="740542B2"/>
    <w:rsid w:val="7406129A"/>
    <w:rsid w:val="74096AED"/>
    <w:rsid w:val="740C41EF"/>
    <w:rsid w:val="74146A15"/>
    <w:rsid w:val="74152900"/>
    <w:rsid w:val="74191C1F"/>
    <w:rsid w:val="742055F6"/>
    <w:rsid w:val="74242CF0"/>
    <w:rsid w:val="742461CF"/>
    <w:rsid w:val="742B0327"/>
    <w:rsid w:val="74300792"/>
    <w:rsid w:val="74321EB0"/>
    <w:rsid w:val="74327CB2"/>
    <w:rsid w:val="743608B6"/>
    <w:rsid w:val="744124CA"/>
    <w:rsid w:val="74427F4C"/>
    <w:rsid w:val="74472315"/>
    <w:rsid w:val="744765D2"/>
    <w:rsid w:val="74484054"/>
    <w:rsid w:val="744A5358"/>
    <w:rsid w:val="744D04DB"/>
    <w:rsid w:val="744E5F5D"/>
    <w:rsid w:val="744F7262"/>
    <w:rsid w:val="74520B78"/>
    <w:rsid w:val="745436E9"/>
    <w:rsid w:val="7456087E"/>
    <w:rsid w:val="74606BF5"/>
    <w:rsid w:val="746074FC"/>
    <w:rsid w:val="74666E87"/>
    <w:rsid w:val="74742919"/>
    <w:rsid w:val="74753C1E"/>
    <w:rsid w:val="748B5DC2"/>
    <w:rsid w:val="749D7361"/>
    <w:rsid w:val="749E4DE3"/>
    <w:rsid w:val="74A4476D"/>
    <w:rsid w:val="74A523B8"/>
    <w:rsid w:val="74A5696C"/>
    <w:rsid w:val="74AD3D78"/>
    <w:rsid w:val="74AD7D25"/>
    <w:rsid w:val="74B87B8B"/>
    <w:rsid w:val="74BC278A"/>
    <w:rsid w:val="74D12CB3"/>
    <w:rsid w:val="74DD2349"/>
    <w:rsid w:val="74E0354A"/>
    <w:rsid w:val="74E706DA"/>
    <w:rsid w:val="74EC4B62"/>
    <w:rsid w:val="74F72643"/>
    <w:rsid w:val="75026D05"/>
    <w:rsid w:val="75042208"/>
    <w:rsid w:val="75055A8C"/>
    <w:rsid w:val="7506350D"/>
    <w:rsid w:val="75080C0F"/>
    <w:rsid w:val="750B5416"/>
    <w:rsid w:val="751524A3"/>
    <w:rsid w:val="7519472C"/>
    <w:rsid w:val="751F6635"/>
    <w:rsid w:val="75232ABD"/>
    <w:rsid w:val="752945E4"/>
    <w:rsid w:val="753A2661"/>
    <w:rsid w:val="753C2362"/>
    <w:rsid w:val="753E5865"/>
    <w:rsid w:val="75550D0E"/>
    <w:rsid w:val="755B649A"/>
    <w:rsid w:val="756979AE"/>
    <w:rsid w:val="756B5F5D"/>
    <w:rsid w:val="756C0933"/>
    <w:rsid w:val="756E1C38"/>
    <w:rsid w:val="756F513B"/>
    <w:rsid w:val="7571063E"/>
    <w:rsid w:val="757B0F4D"/>
    <w:rsid w:val="75814D02"/>
    <w:rsid w:val="758E216C"/>
    <w:rsid w:val="759365F4"/>
    <w:rsid w:val="75944076"/>
    <w:rsid w:val="7595246A"/>
    <w:rsid w:val="759B5BFF"/>
    <w:rsid w:val="759F2407"/>
    <w:rsid w:val="75AD719E"/>
    <w:rsid w:val="75B00123"/>
    <w:rsid w:val="75B570E6"/>
    <w:rsid w:val="75BF293C"/>
    <w:rsid w:val="75C03C40"/>
    <w:rsid w:val="75C238C0"/>
    <w:rsid w:val="75C735CB"/>
    <w:rsid w:val="75C73C98"/>
    <w:rsid w:val="75C77D48"/>
    <w:rsid w:val="75C96ACE"/>
    <w:rsid w:val="75D06459"/>
    <w:rsid w:val="75D13EDB"/>
    <w:rsid w:val="75D2195C"/>
    <w:rsid w:val="75D4705E"/>
    <w:rsid w:val="75DC6B41"/>
    <w:rsid w:val="75DE796D"/>
    <w:rsid w:val="75E95CFE"/>
    <w:rsid w:val="75EC2506"/>
    <w:rsid w:val="75F36EA2"/>
    <w:rsid w:val="75FA1395"/>
    <w:rsid w:val="75FA729D"/>
    <w:rsid w:val="760268A8"/>
    <w:rsid w:val="760652AE"/>
    <w:rsid w:val="76094035"/>
    <w:rsid w:val="761323C6"/>
    <w:rsid w:val="761A1D50"/>
    <w:rsid w:val="761B77D2"/>
    <w:rsid w:val="762C0D71"/>
    <w:rsid w:val="762D782B"/>
    <w:rsid w:val="76307777"/>
    <w:rsid w:val="763428FA"/>
    <w:rsid w:val="76377102"/>
    <w:rsid w:val="76384B84"/>
    <w:rsid w:val="76394804"/>
    <w:rsid w:val="763E3477"/>
    <w:rsid w:val="763E6A8D"/>
    <w:rsid w:val="76401F90"/>
    <w:rsid w:val="76442B95"/>
    <w:rsid w:val="764B5DA3"/>
    <w:rsid w:val="764E30F5"/>
    <w:rsid w:val="76573DB4"/>
    <w:rsid w:val="765E373E"/>
    <w:rsid w:val="76617658"/>
    <w:rsid w:val="76660174"/>
    <w:rsid w:val="766643CE"/>
    <w:rsid w:val="76874903"/>
    <w:rsid w:val="768B346F"/>
    <w:rsid w:val="768D428E"/>
    <w:rsid w:val="768F5592"/>
    <w:rsid w:val="76941CCF"/>
    <w:rsid w:val="7696299F"/>
    <w:rsid w:val="7696711C"/>
    <w:rsid w:val="769B6E27"/>
    <w:rsid w:val="76A07A2B"/>
    <w:rsid w:val="76A22F2E"/>
    <w:rsid w:val="76AC12BF"/>
    <w:rsid w:val="76B07CC5"/>
    <w:rsid w:val="76B15747"/>
    <w:rsid w:val="76B850D2"/>
    <w:rsid w:val="76B963D7"/>
    <w:rsid w:val="76BD6FDB"/>
    <w:rsid w:val="76C46966"/>
    <w:rsid w:val="76CB62F1"/>
    <w:rsid w:val="76DB1E0E"/>
    <w:rsid w:val="76E75C21"/>
    <w:rsid w:val="76EA6BA6"/>
    <w:rsid w:val="76ED7B2A"/>
    <w:rsid w:val="76F00AAF"/>
    <w:rsid w:val="76F2314F"/>
    <w:rsid w:val="76F44F37"/>
    <w:rsid w:val="76F8173F"/>
    <w:rsid w:val="76F913BE"/>
    <w:rsid w:val="77047750"/>
    <w:rsid w:val="770664D6"/>
    <w:rsid w:val="77083846"/>
    <w:rsid w:val="7709745B"/>
    <w:rsid w:val="7715521D"/>
    <w:rsid w:val="77193E72"/>
    <w:rsid w:val="771B7375"/>
    <w:rsid w:val="771D60FB"/>
    <w:rsid w:val="771F15FE"/>
    <w:rsid w:val="77230004"/>
    <w:rsid w:val="77234781"/>
    <w:rsid w:val="77274071"/>
    <w:rsid w:val="7728448C"/>
    <w:rsid w:val="77376912"/>
    <w:rsid w:val="773B1E28"/>
    <w:rsid w:val="773C3A70"/>
    <w:rsid w:val="77401B33"/>
    <w:rsid w:val="7740616C"/>
    <w:rsid w:val="77432AB8"/>
    <w:rsid w:val="77476F3F"/>
    <w:rsid w:val="774A7EC4"/>
    <w:rsid w:val="774B5945"/>
    <w:rsid w:val="774C33C7"/>
    <w:rsid w:val="775246B6"/>
    <w:rsid w:val="775904DE"/>
    <w:rsid w:val="776158EB"/>
    <w:rsid w:val="77690779"/>
    <w:rsid w:val="776A2977"/>
    <w:rsid w:val="776B03F9"/>
    <w:rsid w:val="776C5E7A"/>
    <w:rsid w:val="776E4C01"/>
    <w:rsid w:val="77700104"/>
    <w:rsid w:val="77721C78"/>
    <w:rsid w:val="7775678A"/>
    <w:rsid w:val="77782690"/>
    <w:rsid w:val="77792F92"/>
    <w:rsid w:val="777A0A13"/>
    <w:rsid w:val="777F7099"/>
    <w:rsid w:val="778125E3"/>
    <w:rsid w:val="778238A1"/>
    <w:rsid w:val="778255A2"/>
    <w:rsid w:val="77870DF7"/>
    <w:rsid w:val="77881F27"/>
    <w:rsid w:val="778E18B2"/>
    <w:rsid w:val="779415BD"/>
    <w:rsid w:val="779437BB"/>
    <w:rsid w:val="77962542"/>
    <w:rsid w:val="77997C43"/>
    <w:rsid w:val="77A1504F"/>
    <w:rsid w:val="77AF566A"/>
    <w:rsid w:val="77B41BE7"/>
    <w:rsid w:val="77B72A76"/>
    <w:rsid w:val="77BA39FB"/>
    <w:rsid w:val="77BE2401"/>
    <w:rsid w:val="77C13386"/>
    <w:rsid w:val="77C36889"/>
    <w:rsid w:val="77CD4C1A"/>
    <w:rsid w:val="77D84854"/>
    <w:rsid w:val="77DD4EB4"/>
    <w:rsid w:val="77E56067"/>
    <w:rsid w:val="77E90CC7"/>
    <w:rsid w:val="77EE4728"/>
    <w:rsid w:val="77F03ED5"/>
    <w:rsid w:val="77F90F61"/>
    <w:rsid w:val="77FA47E4"/>
    <w:rsid w:val="77FF2E6B"/>
    <w:rsid w:val="78023DEF"/>
    <w:rsid w:val="780505F7"/>
    <w:rsid w:val="78116641"/>
    <w:rsid w:val="7814538E"/>
    <w:rsid w:val="78166313"/>
    <w:rsid w:val="781F11A1"/>
    <w:rsid w:val="78232DAC"/>
    <w:rsid w:val="782530AA"/>
    <w:rsid w:val="782558C2"/>
    <w:rsid w:val="782902B2"/>
    <w:rsid w:val="78291AB0"/>
    <w:rsid w:val="782A7532"/>
    <w:rsid w:val="782D5F38"/>
    <w:rsid w:val="78335C43"/>
    <w:rsid w:val="78387B4C"/>
    <w:rsid w:val="783E1A56"/>
    <w:rsid w:val="78456561"/>
    <w:rsid w:val="78484564"/>
    <w:rsid w:val="784A5868"/>
    <w:rsid w:val="784E1CF0"/>
    <w:rsid w:val="784F21E6"/>
    <w:rsid w:val="785051F3"/>
    <w:rsid w:val="7856662D"/>
    <w:rsid w:val="78582600"/>
    <w:rsid w:val="78593D58"/>
    <w:rsid w:val="785B4109"/>
    <w:rsid w:val="785D3204"/>
    <w:rsid w:val="786B7F9B"/>
    <w:rsid w:val="78777631"/>
    <w:rsid w:val="787B44F0"/>
    <w:rsid w:val="787B6037"/>
    <w:rsid w:val="787D153B"/>
    <w:rsid w:val="78823444"/>
    <w:rsid w:val="788A40D3"/>
    <w:rsid w:val="788C0D77"/>
    <w:rsid w:val="78A029F4"/>
    <w:rsid w:val="78AF520D"/>
    <w:rsid w:val="78B23F93"/>
    <w:rsid w:val="78B72619"/>
    <w:rsid w:val="78BE5827"/>
    <w:rsid w:val="78C5192F"/>
    <w:rsid w:val="78CE1A49"/>
    <w:rsid w:val="78CF7CC0"/>
    <w:rsid w:val="78D44148"/>
    <w:rsid w:val="78DF4D59"/>
    <w:rsid w:val="78E636B9"/>
    <w:rsid w:val="78EB6DEC"/>
    <w:rsid w:val="78EF5FF6"/>
    <w:rsid w:val="78F007FD"/>
    <w:rsid w:val="78F10DFD"/>
    <w:rsid w:val="78F349FC"/>
    <w:rsid w:val="78FD0B8F"/>
    <w:rsid w:val="78FE6611"/>
    <w:rsid w:val="7900600C"/>
    <w:rsid w:val="790440A3"/>
    <w:rsid w:val="7908111E"/>
    <w:rsid w:val="79096BA0"/>
    <w:rsid w:val="790B5926"/>
    <w:rsid w:val="790E3028"/>
    <w:rsid w:val="791C5BC1"/>
    <w:rsid w:val="7923774A"/>
    <w:rsid w:val="792B03DA"/>
    <w:rsid w:val="792C6E7D"/>
    <w:rsid w:val="79304861"/>
    <w:rsid w:val="79306A60"/>
    <w:rsid w:val="79350CE9"/>
    <w:rsid w:val="793A2BF2"/>
    <w:rsid w:val="793A6287"/>
    <w:rsid w:val="793C2872"/>
    <w:rsid w:val="79423365"/>
    <w:rsid w:val="79481F08"/>
    <w:rsid w:val="79587FA4"/>
    <w:rsid w:val="796572BA"/>
    <w:rsid w:val="796849BB"/>
    <w:rsid w:val="796C0E43"/>
    <w:rsid w:val="79715C9A"/>
    <w:rsid w:val="797307CE"/>
    <w:rsid w:val="79741AD3"/>
    <w:rsid w:val="79761752"/>
    <w:rsid w:val="797A39DC"/>
    <w:rsid w:val="798474E4"/>
    <w:rsid w:val="798677EE"/>
    <w:rsid w:val="7987746E"/>
    <w:rsid w:val="79882CF2"/>
    <w:rsid w:val="798E3F3A"/>
    <w:rsid w:val="798E6DF9"/>
    <w:rsid w:val="7995139C"/>
    <w:rsid w:val="79967A89"/>
    <w:rsid w:val="799A0D92"/>
    <w:rsid w:val="799C1992"/>
    <w:rsid w:val="79A92CF0"/>
    <w:rsid w:val="79B6025F"/>
    <w:rsid w:val="79BE31CC"/>
    <w:rsid w:val="79C066CF"/>
    <w:rsid w:val="79C8155D"/>
    <w:rsid w:val="79CB24E1"/>
    <w:rsid w:val="79D06969"/>
    <w:rsid w:val="79D143EB"/>
    <w:rsid w:val="79D4756E"/>
    <w:rsid w:val="79D62A71"/>
    <w:rsid w:val="79D917F7"/>
    <w:rsid w:val="79DC1511"/>
    <w:rsid w:val="79E007A3"/>
    <w:rsid w:val="79E354B7"/>
    <w:rsid w:val="79E65289"/>
    <w:rsid w:val="79E72D0B"/>
    <w:rsid w:val="79F0141C"/>
    <w:rsid w:val="79F42021"/>
    <w:rsid w:val="79F72FA5"/>
    <w:rsid w:val="79FA77AD"/>
    <w:rsid w:val="7A005E33"/>
    <w:rsid w:val="7A086AC3"/>
    <w:rsid w:val="7A0A7A48"/>
    <w:rsid w:val="7A2250EE"/>
    <w:rsid w:val="7A2B7F7C"/>
    <w:rsid w:val="7A2E4784"/>
    <w:rsid w:val="7A2F6982"/>
    <w:rsid w:val="7A4B2370"/>
    <w:rsid w:val="7A4B2A2F"/>
    <w:rsid w:val="7A514939"/>
    <w:rsid w:val="7A665F33"/>
    <w:rsid w:val="7A676ADC"/>
    <w:rsid w:val="7A6E6446"/>
    <w:rsid w:val="7A71208D"/>
    <w:rsid w:val="7A8F7CA1"/>
    <w:rsid w:val="7A90021D"/>
    <w:rsid w:val="7A96762C"/>
    <w:rsid w:val="7A9C1535"/>
    <w:rsid w:val="7A9D6F19"/>
    <w:rsid w:val="7A9E4A38"/>
    <w:rsid w:val="7A9F24BA"/>
    <w:rsid w:val="7AA73149"/>
    <w:rsid w:val="7AAB1B4F"/>
    <w:rsid w:val="7AAD2AD4"/>
    <w:rsid w:val="7AB26F5C"/>
    <w:rsid w:val="7AC10876"/>
    <w:rsid w:val="7ACF0A8A"/>
    <w:rsid w:val="7AD37490"/>
    <w:rsid w:val="7AD47110"/>
    <w:rsid w:val="7ADC7DA0"/>
    <w:rsid w:val="7ADD5821"/>
    <w:rsid w:val="7AE067A6"/>
    <w:rsid w:val="7AE07C8F"/>
    <w:rsid w:val="7AE14228"/>
    <w:rsid w:val="7AE710CF"/>
    <w:rsid w:val="7AF04842"/>
    <w:rsid w:val="7AF62794"/>
    <w:rsid w:val="7AFB0655"/>
    <w:rsid w:val="7AFD3B58"/>
    <w:rsid w:val="7B035A61"/>
    <w:rsid w:val="7B074BD9"/>
    <w:rsid w:val="7B0B75EA"/>
    <w:rsid w:val="7B0B76CA"/>
    <w:rsid w:val="7B0F3A72"/>
    <w:rsid w:val="7B1633FD"/>
    <w:rsid w:val="7B182183"/>
    <w:rsid w:val="7B197C05"/>
    <w:rsid w:val="7B1A5686"/>
    <w:rsid w:val="7B207590"/>
    <w:rsid w:val="7B230723"/>
    <w:rsid w:val="7B245F96"/>
    <w:rsid w:val="7B286B9A"/>
    <w:rsid w:val="7B2A6109"/>
    <w:rsid w:val="7B303FA7"/>
    <w:rsid w:val="7B30782A"/>
    <w:rsid w:val="7B3B2338"/>
    <w:rsid w:val="7B3E7927"/>
    <w:rsid w:val="7B421AF3"/>
    <w:rsid w:val="7B4464CB"/>
    <w:rsid w:val="7B4A03D4"/>
    <w:rsid w:val="7B4C38D7"/>
    <w:rsid w:val="7B5F28F8"/>
    <w:rsid w:val="7B625A7B"/>
    <w:rsid w:val="7B695405"/>
    <w:rsid w:val="7B6A670A"/>
    <w:rsid w:val="7B6D3E0C"/>
    <w:rsid w:val="7B7E0502"/>
    <w:rsid w:val="7B8B6C3F"/>
    <w:rsid w:val="7B94196B"/>
    <w:rsid w:val="7BA8076D"/>
    <w:rsid w:val="7BAF5B7A"/>
    <w:rsid w:val="7BB035FB"/>
    <w:rsid w:val="7BB1107D"/>
    <w:rsid w:val="7BB96489"/>
    <w:rsid w:val="7BC21317"/>
    <w:rsid w:val="7BC55B1F"/>
    <w:rsid w:val="7BC77827"/>
    <w:rsid w:val="7BCB1C27"/>
    <w:rsid w:val="7BCC76A8"/>
    <w:rsid w:val="7BCD2F2C"/>
    <w:rsid w:val="7BD67FB8"/>
    <w:rsid w:val="7BD834BB"/>
    <w:rsid w:val="7BDB7CC3"/>
    <w:rsid w:val="7BDE2E46"/>
    <w:rsid w:val="7BE442C7"/>
    <w:rsid w:val="7BEC59DF"/>
    <w:rsid w:val="7BED7BDD"/>
    <w:rsid w:val="7BF278E8"/>
    <w:rsid w:val="7BFC23F6"/>
    <w:rsid w:val="7BFD7D16"/>
    <w:rsid w:val="7C0031F1"/>
    <w:rsid w:val="7C106819"/>
    <w:rsid w:val="7C10780F"/>
    <w:rsid w:val="7C153320"/>
    <w:rsid w:val="7C157F47"/>
    <w:rsid w:val="7C1745DC"/>
    <w:rsid w:val="7C181D89"/>
    <w:rsid w:val="7C1D63BD"/>
    <w:rsid w:val="7C1E3C2F"/>
    <w:rsid w:val="7C2741FB"/>
    <w:rsid w:val="7C330351"/>
    <w:rsid w:val="7C353855"/>
    <w:rsid w:val="7C494D9F"/>
    <w:rsid w:val="7C502CBE"/>
    <w:rsid w:val="7C505703"/>
    <w:rsid w:val="7C62341F"/>
    <w:rsid w:val="7C69082B"/>
    <w:rsid w:val="7C746BBD"/>
    <w:rsid w:val="7C760416"/>
    <w:rsid w:val="7C7620C0"/>
    <w:rsid w:val="7C7D1A4A"/>
    <w:rsid w:val="7C9064ED"/>
    <w:rsid w:val="7C9725F4"/>
    <w:rsid w:val="7C9B68F5"/>
    <w:rsid w:val="7C9B6AAB"/>
    <w:rsid w:val="7CA567D7"/>
    <w:rsid w:val="7CA7288F"/>
    <w:rsid w:val="7CAE40A7"/>
    <w:rsid w:val="7CAF571D"/>
    <w:rsid w:val="7CB34123"/>
    <w:rsid w:val="7CB72B29"/>
    <w:rsid w:val="7CB82AE6"/>
    <w:rsid w:val="7CBA7331"/>
    <w:rsid w:val="7CC2473D"/>
    <w:rsid w:val="7CCF3A53"/>
    <w:rsid w:val="7CD014D5"/>
    <w:rsid w:val="7CE53411"/>
    <w:rsid w:val="7CF127A1"/>
    <w:rsid w:val="7CF22D0E"/>
    <w:rsid w:val="7CF81394"/>
    <w:rsid w:val="7CF952E7"/>
    <w:rsid w:val="7CFF0D1F"/>
    <w:rsid w:val="7D02613C"/>
    <w:rsid w:val="7D063F2D"/>
    <w:rsid w:val="7D1140FE"/>
    <w:rsid w:val="7D152EC3"/>
    <w:rsid w:val="7D1C60D1"/>
    <w:rsid w:val="7D25315D"/>
    <w:rsid w:val="7D2A2E68"/>
    <w:rsid w:val="7D2A6659"/>
    <w:rsid w:val="7D2D1788"/>
    <w:rsid w:val="7D2E5FEB"/>
    <w:rsid w:val="7D2F2D01"/>
    <w:rsid w:val="7D466F15"/>
    <w:rsid w:val="7D5052A6"/>
    <w:rsid w:val="7D574C31"/>
    <w:rsid w:val="7D5F203D"/>
    <w:rsid w:val="7D5F58C0"/>
    <w:rsid w:val="7D630A43"/>
    <w:rsid w:val="7D6708C7"/>
    <w:rsid w:val="7D772F67"/>
    <w:rsid w:val="7D7E28F2"/>
    <w:rsid w:val="7D8136BA"/>
    <w:rsid w:val="7D854387"/>
    <w:rsid w:val="7D861EFD"/>
    <w:rsid w:val="7D8B1C08"/>
    <w:rsid w:val="7D8C3E06"/>
    <w:rsid w:val="7D967F99"/>
    <w:rsid w:val="7D99311C"/>
    <w:rsid w:val="7D9A0B9D"/>
    <w:rsid w:val="7D9F2E27"/>
    <w:rsid w:val="7DA37E53"/>
    <w:rsid w:val="7DA44D30"/>
    <w:rsid w:val="7DAA5437"/>
    <w:rsid w:val="7DB24046"/>
    <w:rsid w:val="7DB33489"/>
    <w:rsid w:val="7DBE58DA"/>
    <w:rsid w:val="7DC14660"/>
    <w:rsid w:val="7DC50AE8"/>
    <w:rsid w:val="7DCC4BF0"/>
    <w:rsid w:val="7DD22D5B"/>
    <w:rsid w:val="7DD33735"/>
    <w:rsid w:val="7DD554FF"/>
    <w:rsid w:val="7DDD618F"/>
    <w:rsid w:val="7DDE038D"/>
    <w:rsid w:val="7DE03890"/>
    <w:rsid w:val="7DE45B1A"/>
    <w:rsid w:val="7DF847BA"/>
    <w:rsid w:val="7E004525"/>
    <w:rsid w:val="7E021846"/>
    <w:rsid w:val="7E0427CB"/>
    <w:rsid w:val="7E065CCE"/>
    <w:rsid w:val="7E1562E9"/>
    <w:rsid w:val="7E18726D"/>
    <w:rsid w:val="7E1A2770"/>
    <w:rsid w:val="7E20467A"/>
    <w:rsid w:val="7E2A33C1"/>
    <w:rsid w:val="7E2A628E"/>
    <w:rsid w:val="7E34331A"/>
    <w:rsid w:val="7E346B9D"/>
    <w:rsid w:val="7E3620A1"/>
    <w:rsid w:val="7E3D3C2A"/>
    <w:rsid w:val="7E420EFD"/>
    <w:rsid w:val="7E4313B6"/>
    <w:rsid w:val="7E446E38"/>
    <w:rsid w:val="7E477DBC"/>
    <w:rsid w:val="7E481FBB"/>
    <w:rsid w:val="7E4A0D41"/>
    <w:rsid w:val="7E54384F"/>
    <w:rsid w:val="7E5512D0"/>
    <w:rsid w:val="7E597CD7"/>
    <w:rsid w:val="7E5A62C9"/>
    <w:rsid w:val="7E6672C6"/>
    <w:rsid w:val="7E672870"/>
    <w:rsid w:val="7E684A6E"/>
    <w:rsid w:val="7E6B3474"/>
    <w:rsid w:val="7E71317F"/>
    <w:rsid w:val="7E734104"/>
    <w:rsid w:val="7E7B1510"/>
    <w:rsid w:val="7E7C6803"/>
    <w:rsid w:val="7E807F03"/>
    <w:rsid w:val="7E813419"/>
    <w:rsid w:val="7E8A1B2B"/>
    <w:rsid w:val="7E8B0402"/>
    <w:rsid w:val="7E905C32"/>
    <w:rsid w:val="7E905F9E"/>
    <w:rsid w:val="7E9520BA"/>
    <w:rsid w:val="7EA03CCE"/>
    <w:rsid w:val="7EA448D3"/>
    <w:rsid w:val="7EAA67DC"/>
    <w:rsid w:val="7EAB7AE1"/>
    <w:rsid w:val="7EBC7D7B"/>
    <w:rsid w:val="7EBD57FD"/>
    <w:rsid w:val="7EC31904"/>
    <w:rsid w:val="7EC47386"/>
    <w:rsid w:val="7ECC0016"/>
    <w:rsid w:val="7ECD2214"/>
    <w:rsid w:val="7ED06A1C"/>
    <w:rsid w:val="7ED918AA"/>
    <w:rsid w:val="7EDC02B0"/>
    <w:rsid w:val="7EDE37B3"/>
    <w:rsid w:val="7EE456BC"/>
    <w:rsid w:val="7EEB5047"/>
    <w:rsid w:val="7EEE110A"/>
    <w:rsid w:val="7EF32454"/>
    <w:rsid w:val="7F004FEC"/>
    <w:rsid w:val="7F0171EB"/>
    <w:rsid w:val="7F0204F0"/>
    <w:rsid w:val="7F0D6881"/>
    <w:rsid w:val="7F14040A"/>
    <w:rsid w:val="7F264127"/>
    <w:rsid w:val="7F285ADA"/>
    <w:rsid w:val="7F2B5E31"/>
    <w:rsid w:val="7F2E326C"/>
    <w:rsid w:val="7F307284"/>
    <w:rsid w:val="7F307D3A"/>
    <w:rsid w:val="7F32561D"/>
    <w:rsid w:val="7F343D9D"/>
    <w:rsid w:val="7F361C43"/>
    <w:rsid w:val="7F3818C3"/>
    <w:rsid w:val="7F3F4AD1"/>
    <w:rsid w:val="7F4637F3"/>
    <w:rsid w:val="7F4F291E"/>
    <w:rsid w:val="7F5027ED"/>
    <w:rsid w:val="7F513D3A"/>
    <w:rsid w:val="7F515270"/>
    <w:rsid w:val="7F590EFE"/>
    <w:rsid w:val="7F5D4081"/>
    <w:rsid w:val="7F5E5A33"/>
    <w:rsid w:val="7F632851"/>
    <w:rsid w:val="7F714308"/>
    <w:rsid w:val="7F724027"/>
    <w:rsid w:val="7F736225"/>
    <w:rsid w:val="7F770FD5"/>
    <w:rsid w:val="7F7B1F47"/>
    <w:rsid w:val="7F7B6EB5"/>
    <w:rsid w:val="7F7E2038"/>
    <w:rsid w:val="7F843F41"/>
    <w:rsid w:val="7F865318"/>
    <w:rsid w:val="7F8D6DCF"/>
    <w:rsid w:val="7F920CD8"/>
    <w:rsid w:val="7F926ADA"/>
    <w:rsid w:val="7F9D7069"/>
    <w:rsid w:val="7FA378E2"/>
    <w:rsid w:val="7FAE0608"/>
    <w:rsid w:val="7FB33F82"/>
    <w:rsid w:val="7FC06324"/>
    <w:rsid w:val="7FC4723E"/>
    <w:rsid w:val="7FC5602F"/>
    <w:rsid w:val="7FC90CB0"/>
    <w:rsid w:val="7FCD563A"/>
    <w:rsid w:val="7FCD67A7"/>
    <w:rsid w:val="7FD01E42"/>
    <w:rsid w:val="7FD839CB"/>
    <w:rsid w:val="7FDB18A6"/>
    <w:rsid w:val="7FDE1157"/>
    <w:rsid w:val="7FE142DA"/>
    <w:rsid w:val="7FE377DD"/>
    <w:rsid w:val="7FE94F6A"/>
    <w:rsid w:val="7FEA47F6"/>
    <w:rsid w:val="7FF6731A"/>
    <w:rsid w:val="7FFE3C0B"/>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qFormat="1"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qFormat="1"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1"/>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146"/>
    <w:qFormat/>
    <w:uiPriority w:val="0"/>
    <w:pPr>
      <w:keepNext/>
      <w:keepLines/>
      <w:numPr>
        <w:ilvl w:val="1"/>
        <w:numId w:val="1"/>
      </w:numPr>
      <w:spacing w:before="260" w:after="260" w:line="416" w:lineRule="auto"/>
      <w:outlineLvl w:val="1"/>
    </w:pPr>
    <w:rPr>
      <w:rFonts w:ascii="Arial" w:hAnsi="Arial" w:eastAsia="黑体"/>
      <w:b/>
      <w:bCs/>
      <w:sz w:val="32"/>
      <w:szCs w:val="32"/>
    </w:rPr>
  </w:style>
  <w:style w:type="paragraph" w:styleId="4">
    <w:name w:val="heading 3"/>
    <w:basedOn w:val="1"/>
    <w:next w:val="1"/>
    <w:link w:val="168"/>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38"/>
    <w:qFormat/>
    <w:uiPriority w:val="0"/>
    <w:pPr>
      <w:keepNext/>
      <w:keepLines/>
      <w:numPr>
        <w:ilvl w:val="3"/>
        <w:numId w:val="1"/>
      </w:numPr>
      <w:spacing w:before="280" w:after="290" w:line="376" w:lineRule="auto"/>
      <w:outlineLvl w:val="3"/>
    </w:pPr>
    <w:rPr>
      <w:rFonts w:ascii="宋体" w:hAnsi="宋体"/>
      <w:b/>
      <w:bCs/>
      <w:sz w:val="28"/>
      <w:szCs w:val="28"/>
    </w:rPr>
  </w:style>
  <w:style w:type="paragraph" w:styleId="6">
    <w:name w:val="heading 5"/>
    <w:basedOn w:val="1"/>
    <w:next w:val="1"/>
    <w:link w:val="154"/>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Impact" w:hAnsi="Impact"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53">
    <w:name w:val="Default Paragraph Font"/>
    <w:unhideWhenUsed/>
    <w:qFormat/>
    <w:uiPriority w:val="1"/>
  </w:style>
  <w:style w:type="table" w:default="1" w:styleId="59">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rFonts w:ascii="宋体" w:hAnsi="宋体"/>
      <w:sz w:val="32"/>
      <w:szCs w:val="32"/>
    </w:rPr>
  </w:style>
  <w:style w:type="paragraph" w:styleId="12">
    <w:name w:val="annotation subject"/>
    <w:basedOn w:val="13"/>
    <w:next w:val="13"/>
    <w:semiHidden/>
    <w:qFormat/>
    <w:uiPriority w:val="0"/>
    <w:rPr>
      <w:b/>
      <w:bCs/>
    </w:rPr>
  </w:style>
  <w:style w:type="paragraph" w:styleId="13">
    <w:name w:val="annotation text"/>
    <w:basedOn w:val="1"/>
    <w:link w:val="135"/>
    <w:semiHidden/>
    <w:qFormat/>
    <w:uiPriority w:val="0"/>
    <w:pPr>
      <w:jc w:val="left"/>
    </w:pPr>
    <w:rPr>
      <w:sz w:val="18"/>
      <w:szCs w:val="18"/>
    </w:rPr>
  </w:style>
  <w:style w:type="paragraph" w:styleId="14">
    <w:name w:val="toc 7"/>
    <w:basedOn w:val="1"/>
    <w:next w:val="1"/>
    <w:semiHidden/>
    <w:qFormat/>
    <w:uiPriority w:val="0"/>
    <w:pPr>
      <w:ind w:left="2520" w:leftChars="1200"/>
    </w:pPr>
  </w:style>
  <w:style w:type="paragraph" w:styleId="15">
    <w:name w:val="Body Text First Indent"/>
    <w:basedOn w:val="16"/>
    <w:qFormat/>
    <w:uiPriority w:val="0"/>
    <w:pPr>
      <w:ind w:firstLine="420" w:firstLineChars="100"/>
    </w:pPr>
    <w:rPr>
      <w:rFonts w:ascii="宋体" w:hAnsi="宋体"/>
      <w:sz w:val="32"/>
      <w:szCs w:val="32"/>
    </w:rPr>
  </w:style>
  <w:style w:type="paragraph" w:styleId="16">
    <w:name w:val="Body Text"/>
    <w:basedOn w:val="1"/>
    <w:link w:val="134"/>
    <w:qFormat/>
    <w:uiPriority w:val="0"/>
    <w:pPr>
      <w:spacing w:after="120"/>
    </w:pPr>
  </w:style>
  <w:style w:type="paragraph" w:styleId="17">
    <w:name w:val="index 8"/>
    <w:basedOn w:val="1"/>
    <w:next w:val="1"/>
    <w:semiHidden/>
    <w:qFormat/>
    <w:uiPriority w:val="0"/>
    <w:pPr>
      <w:ind w:left="2560" w:hanging="320"/>
      <w:jc w:val="left"/>
    </w:pPr>
    <w:rPr>
      <w:sz w:val="20"/>
      <w:szCs w:val="20"/>
    </w:rPr>
  </w:style>
  <w:style w:type="paragraph" w:styleId="18">
    <w:name w:val="Normal Indent"/>
    <w:basedOn w:val="1"/>
    <w:link w:val="164"/>
    <w:qFormat/>
    <w:uiPriority w:val="0"/>
    <w:pPr>
      <w:spacing w:line="360" w:lineRule="auto"/>
      <w:ind w:right="210" w:firstLine="560" w:firstLineChars="200"/>
    </w:pPr>
    <w:rPr>
      <w:rFonts w:ascii="宋体" w:hAnsi="宋体"/>
      <w:color w:val="000000"/>
      <w:sz w:val="28"/>
      <w:szCs w:val="28"/>
    </w:rPr>
  </w:style>
  <w:style w:type="paragraph" w:styleId="19">
    <w:name w:val="caption"/>
    <w:basedOn w:val="1"/>
    <w:next w:val="1"/>
    <w:qFormat/>
    <w:uiPriority w:val="0"/>
    <w:rPr>
      <w:rFonts w:ascii="Arial" w:hAnsi="Arial" w:eastAsia="黑体" w:cs="Arial"/>
      <w:sz w:val="20"/>
      <w:szCs w:val="20"/>
    </w:rPr>
  </w:style>
  <w:style w:type="paragraph" w:styleId="20">
    <w:name w:val="index 5"/>
    <w:basedOn w:val="1"/>
    <w:next w:val="1"/>
    <w:semiHidden/>
    <w:qFormat/>
    <w:uiPriority w:val="0"/>
    <w:pPr>
      <w:ind w:left="1600" w:hanging="320"/>
      <w:jc w:val="left"/>
    </w:pPr>
    <w:rPr>
      <w:sz w:val="20"/>
      <w:szCs w:val="20"/>
    </w:rPr>
  </w:style>
  <w:style w:type="paragraph" w:styleId="21">
    <w:name w:val="Document Map"/>
    <w:basedOn w:val="1"/>
    <w:link w:val="163"/>
    <w:semiHidden/>
    <w:qFormat/>
    <w:uiPriority w:val="0"/>
    <w:pPr>
      <w:shd w:val="clear" w:color="auto" w:fill="000080"/>
    </w:pPr>
  </w:style>
  <w:style w:type="paragraph" w:styleId="22">
    <w:name w:val="index 6"/>
    <w:basedOn w:val="1"/>
    <w:next w:val="1"/>
    <w:semiHidden/>
    <w:qFormat/>
    <w:uiPriority w:val="0"/>
    <w:pPr>
      <w:ind w:left="1920" w:hanging="320"/>
      <w:jc w:val="left"/>
    </w:pPr>
    <w:rPr>
      <w:sz w:val="20"/>
      <w:szCs w:val="20"/>
    </w:rPr>
  </w:style>
  <w:style w:type="paragraph" w:styleId="23">
    <w:name w:val="Body Text Indent"/>
    <w:basedOn w:val="1"/>
    <w:link w:val="169"/>
    <w:qFormat/>
    <w:uiPriority w:val="0"/>
    <w:pPr>
      <w:adjustRightInd w:val="0"/>
      <w:snapToGrid w:val="0"/>
      <w:spacing w:line="360" w:lineRule="auto"/>
      <w:ind w:firstLine="560" w:firstLineChars="200"/>
    </w:pPr>
    <w:rPr>
      <w:sz w:val="28"/>
    </w:rPr>
  </w:style>
  <w:style w:type="paragraph" w:styleId="24">
    <w:name w:val="List 2"/>
    <w:basedOn w:val="1"/>
    <w:qFormat/>
    <w:uiPriority w:val="0"/>
    <w:pPr>
      <w:ind w:left="100" w:leftChars="200" w:hanging="200" w:hangingChars="200"/>
    </w:pPr>
    <w:rPr>
      <w:rFonts w:ascii="宋体" w:hAnsi="宋体"/>
      <w:sz w:val="32"/>
      <w:szCs w:val="32"/>
    </w:rPr>
  </w:style>
  <w:style w:type="paragraph" w:styleId="25">
    <w:name w:val="Block Text"/>
    <w:basedOn w:val="1"/>
    <w:qFormat/>
    <w:uiPriority w:val="0"/>
    <w:pPr>
      <w:ind w:left="420" w:right="-153" w:rightChars="-73" w:firstLine="420" w:firstLineChars="200"/>
    </w:pPr>
  </w:style>
  <w:style w:type="paragraph" w:styleId="26">
    <w:name w:val="index 4"/>
    <w:basedOn w:val="1"/>
    <w:next w:val="1"/>
    <w:semiHidden/>
    <w:qFormat/>
    <w:uiPriority w:val="0"/>
    <w:pPr>
      <w:ind w:left="1280" w:hanging="320"/>
      <w:jc w:val="left"/>
    </w:pPr>
    <w:rPr>
      <w:sz w:val="20"/>
      <w:szCs w:val="20"/>
    </w:rPr>
  </w:style>
  <w:style w:type="paragraph" w:styleId="27">
    <w:name w:val="toc 5"/>
    <w:basedOn w:val="1"/>
    <w:next w:val="1"/>
    <w:semiHidden/>
    <w:qFormat/>
    <w:uiPriority w:val="0"/>
    <w:pPr>
      <w:ind w:left="1680" w:leftChars="800"/>
    </w:pPr>
  </w:style>
  <w:style w:type="paragraph" w:styleId="28">
    <w:name w:val="toc 3"/>
    <w:basedOn w:val="1"/>
    <w:next w:val="1"/>
    <w:semiHidden/>
    <w:qFormat/>
    <w:uiPriority w:val="0"/>
    <w:pPr>
      <w:ind w:left="840" w:leftChars="400"/>
    </w:pPr>
  </w:style>
  <w:style w:type="paragraph" w:styleId="29">
    <w:name w:val="Plain Text"/>
    <w:basedOn w:val="1"/>
    <w:link w:val="171"/>
    <w:qFormat/>
    <w:uiPriority w:val="0"/>
    <w:rPr>
      <w:rFonts w:ascii="宋体" w:hAnsi="Courier New" w:cs="Courier New"/>
      <w:szCs w:val="21"/>
    </w:rPr>
  </w:style>
  <w:style w:type="paragraph" w:styleId="30">
    <w:name w:val="toc 8"/>
    <w:basedOn w:val="1"/>
    <w:next w:val="1"/>
    <w:semiHidden/>
    <w:qFormat/>
    <w:uiPriority w:val="0"/>
    <w:pPr>
      <w:ind w:left="2940" w:leftChars="1400"/>
    </w:pPr>
  </w:style>
  <w:style w:type="paragraph" w:styleId="31">
    <w:name w:val="index 3"/>
    <w:basedOn w:val="1"/>
    <w:next w:val="1"/>
    <w:semiHidden/>
    <w:qFormat/>
    <w:uiPriority w:val="0"/>
    <w:pPr>
      <w:ind w:left="960" w:hanging="320"/>
      <w:jc w:val="left"/>
    </w:pPr>
    <w:rPr>
      <w:sz w:val="20"/>
      <w:szCs w:val="20"/>
    </w:rPr>
  </w:style>
  <w:style w:type="paragraph" w:styleId="32">
    <w:name w:val="Date"/>
    <w:basedOn w:val="1"/>
    <w:next w:val="1"/>
    <w:link w:val="165"/>
    <w:qFormat/>
    <w:uiPriority w:val="0"/>
    <w:pPr>
      <w:ind w:left="100" w:leftChars="2500"/>
    </w:pPr>
  </w:style>
  <w:style w:type="paragraph" w:styleId="33">
    <w:name w:val="Body Text Indent 2"/>
    <w:basedOn w:val="1"/>
    <w:link w:val="166"/>
    <w:qFormat/>
    <w:uiPriority w:val="0"/>
    <w:pPr>
      <w:adjustRightInd w:val="0"/>
      <w:snapToGrid w:val="0"/>
      <w:spacing w:line="360" w:lineRule="auto"/>
      <w:ind w:firstLine="555"/>
    </w:pPr>
    <w:rPr>
      <w:rFonts w:ascii="宋体" w:hAnsi="宋体"/>
      <w:sz w:val="28"/>
    </w:rPr>
  </w:style>
  <w:style w:type="paragraph" w:styleId="34">
    <w:name w:val="Balloon Text"/>
    <w:basedOn w:val="1"/>
    <w:link w:val="147"/>
    <w:unhideWhenUsed/>
    <w:qFormat/>
    <w:uiPriority w:val="0"/>
    <w:rPr>
      <w:rFonts w:ascii="宋体" w:hAnsi="宋体"/>
      <w:sz w:val="18"/>
      <w:szCs w:val="18"/>
    </w:rPr>
  </w:style>
  <w:style w:type="paragraph" w:styleId="35">
    <w:name w:val="footer"/>
    <w:basedOn w:val="1"/>
    <w:link w:val="152"/>
    <w:qFormat/>
    <w:uiPriority w:val="0"/>
    <w:pPr>
      <w:tabs>
        <w:tab w:val="center" w:pos="4153"/>
        <w:tab w:val="right" w:pos="8306"/>
      </w:tabs>
      <w:snapToGrid w:val="0"/>
      <w:jc w:val="left"/>
    </w:pPr>
    <w:rPr>
      <w:rFonts w:eastAsia="Times New Roman"/>
      <w:kern w:val="0"/>
      <w:sz w:val="18"/>
      <w:szCs w:val="20"/>
    </w:rPr>
  </w:style>
  <w:style w:type="paragraph" w:styleId="36">
    <w:name w:val="Body Text First Indent 2"/>
    <w:basedOn w:val="23"/>
    <w:link w:val="156"/>
    <w:qFormat/>
    <w:uiPriority w:val="0"/>
    <w:pPr>
      <w:adjustRightInd/>
      <w:snapToGrid/>
      <w:spacing w:after="120" w:line="240" w:lineRule="auto"/>
      <w:ind w:left="420" w:leftChars="200" w:firstLine="420"/>
    </w:pPr>
    <w:rPr>
      <w:b/>
      <w:bCs/>
      <w:kern w:val="44"/>
      <w:sz w:val="44"/>
      <w:szCs w:val="44"/>
    </w:rPr>
  </w:style>
  <w:style w:type="paragraph" w:styleId="37">
    <w:name w:val="header"/>
    <w:basedOn w:val="1"/>
    <w:link w:val="144"/>
    <w:qFormat/>
    <w:uiPriority w:val="0"/>
    <w:pPr>
      <w:pBdr>
        <w:bottom w:val="single" w:color="auto" w:sz="6" w:space="1"/>
      </w:pBdr>
      <w:tabs>
        <w:tab w:val="center" w:pos="4153"/>
        <w:tab w:val="right" w:pos="8306"/>
      </w:tabs>
      <w:snapToGrid w:val="0"/>
      <w:jc w:val="center"/>
    </w:pPr>
    <w:rPr>
      <w:sz w:val="18"/>
      <w:szCs w:val="18"/>
    </w:rPr>
  </w:style>
  <w:style w:type="paragraph" w:styleId="38">
    <w:name w:val="toc 1"/>
    <w:basedOn w:val="1"/>
    <w:next w:val="1"/>
    <w:semiHidden/>
    <w:qFormat/>
    <w:uiPriority w:val="0"/>
  </w:style>
  <w:style w:type="paragraph" w:styleId="39">
    <w:name w:val="toc 4"/>
    <w:basedOn w:val="1"/>
    <w:next w:val="1"/>
    <w:semiHidden/>
    <w:qFormat/>
    <w:uiPriority w:val="0"/>
    <w:pPr>
      <w:ind w:left="1260" w:leftChars="600"/>
    </w:pPr>
  </w:style>
  <w:style w:type="paragraph" w:styleId="40">
    <w:name w:val="index heading"/>
    <w:basedOn w:val="1"/>
    <w:next w:val="41"/>
    <w:semiHidden/>
    <w:qFormat/>
    <w:uiPriority w:val="0"/>
  </w:style>
  <w:style w:type="paragraph" w:styleId="41">
    <w:name w:val="index 1"/>
    <w:basedOn w:val="1"/>
    <w:next w:val="1"/>
    <w:semiHidden/>
    <w:qFormat/>
    <w:uiPriority w:val="0"/>
    <w:rPr>
      <w:sz w:val="28"/>
    </w:rPr>
  </w:style>
  <w:style w:type="paragraph" w:styleId="42">
    <w:name w:val="List"/>
    <w:basedOn w:val="1"/>
    <w:qFormat/>
    <w:uiPriority w:val="0"/>
    <w:pPr>
      <w:ind w:left="200" w:hanging="200" w:hangingChars="200"/>
    </w:pPr>
    <w:rPr>
      <w:rFonts w:ascii="宋体" w:hAnsi="宋体"/>
      <w:sz w:val="32"/>
      <w:szCs w:val="32"/>
    </w:rPr>
  </w:style>
  <w:style w:type="paragraph" w:styleId="43">
    <w:name w:val="toc 6"/>
    <w:basedOn w:val="1"/>
    <w:next w:val="1"/>
    <w:semiHidden/>
    <w:qFormat/>
    <w:uiPriority w:val="0"/>
    <w:pPr>
      <w:ind w:left="2100" w:leftChars="1000"/>
    </w:pPr>
  </w:style>
  <w:style w:type="paragraph" w:styleId="44">
    <w:name w:val="Body Text Indent 3"/>
    <w:basedOn w:val="1"/>
    <w:link w:val="133"/>
    <w:qFormat/>
    <w:uiPriority w:val="0"/>
    <w:pPr>
      <w:spacing w:after="120"/>
      <w:ind w:left="420" w:leftChars="200"/>
    </w:pPr>
    <w:rPr>
      <w:sz w:val="16"/>
      <w:szCs w:val="16"/>
    </w:rPr>
  </w:style>
  <w:style w:type="paragraph" w:styleId="45">
    <w:name w:val="index 7"/>
    <w:basedOn w:val="1"/>
    <w:next w:val="1"/>
    <w:semiHidden/>
    <w:qFormat/>
    <w:uiPriority w:val="0"/>
    <w:pPr>
      <w:ind w:left="2240" w:hanging="320"/>
      <w:jc w:val="left"/>
    </w:pPr>
    <w:rPr>
      <w:sz w:val="20"/>
      <w:szCs w:val="20"/>
    </w:rPr>
  </w:style>
  <w:style w:type="paragraph" w:styleId="46">
    <w:name w:val="index 9"/>
    <w:basedOn w:val="1"/>
    <w:next w:val="1"/>
    <w:semiHidden/>
    <w:qFormat/>
    <w:uiPriority w:val="0"/>
    <w:pPr>
      <w:ind w:left="2880" w:hanging="320"/>
      <w:jc w:val="left"/>
    </w:pPr>
    <w:rPr>
      <w:sz w:val="20"/>
      <w:szCs w:val="20"/>
    </w:rPr>
  </w:style>
  <w:style w:type="paragraph" w:styleId="47">
    <w:name w:val="table of figures"/>
    <w:basedOn w:val="1"/>
    <w:next w:val="1"/>
    <w:semiHidden/>
    <w:qFormat/>
    <w:uiPriority w:val="0"/>
    <w:pPr>
      <w:ind w:left="840" w:leftChars="200" w:hanging="420" w:hangingChars="200"/>
    </w:pPr>
    <w:rPr>
      <w:rFonts w:ascii="宋体" w:hAnsi="宋体"/>
      <w:kern w:val="3"/>
      <w:sz w:val="28"/>
      <w:szCs w:val="28"/>
    </w:rPr>
  </w:style>
  <w:style w:type="paragraph" w:styleId="48">
    <w:name w:val="toc 2"/>
    <w:basedOn w:val="1"/>
    <w:next w:val="1"/>
    <w:semiHidden/>
    <w:qFormat/>
    <w:uiPriority w:val="0"/>
    <w:pPr>
      <w:ind w:left="420" w:leftChars="200"/>
    </w:pPr>
  </w:style>
  <w:style w:type="paragraph" w:styleId="49">
    <w:name w:val="toc 9"/>
    <w:basedOn w:val="1"/>
    <w:next w:val="1"/>
    <w:semiHidden/>
    <w:qFormat/>
    <w:uiPriority w:val="0"/>
    <w:pPr>
      <w:ind w:left="3360" w:leftChars="1600"/>
    </w:pPr>
  </w:style>
  <w:style w:type="paragraph" w:styleId="50">
    <w:name w:val="HTML Preformatted"/>
    <w:basedOn w:val="1"/>
    <w:link w:val="15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eastAsia="黑体"/>
      <w:b/>
      <w:bCs/>
      <w:sz w:val="32"/>
      <w:szCs w:val="32"/>
    </w:rPr>
  </w:style>
  <w:style w:type="paragraph" w:styleId="51">
    <w:name w:val="Normal (Web)"/>
    <w:basedOn w:val="1"/>
    <w:qFormat/>
    <w:uiPriority w:val="0"/>
    <w:pPr>
      <w:widowControl/>
      <w:spacing w:before="100" w:beforeAutospacing="1" w:after="100" w:afterAutospacing="1"/>
      <w:jc w:val="left"/>
    </w:pPr>
    <w:rPr>
      <w:rFonts w:ascii="宋体" w:hAnsi="宋体"/>
      <w:kern w:val="0"/>
      <w:sz w:val="24"/>
    </w:rPr>
  </w:style>
  <w:style w:type="paragraph" w:styleId="52">
    <w:name w:val="index 2"/>
    <w:basedOn w:val="1"/>
    <w:next w:val="1"/>
    <w:semiHidden/>
    <w:qFormat/>
    <w:uiPriority w:val="0"/>
    <w:pPr>
      <w:ind w:left="640" w:hanging="320"/>
      <w:jc w:val="left"/>
    </w:pPr>
    <w:rPr>
      <w:sz w:val="20"/>
      <w:szCs w:val="20"/>
    </w:rPr>
  </w:style>
  <w:style w:type="character" w:styleId="54">
    <w:name w:val="Strong"/>
    <w:basedOn w:val="53"/>
    <w:qFormat/>
    <w:uiPriority w:val="0"/>
    <w:rPr>
      <w:b/>
      <w:bCs/>
    </w:rPr>
  </w:style>
  <w:style w:type="character" w:styleId="55">
    <w:name w:val="page number"/>
    <w:basedOn w:val="53"/>
    <w:qFormat/>
    <w:uiPriority w:val="0"/>
  </w:style>
  <w:style w:type="character" w:styleId="56">
    <w:name w:val="FollowedHyperlink"/>
    <w:basedOn w:val="53"/>
    <w:qFormat/>
    <w:uiPriority w:val="0"/>
    <w:rPr>
      <w:color w:val="800080"/>
      <w:u w:val="single"/>
    </w:rPr>
  </w:style>
  <w:style w:type="character" w:styleId="57">
    <w:name w:val="Hyperlink"/>
    <w:basedOn w:val="53"/>
    <w:qFormat/>
    <w:uiPriority w:val="0"/>
    <w:rPr>
      <w:color w:val="0000FF"/>
      <w:u w:val="single"/>
    </w:rPr>
  </w:style>
  <w:style w:type="character" w:styleId="58">
    <w:name w:val="annotation reference"/>
    <w:basedOn w:val="53"/>
    <w:semiHidden/>
    <w:qFormat/>
    <w:uiPriority w:val="0"/>
    <w:rPr>
      <w:sz w:val="21"/>
      <w:szCs w:val="21"/>
    </w:rPr>
  </w:style>
  <w:style w:type="table" w:styleId="60">
    <w:name w:val="Table Grid"/>
    <w:basedOn w:val="5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1">
    <w:name w:val="Table Simple 1"/>
    <w:basedOn w:val="59"/>
    <w:qFormat/>
    <w:uiPriority w:val="0"/>
    <w:pPr>
      <w:widowControl w:val="0"/>
      <w:jc w:val="both"/>
    </w:pPr>
    <w:tblPr>
      <w:tblBorders>
        <w:top w:val="single" w:color="008000" w:sz="12" w:space="0"/>
        <w:bottom w:val="single" w:color="008000" w:sz="12"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62">
    <w:name w:val="Table Grid 1"/>
    <w:basedOn w:val="59"/>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paragraph" w:customStyle="1" w:styleId="63">
    <w:name w:val="_Style 49"/>
    <w:basedOn w:val="1"/>
    <w:qFormat/>
    <w:uiPriority w:val="0"/>
    <w:pPr>
      <w:widowControl/>
      <w:spacing w:after="160" w:line="240" w:lineRule="exact"/>
      <w:jc w:val="left"/>
    </w:pPr>
    <w:rPr>
      <w:szCs w:val="20"/>
    </w:rPr>
  </w:style>
  <w:style w:type="paragraph" w:customStyle="1" w:styleId="64">
    <w:name w:val="标题 #3"/>
    <w:basedOn w:val="1"/>
    <w:link w:val="127"/>
    <w:qFormat/>
    <w:uiPriority w:val="0"/>
    <w:pPr>
      <w:shd w:val="clear" w:color="auto" w:fill="FFFFFF"/>
      <w:spacing w:line="626" w:lineRule="exact"/>
      <w:outlineLvl w:val="2"/>
    </w:pPr>
    <w:rPr>
      <w:rFonts w:ascii="MingLiU" w:hAnsi="MingLiU" w:eastAsia="MingLiU" w:cs="MingLiU"/>
      <w:sz w:val="26"/>
      <w:szCs w:val="26"/>
    </w:rPr>
  </w:style>
  <w:style w:type="paragraph" w:customStyle="1" w:styleId="65">
    <w:name w:val="正"/>
    <w:basedOn w:val="1"/>
    <w:qFormat/>
    <w:uiPriority w:val="0"/>
    <w:pPr>
      <w:ind w:firstLine="525"/>
    </w:pPr>
    <w:rPr>
      <w:spacing w:val="20"/>
      <w:szCs w:val="20"/>
    </w:rPr>
  </w:style>
  <w:style w:type="paragraph" w:customStyle="1" w:styleId="66">
    <w:name w:val="xl25"/>
    <w:basedOn w:val="1"/>
    <w:qFormat/>
    <w:uiPriority w:val="0"/>
    <w:pPr>
      <w:widowControl/>
      <w:spacing w:before="100" w:beforeAutospacing="1" w:after="100" w:afterAutospacing="1"/>
      <w:jc w:val="center"/>
    </w:pPr>
    <w:rPr>
      <w:rFonts w:ascii="宋体" w:hAnsi="宋体"/>
      <w:b/>
      <w:bCs/>
      <w:kern w:val="0"/>
      <w:sz w:val="36"/>
      <w:szCs w:val="36"/>
    </w:rPr>
  </w:style>
  <w:style w:type="paragraph" w:customStyle="1" w:styleId="67">
    <w:name w:val="_Style 66"/>
    <w:basedOn w:val="1"/>
    <w:next w:val="1"/>
    <w:qFormat/>
    <w:uiPriority w:val="0"/>
    <w:pPr>
      <w:pBdr>
        <w:bottom w:val="single" w:color="auto" w:sz="6" w:space="1"/>
      </w:pBdr>
      <w:jc w:val="center"/>
    </w:pPr>
    <w:rPr>
      <w:rFonts w:ascii="Arial" w:hAnsi="Arial" w:cs="Arial"/>
      <w:vanish/>
      <w:sz w:val="16"/>
      <w:szCs w:val="16"/>
    </w:rPr>
  </w:style>
  <w:style w:type="paragraph" w:customStyle="1" w:styleId="68">
    <w:name w:val="样式 宋体 四号 左侧:  0.63 厘米 行距: 固定值 24 磅"/>
    <w:basedOn w:val="1"/>
    <w:qFormat/>
    <w:uiPriority w:val="0"/>
    <w:pPr>
      <w:spacing w:line="360" w:lineRule="auto"/>
      <w:ind w:firstLine="480" w:firstLineChars="200"/>
    </w:pPr>
    <w:rPr>
      <w:rFonts w:ascii="宋体" w:hAnsi="宋体" w:cs="宋体"/>
      <w:sz w:val="24"/>
    </w:rPr>
  </w:style>
  <w:style w:type="paragraph" w:customStyle="1" w:styleId="69">
    <w:name w:val="_Style 68"/>
    <w:basedOn w:val="1"/>
    <w:next w:val="1"/>
    <w:qFormat/>
    <w:uiPriority w:val="0"/>
    <w:pPr>
      <w:pBdr>
        <w:top w:val="single" w:color="auto" w:sz="6" w:space="1"/>
      </w:pBdr>
      <w:jc w:val="center"/>
    </w:pPr>
    <w:rPr>
      <w:rFonts w:ascii="Arial" w:hAnsi="Arial" w:cs="Arial"/>
      <w:vanish/>
      <w:sz w:val="16"/>
      <w:szCs w:val="16"/>
    </w:rPr>
  </w:style>
  <w:style w:type="paragraph" w:customStyle="1" w:styleId="70">
    <w:name w:val="CM14"/>
    <w:basedOn w:val="71"/>
    <w:next w:val="71"/>
    <w:qFormat/>
    <w:uiPriority w:val="0"/>
    <w:pPr>
      <w:spacing w:line="676" w:lineRule="atLeast"/>
    </w:pPr>
    <w:rPr>
      <w:rFonts w:hAnsi="Calibri" w:cs="Times New Roman"/>
      <w:color w:val="auto"/>
    </w:rPr>
  </w:style>
  <w:style w:type="paragraph" w:customStyle="1" w:styleId="7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2">
    <w:name w:val="正文 + 宋体"/>
    <w:basedOn w:val="1"/>
    <w:qFormat/>
    <w:uiPriority w:val="0"/>
    <w:pPr>
      <w:spacing w:line="360" w:lineRule="auto"/>
      <w:ind w:firstLine="480" w:firstLineChars="200"/>
    </w:pPr>
    <w:rPr>
      <w:rFonts w:ascii="宋体" w:hAnsi="宋体"/>
      <w:sz w:val="24"/>
    </w:rPr>
  </w:style>
  <w:style w:type="paragraph" w:customStyle="1" w:styleId="73">
    <w:name w:val="正文文本 (2)"/>
    <w:basedOn w:val="1"/>
    <w:link w:val="143"/>
    <w:qFormat/>
    <w:uiPriority w:val="0"/>
    <w:pPr>
      <w:shd w:val="clear" w:color="auto" w:fill="FFFFFF"/>
      <w:spacing w:line="468" w:lineRule="exact"/>
      <w:ind w:hanging="1640"/>
    </w:pPr>
    <w:rPr>
      <w:rFonts w:ascii="MS Mincho" w:hAnsi="MS Mincho" w:eastAsia="MS Mincho" w:cs="MS Mincho"/>
      <w:sz w:val="23"/>
      <w:szCs w:val="23"/>
    </w:rPr>
  </w:style>
  <w:style w:type="paragraph" w:customStyle="1" w:styleId="74">
    <w:name w:val="样式 左侧:  0.99 厘米"/>
    <w:basedOn w:val="1"/>
    <w:next w:val="1"/>
    <w:qFormat/>
    <w:uiPriority w:val="0"/>
    <w:pPr>
      <w:ind w:left="560"/>
    </w:pPr>
    <w:rPr>
      <w:rFonts w:ascii="宋体" w:hAnsi="宋体" w:cs="宋体"/>
      <w:kern w:val="3"/>
      <w:sz w:val="28"/>
      <w:szCs w:val="20"/>
    </w:rPr>
  </w:style>
  <w:style w:type="paragraph" w:customStyle="1" w:styleId="75">
    <w:name w:val="xl29"/>
    <w:basedOn w:val="1"/>
    <w:qFormat/>
    <w:uiPriority w:val="0"/>
    <w:pPr>
      <w:widowControl/>
      <w:spacing w:before="100" w:after="100"/>
      <w:jc w:val="center"/>
    </w:pPr>
    <w:rPr>
      <w:kern w:val="0"/>
      <w:sz w:val="24"/>
      <w:szCs w:val="20"/>
    </w:rPr>
  </w:style>
  <w:style w:type="paragraph" w:customStyle="1" w:styleId="76">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77">
    <w:name w:val="CM12"/>
    <w:basedOn w:val="71"/>
    <w:next w:val="71"/>
    <w:qFormat/>
    <w:uiPriority w:val="0"/>
    <w:pPr>
      <w:spacing w:line="666" w:lineRule="atLeast"/>
    </w:pPr>
    <w:rPr>
      <w:rFonts w:hAnsi="Calibri" w:cs="Times New Roman"/>
      <w:color w:val="auto"/>
    </w:rPr>
  </w:style>
  <w:style w:type="paragraph" w:customStyle="1" w:styleId="78">
    <w:name w:val="样式35"/>
    <w:basedOn w:val="1"/>
    <w:qFormat/>
    <w:uiPriority w:val="0"/>
    <w:pPr>
      <w:adjustRightInd w:val="0"/>
      <w:spacing w:line="312" w:lineRule="auto"/>
      <w:ind w:firstLine="567"/>
    </w:pPr>
    <w:rPr>
      <w:rFonts w:ascii="宋体"/>
      <w:kern w:val="0"/>
      <w:sz w:val="28"/>
      <w:szCs w:val="20"/>
    </w:rPr>
  </w:style>
  <w:style w:type="paragraph" w:customStyle="1" w:styleId="79">
    <w:name w:val="样式 标题 2 + 段前: 0.5 行 段后: 0.5 行"/>
    <w:basedOn w:val="3"/>
    <w:qFormat/>
    <w:uiPriority w:val="0"/>
    <w:pPr>
      <w:tabs>
        <w:tab w:val="left" w:pos="0"/>
      </w:tabs>
      <w:spacing w:before="0" w:after="0" w:line="500" w:lineRule="exact"/>
      <w:jc w:val="left"/>
    </w:pPr>
    <w:rPr>
      <w:rFonts w:ascii="Times New Roman" w:hAnsi="Times New Roman" w:eastAsia="宋体" w:cs="宋体"/>
      <w:bCs w:val="0"/>
      <w:snapToGrid w:val="0"/>
      <w:kern w:val="0"/>
      <w:sz w:val="28"/>
      <w:szCs w:val="20"/>
    </w:rPr>
  </w:style>
  <w:style w:type="paragraph" w:customStyle="1" w:styleId="80">
    <w:name w:val="0005左缩2"/>
    <w:basedOn w:val="1"/>
    <w:qFormat/>
    <w:uiPriority w:val="0"/>
    <w:pPr>
      <w:widowControl/>
      <w:autoSpaceDE w:val="0"/>
      <w:autoSpaceDN w:val="0"/>
      <w:adjustRightInd w:val="0"/>
      <w:spacing w:afterLines="30" w:line="500" w:lineRule="exact"/>
      <w:ind w:firstLine="200" w:firstLineChars="200"/>
    </w:pPr>
    <w:rPr>
      <w:rFonts w:ascii="宋体" w:hAnsi="宋体"/>
      <w:sz w:val="28"/>
      <w:szCs w:val="28"/>
    </w:rPr>
  </w:style>
  <w:style w:type="paragraph" w:customStyle="1" w:styleId="81">
    <w:name w:val="CM13"/>
    <w:basedOn w:val="71"/>
    <w:next w:val="71"/>
    <w:qFormat/>
    <w:uiPriority w:val="0"/>
    <w:pPr>
      <w:spacing w:line="671" w:lineRule="atLeast"/>
    </w:pPr>
    <w:rPr>
      <w:rFonts w:hAnsi="Calibri" w:cs="Times New Roman"/>
      <w:color w:val="auto"/>
    </w:rPr>
  </w:style>
  <w:style w:type="paragraph" w:customStyle="1" w:styleId="82">
    <w:name w:val="标题三"/>
    <w:basedOn w:val="1"/>
    <w:next w:val="1"/>
    <w:qFormat/>
    <w:uiPriority w:val="0"/>
    <w:pPr>
      <w:spacing w:line="360" w:lineRule="auto"/>
      <w:ind w:firstLine="200" w:firstLineChars="200"/>
      <w:outlineLvl w:val="2"/>
    </w:pPr>
    <w:rPr>
      <w:rFonts w:ascii="宋体" w:hAnsi="宋体" w:cs="宋体"/>
      <w:b/>
      <w:bCs/>
      <w:sz w:val="28"/>
      <w:szCs w:val="20"/>
    </w:rPr>
  </w:style>
  <w:style w:type="paragraph" w:customStyle="1" w:styleId="83">
    <w:name w:val="标题二"/>
    <w:basedOn w:val="1"/>
    <w:next w:val="1"/>
    <w:qFormat/>
    <w:uiPriority w:val="0"/>
    <w:pPr>
      <w:widowControl/>
      <w:tabs>
        <w:tab w:val="left" w:pos="1440"/>
      </w:tabs>
      <w:spacing w:line="360" w:lineRule="auto"/>
      <w:jc w:val="center"/>
      <w:outlineLvl w:val="1"/>
    </w:pPr>
    <w:rPr>
      <w:b/>
      <w:kern w:val="0"/>
      <w:sz w:val="32"/>
      <w:szCs w:val="32"/>
    </w:rPr>
  </w:style>
  <w:style w:type="paragraph" w:customStyle="1" w:styleId="84">
    <w:name w:val="样式 (西文) 宋体 四号 行距: 固定值 26 磅"/>
    <w:basedOn w:val="1"/>
    <w:qFormat/>
    <w:uiPriority w:val="0"/>
    <w:pPr>
      <w:spacing w:line="360" w:lineRule="auto"/>
      <w:ind w:firstLine="480" w:firstLineChars="200"/>
    </w:pPr>
    <w:rPr>
      <w:rFonts w:ascii="黑体" w:eastAsia="黑体"/>
      <w:color w:val="FF0000"/>
      <w:sz w:val="24"/>
    </w:rPr>
  </w:style>
  <w:style w:type="paragraph" w:customStyle="1" w:styleId="85">
    <w:name w:val="样式 样式2 + Times New Roman"/>
    <w:basedOn w:val="1"/>
    <w:link w:val="162"/>
    <w:qFormat/>
    <w:uiPriority w:val="0"/>
    <w:pPr>
      <w:tabs>
        <w:tab w:val="left" w:pos="7600"/>
      </w:tabs>
      <w:adjustRightInd w:val="0"/>
      <w:spacing w:line="500" w:lineRule="exact"/>
      <w:ind w:firstLine="560" w:firstLineChars="200"/>
    </w:pPr>
    <w:rPr>
      <w:sz w:val="28"/>
      <w:szCs w:val="28"/>
    </w:rPr>
  </w:style>
  <w:style w:type="paragraph" w:customStyle="1" w:styleId="86">
    <w:name w:val="CM39"/>
    <w:basedOn w:val="71"/>
    <w:next w:val="71"/>
    <w:qFormat/>
    <w:uiPriority w:val="0"/>
    <w:rPr>
      <w:rFonts w:hAnsi="Calibri" w:cs="Times New Roman"/>
      <w:color w:val="auto"/>
    </w:rPr>
  </w:style>
  <w:style w:type="paragraph" w:customStyle="1" w:styleId="87">
    <w:name w:val="CM21"/>
    <w:basedOn w:val="71"/>
    <w:next w:val="71"/>
    <w:qFormat/>
    <w:uiPriority w:val="0"/>
    <w:pPr>
      <w:spacing w:line="580" w:lineRule="atLeast"/>
    </w:pPr>
    <w:rPr>
      <w:rFonts w:hAnsi="Calibri" w:cs="Times New Roman"/>
      <w:color w:val="auto"/>
    </w:rPr>
  </w:style>
  <w:style w:type="paragraph" w:customStyle="1" w:styleId="88">
    <w:name w:val="小标"/>
    <w:basedOn w:val="1"/>
    <w:qFormat/>
    <w:uiPriority w:val="0"/>
    <w:rPr>
      <w:rFonts w:ascii="黑体" w:eastAsia="黑体"/>
      <w:spacing w:val="20"/>
      <w:szCs w:val="20"/>
    </w:rPr>
  </w:style>
  <w:style w:type="paragraph" w:customStyle="1" w:styleId="89">
    <w:name w:val="Char1"/>
    <w:basedOn w:val="1"/>
    <w:qFormat/>
    <w:uiPriority w:val="0"/>
    <w:rPr>
      <w:rFonts w:ascii="仿宋_GB2312" w:eastAsia="仿宋_GB2312"/>
      <w:b/>
      <w:sz w:val="32"/>
      <w:szCs w:val="32"/>
    </w:rPr>
  </w:style>
  <w:style w:type="paragraph" w:customStyle="1" w:styleId="90">
    <w:name w:val="Char Char Char1 Char Char Char Char"/>
    <w:basedOn w:val="1"/>
    <w:semiHidden/>
    <w:qFormat/>
    <w:uiPriority w:val="0"/>
  </w:style>
  <w:style w:type="paragraph" w:customStyle="1" w:styleId="91">
    <w:name w:val="CJJ3"/>
    <w:basedOn w:val="1"/>
    <w:qFormat/>
    <w:uiPriority w:val="0"/>
    <w:pPr>
      <w:spacing w:beforeLines="50" w:afterLines="50" w:line="360" w:lineRule="auto"/>
      <w:jc w:val="left"/>
      <w:outlineLvl w:val="2"/>
    </w:pPr>
    <w:rPr>
      <w:rFonts w:eastAsia="黑体"/>
      <w:sz w:val="28"/>
    </w:rPr>
  </w:style>
  <w:style w:type="paragraph" w:customStyle="1" w:styleId="92">
    <w:name w:val="CM16"/>
    <w:basedOn w:val="1"/>
    <w:next w:val="1"/>
    <w:qFormat/>
    <w:uiPriority w:val="0"/>
    <w:pPr>
      <w:autoSpaceDE w:val="0"/>
      <w:autoSpaceDN w:val="0"/>
      <w:adjustRightInd w:val="0"/>
      <w:spacing w:line="680" w:lineRule="atLeast"/>
      <w:jc w:val="left"/>
    </w:pPr>
    <w:rPr>
      <w:rFonts w:ascii="宋体" w:hAnsi="Calibri"/>
      <w:kern w:val="0"/>
      <w:sz w:val="24"/>
    </w:rPr>
  </w:style>
  <w:style w:type="paragraph" w:customStyle="1" w:styleId="9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4">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5">
    <w:name w:val="CM18"/>
    <w:basedOn w:val="71"/>
    <w:next w:val="71"/>
    <w:qFormat/>
    <w:uiPriority w:val="0"/>
    <w:pPr>
      <w:spacing w:line="640" w:lineRule="atLeast"/>
    </w:pPr>
    <w:rPr>
      <w:rFonts w:hAnsi="Calibri" w:cs="Times New Roman"/>
      <w:color w:val="auto"/>
    </w:rPr>
  </w:style>
  <w:style w:type="paragraph" w:customStyle="1" w:styleId="96">
    <w:name w:val="默认段落字体 Para Char"/>
    <w:basedOn w:val="1"/>
    <w:next w:val="1"/>
    <w:qFormat/>
    <w:uiPriority w:val="0"/>
    <w:pPr>
      <w:spacing w:line="360" w:lineRule="auto"/>
      <w:ind w:firstLine="200" w:firstLineChars="200"/>
    </w:pPr>
    <w:rPr>
      <w:rFonts w:ascii="宋体" w:hAnsi="宋体" w:cs="宋体"/>
      <w:sz w:val="24"/>
    </w:rPr>
  </w:style>
  <w:style w:type="paragraph" w:customStyle="1" w:styleId="97">
    <w:name w:val="正文文本1"/>
    <w:basedOn w:val="1"/>
    <w:link w:val="126"/>
    <w:qFormat/>
    <w:uiPriority w:val="0"/>
    <w:pPr>
      <w:shd w:val="clear" w:color="auto" w:fill="FFFFFF"/>
      <w:spacing w:before="240" w:line="464" w:lineRule="exact"/>
      <w:ind w:hanging="1640"/>
      <w:jc w:val="distribute"/>
    </w:pPr>
    <w:rPr>
      <w:rFonts w:ascii="MingLiU" w:hAnsi="MingLiU" w:eastAsia="MingLiU" w:cs="MingLiU"/>
      <w:sz w:val="22"/>
      <w:szCs w:val="22"/>
    </w:rPr>
  </w:style>
  <w:style w:type="paragraph" w:customStyle="1" w:styleId="98">
    <w:name w:val="列出段落1"/>
    <w:basedOn w:val="1"/>
    <w:qFormat/>
    <w:uiPriority w:val="0"/>
    <w:pPr>
      <w:ind w:firstLine="420" w:firstLineChars="200"/>
    </w:pPr>
    <w:rPr>
      <w:rFonts w:ascii="宋体" w:hAnsi="宋体"/>
      <w:sz w:val="32"/>
      <w:szCs w:val="32"/>
    </w:rPr>
  </w:style>
  <w:style w:type="paragraph" w:customStyle="1" w:styleId="99">
    <w:name w:val="简单回函地址"/>
    <w:basedOn w:val="1"/>
    <w:qFormat/>
    <w:uiPriority w:val="0"/>
    <w:rPr>
      <w:rFonts w:ascii="宋体" w:hAnsi="宋体"/>
      <w:sz w:val="32"/>
      <w:szCs w:val="32"/>
    </w:rPr>
  </w:style>
  <w:style w:type="paragraph" w:customStyle="1" w:styleId="100">
    <w:name w:val="正文1"/>
    <w:basedOn w:val="1"/>
    <w:next w:val="1"/>
    <w:qFormat/>
    <w:uiPriority w:val="0"/>
    <w:pPr>
      <w:adjustRightInd w:val="0"/>
      <w:snapToGrid w:val="0"/>
      <w:spacing w:line="360" w:lineRule="auto"/>
      <w:ind w:firstLine="200" w:firstLineChars="200"/>
    </w:pPr>
    <w:rPr>
      <w:rFonts w:ascii="宋体" w:hAnsi="Tahoma"/>
      <w:sz w:val="28"/>
      <w:szCs w:val="28"/>
    </w:rPr>
  </w:style>
  <w:style w:type="paragraph" w:customStyle="1" w:styleId="101">
    <w:name w:val="页脚1"/>
    <w:basedOn w:val="1"/>
    <w:link w:val="140"/>
    <w:qFormat/>
    <w:uiPriority w:val="0"/>
    <w:pPr>
      <w:tabs>
        <w:tab w:val="center" w:pos="4153"/>
        <w:tab w:val="right" w:pos="8306"/>
      </w:tabs>
      <w:snapToGrid w:val="0"/>
      <w:jc w:val="left"/>
    </w:pPr>
    <w:rPr>
      <w:rFonts w:eastAsia="Times New Roman"/>
      <w:kern w:val="0"/>
      <w:sz w:val="18"/>
      <w:szCs w:val="20"/>
    </w:rPr>
  </w:style>
  <w:style w:type="paragraph" w:customStyle="1" w:styleId="102">
    <w:name w:val="CM8"/>
    <w:basedOn w:val="71"/>
    <w:next w:val="71"/>
    <w:qFormat/>
    <w:uiPriority w:val="0"/>
    <w:pPr>
      <w:spacing w:line="618" w:lineRule="atLeast"/>
    </w:pPr>
    <w:rPr>
      <w:rFonts w:hAnsi="Calibri" w:cs="Times New Roman"/>
      <w:color w:val="auto"/>
    </w:rPr>
  </w:style>
  <w:style w:type="paragraph" w:customStyle="1" w:styleId="103">
    <w:name w:val="Char"/>
    <w:basedOn w:val="1"/>
    <w:qFormat/>
    <w:uiPriority w:val="0"/>
    <w:pPr>
      <w:spacing w:line="360" w:lineRule="auto"/>
      <w:ind w:firstLine="200" w:firstLineChars="200"/>
    </w:pPr>
    <w:rPr>
      <w:rFonts w:ascii="宋体" w:hAnsi="宋体" w:cs="宋体"/>
      <w:sz w:val="24"/>
    </w:rPr>
  </w:style>
  <w:style w:type="paragraph" w:customStyle="1" w:styleId="104">
    <w:name w:val="样式2"/>
    <w:basedOn w:val="1"/>
    <w:qFormat/>
    <w:uiPriority w:val="0"/>
    <w:pPr>
      <w:autoSpaceDE w:val="0"/>
      <w:autoSpaceDN w:val="0"/>
      <w:adjustRightInd w:val="0"/>
      <w:spacing w:line="360" w:lineRule="exact"/>
      <w:ind w:firstLine="550" w:firstLineChars="200"/>
      <w:textAlignment w:val="bottom"/>
    </w:pPr>
    <w:rPr>
      <w:rFonts w:ascii="宋体"/>
      <w:kern w:val="0"/>
      <w:sz w:val="28"/>
      <w:szCs w:val="20"/>
    </w:rPr>
  </w:style>
  <w:style w:type="paragraph" w:customStyle="1" w:styleId="105">
    <w:name w:val="默认段落字体 Para Char Char Char Char"/>
    <w:basedOn w:val="1"/>
    <w:qFormat/>
    <w:uiPriority w:val="0"/>
  </w:style>
  <w:style w:type="paragraph" w:customStyle="1" w:styleId="106">
    <w:name w:val="样式 标题 4 +"/>
    <w:basedOn w:val="5"/>
    <w:qFormat/>
    <w:uiPriority w:val="0"/>
    <w:pPr>
      <w:spacing w:beforeLines="50" w:afterLines="100" w:line="400" w:lineRule="exact"/>
      <w:jc w:val="center"/>
    </w:pPr>
    <w:rPr>
      <w:bCs w:val="0"/>
      <w:color w:val="000000"/>
      <w:szCs w:val="30"/>
    </w:rPr>
  </w:style>
  <w:style w:type="paragraph" w:customStyle="1" w:styleId="107">
    <w:name w:val="矿区含水层主要为第四系孔隙水及裂隙水。除雨季有微量构造裂隙水和岩溶裂隙水外，其余季节比较干燥无水。因此，矿区水文地质以裂隙充水为主要的水文地质条件简单的矿床。"/>
    <w:basedOn w:val="1"/>
    <w:qFormat/>
    <w:uiPriority w:val="0"/>
    <w:pPr>
      <w:spacing w:line="360" w:lineRule="auto"/>
      <w:ind w:firstLine="480" w:firstLineChars="200"/>
    </w:pPr>
    <w:rPr>
      <w:sz w:val="24"/>
    </w:rPr>
  </w:style>
  <w:style w:type="paragraph" w:customStyle="1" w:styleId="108">
    <w:name w:val="TOC 标题1"/>
    <w:basedOn w:val="2"/>
    <w:next w:val="1"/>
    <w:unhideWhenUsed/>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09">
    <w:name w:val="CM28"/>
    <w:basedOn w:val="1"/>
    <w:next w:val="1"/>
    <w:qFormat/>
    <w:uiPriority w:val="0"/>
    <w:pPr>
      <w:autoSpaceDE w:val="0"/>
      <w:autoSpaceDN w:val="0"/>
      <w:adjustRightInd w:val="0"/>
      <w:jc w:val="left"/>
    </w:pPr>
    <w:rPr>
      <w:rFonts w:ascii="宋体" w:hAnsi="Calibri"/>
      <w:kern w:val="0"/>
      <w:sz w:val="24"/>
    </w:rPr>
  </w:style>
  <w:style w:type="paragraph" w:customStyle="1" w:styleId="110">
    <w:name w:val="样式1"/>
    <w:basedOn w:val="1"/>
    <w:qFormat/>
    <w:uiPriority w:val="0"/>
    <w:pPr>
      <w:ind w:firstLine="560" w:firstLineChars="200"/>
    </w:pPr>
    <w:rPr>
      <w:rFonts w:ascii="宋体" w:hAnsi="宋体"/>
      <w:sz w:val="28"/>
    </w:rPr>
  </w:style>
  <w:style w:type="paragraph" w:customStyle="1" w:styleId="111">
    <w:name w:val="Char2"/>
    <w:basedOn w:val="1"/>
    <w:qFormat/>
    <w:uiPriority w:val="0"/>
    <w:pPr>
      <w:autoSpaceDE w:val="0"/>
      <w:autoSpaceDN w:val="0"/>
      <w:adjustRightInd w:val="0"/>
      <w:snapToGrid w:val="0"/>
      <w:spacing w:before="50" w:after="50" w:line="360" w:lineRule="auto"/>
      <w:ind w:firstLine="560" w:firstLineChars="200"/>
    </w:pPr>
    <w:rPr>
      <w:rFonts w:eastAsia="仿宋_GB2312"/>
      <w:color w:val="000000"/>
      <w:sz w:val="24"/>
      <w:szCs w:val="28"/>
    </w:rPr>
  </w:style>
  <w:style w:type="paragraph" w:customStyle="1" w:styleId="112">
    <w:name w:val="段落"/>
    <w:basedOn w:val="1"/>
    <w:qFormat/>
    <w:uiPriority w:val="0"/>
    <w:pPr>
      <w:spacing w:line="360" w:lineRule="auto"/>
      <w:ind w:firstLine="477" w:firstLineChars="200"/>
    </w:pPr>
    <w:rPr>
      <w:rFonts w:ascii="宋体" w:hAnsi="宋体"/>
      <w:sz w:val="24"/>
    </w:rPr>
  </w:style>
  <w:style w:type="paragraph" w:customStyle="1" w:styleId="113">
    <w:name w:val="样式 标题 2标题 2 Char标题 2 Char Char Char + 宋体 段前: 6 磅"/>
    <w:basedOn w:val="3"/>
    <w:qFormat/>
    <w:uiPriority w:val="0"/>
    <w:pPr>
      <w:spacing w:before="0" w:after="0" w:line="520" w:lineRule="exact"/>
      <w:jc w:val="left"/>
    </w:pPr>
    <w:rPr>
      <w:rFonts w:ascii="宋体" w:hAnsi="宋体" w:eastAsia="Times New Roman" w:cs="宋体"/>
      <w:sz w:val="28"/>
      <w:szCs w:val="20"/>
    </w:rPr>
  </w:style>
  <w:style w:type="paragraph" w:customStyle="1" w:styleId="114">
    <w:name w:val="CM33"/>
    <w:basedOn w:val="71"/>
    <w:next w:val="71"/>
    <w:qFormat/>
    <w:uiPriority w:val="0"/>
    <w:rPr>
      <w:rFonts w:hAnsi="Calibri" w:cs="Times New Roman"/>
      <w:color w:val="auto"/>
    </w:rPr>
  </w:style>
  <w:style w:type="paragraph" w:customStyle="1" w:styleId="115">
    <w:name w:val="样式11"/>
    <w:basedOn w:val="1"/>
    <w:qFormat/>
    <w:uiPriority w:val="0"/>
    <w:rPr>
      <w:szCs w:val="21"/>
    </w:rPr>
  </w:style>
  <w:style w:type="paragraph" w:customStyle="1" w:styleId="116">
    <w:name w:val="样式 首行缩进:  2 字符"/>
    <w:basedOn w:val="1"/>
    <w:qFormat/>
    <w:uiPriority w:val="0"/>
    <w:pPr>
      <w:spacing w:line="500" w:lineRule="exact"/>
      <w:ind w:firstLine="560" w:firstLineChars="200"/>
    </w:pPr>
    <w:rPr>
      <w:rFonts w:cs="宋体"/>
      <w:sz w:val="28"/>
      <w:szCs w:val="20"/>
    </w:rPr>
  </w:style>
  <w:style w:type="paragraph" w:customStyle="1" w:styleId="117">
    <w:name w:val="样式3"/>
    <w:basedOn w:val="1"/>
    <w:qFormat/>
    <w:uiPriority w:val="0"/>
    <w:pPr>
      <w:spacing w:afterLines="35"/>
      <w:jc w:val="center"/>
    </w:pPr>
    <w:rPr>
      <w:rFonts w:eastAsia="黑体"/>
      <w:sz w:val="24"/>
    </w:rPr>
  </w:style>
  <w:style w:type="paragraph" w:customStyle="1" w:styleId="118">
    <w:name w:val="p0"/>
    <w:basedOn w:val="1"/>
    <w:qFormat/>
    <w:uiPriority w:val="0"/>
    <w:pPr>
      <w:widowControl/>
    </w:pPr>
    <w:rPr>
      <w:kern w:val="0"/>
      <w:szCs w:val="21"/>
    </w:rPr>
  </w:style>
  <w:style w:type="paragraph" w:customStyle="1" w:styleId="119">
    <w:name w:val="样式 宋体 四号"/>
    <w:basedOn w:val="1"/>
    <w:qFormat/>
    <w:uiPriority w:val="0"/>
    <w:pPr>
      <w:spacing w:line="360" w:lineRule="auto"/>
      <w:ind w:firstLine="560" w:firstLineChars="200"/>
      <w:jc w:val="center"/>
    </w:pPr>
    <w:rPr>
      <w:rFonts w:hAnsi="宋体"/>
      <w:bCs/>
      <w:color w:val="000000"/>
      <w:sz w:val="28"/>
      <w:szCs w:val="28"/>
    </w:rPr>
  </w:style>
  <w:style w:type="paragraph" w:customStyle="1" w:styleId="120">
    <w:name w:val="CM15"/>
    <w:basedOn w:val="71"/>
    <w:next w:val="71"/>
    <w:qFormat/>
    <w:uiPriority w:val="0"/>
    <w:pPr>
      <w:spacing w:line="671" w:lineRule="atLeast"/>
    </w:pPr>
    <w:rPr>
      <w:rFonts w:hAnsi="Calibri" w:cs="Times New Roman"/>
      <w:color w:val="auto"/>
    </w:rPr>
  </w:style>
  <w:style w:type="paragraph" w:customStyle="1" w:styleId="121">
    <w:name w:val="样式 行距: 固定值 25 磅"/>
    <w:basedOn w:val="1"/>
    <w:link w:val="149"/>
    <w:qFormat/>
    <w:uiPriority w:val="0"/>
    <w:pPr>
      <w:spacing w:line="500" w:lineRule="exact"/>
      <w:ind w:firstLine="480" w:firstLineChars="200"/>
      <w:jc w:val="left"/>
    </w:pPr>
    <w:rPr>
      <w:rFonts w:cs="宋体"/>
      <w:sz w:val="24"/>
    </w:rPr>
  </w:style>
  <w:style w:type="paragraph" w:customStyle="1" w:styleId="122">
    <w:name w:val="样式 宋体 四号 行距: 固定值 24 磅"/>
    <w:basedOn w:val="1"/>
    <w:qFormat/>
    <w:uiPriority w:val="0"/>
    <w:pPr>
      <w:spacing w:line="460" w:lineRule="exact"/>
      <w:ind w:firstLine="480" w:firstLineChars="200"/>
    </w:pPr>
    <w:rPr>
      <w:rFonts w:hAnsi="宋体" w:cs="宋体"/>
      <w:sz w:val="24"/>
    </w:rPr>
  </w:style>
  <w:style w:type="paragraph" w:customStyle="1" w:styleId="123">
    <w:name w:val="样式4"/>
    <w:basedOn w:val="1"/>
    <w:qFormat/>
    <w:uiPriority w:val="0"/>
    <w:pPr>
      <w:spacing w:line="360" w:lineRule="exact"/>
      <w:jc w:val="center"/>
    </w:pPr>
    <w:rPr>
      <w:szCs w:val="21"/>
    </w:rPr>
  </w:style>
  <w:style w:type="paragraph" w:customStyle="1" w:styleId="124">
    <w:name w:val="正文文本 (6)"/>
    <w:basedOn w:val="1"/>
    <w:link w:val="175"/>
    <w:qFormat/>
    <w:uiPriority w:val="0"/>
    <w:pPr>
      <w:shd w:val="clear" w:color="auto" w:fill="FFFFFF"/>
      <w:spacing w:before="60" w:after="60" w:line="0" w:lineRule="atLeast"/>
    </w:pPr>
    <w:rPr>
      <w:rFonts w:ascii="MingLiU" w:hAnsi="MingLiU" w:eastAsia="MingLiU" w:cs="MingLiU"/>
      <w:b/>
      <w:bCs/>
      <w:sz w:val="23"/>
      <w:szCs w:val="23"/>
    </w:rPr>
  </w:style>
  <w:style w:type="character" w:customStyle="1" w:styleId="125">
    <w:name w:val="正文文本 + 间距 0 pt"/>
    <w:basedOn w:val="126"/>
    <w:qFormat/>
    <w:uiPriority w:val="0"/>
    <w:rPr>
      <w:color w:val="000000"/>
      <w:spacing w:val="-10"/>
      <w:w w:val="100"/>
      <w:position w:val="0"/>
      <w:lang w:val="zh-TW"/>
    </w:rPr>
  </w:style>
  <w:style w:type="character" w:customStyle="1" w:styleId="126">
    <w:name w:val="正文文本_"/>
    <w:basedOn w:val="53"/>
    <w:link w:val="97"/>
    <w:qFormat/>
    <w:uiPriority w:val="0"/>
    <w:rPr>
      <w:rFonts w:ascii="MingLiU" w:hAnsi="MingLiU" w:eastAsia="MingLiU" w:cs="MingLiU"/>
      <w:sz w:val="22"/>
      <w:szCs w:val="22"/>
      <w:u w:val="none"/>
    </w:rPr>
  </w:style>
  <w:style w:type="character" w:customStyle="1" w:styleId="127">
    <w:name w:val="标题 #3_"/>
    <w:basedOn w:val="53"/>
    <w:link w:val="64"/>
    <w:qFormat/>
    <w:uiPriority w:val="0"/>
    <w:rPr>
      <w:rFonts w:ascii="MingLiU" w:hAnsi="MingLiU" w:eastAsia="MingLiU" w:cs="MingLiU"/>
      <w:sz w:val="26"/>
      <w:szCs w:val="26"/>
      <w:u w:val="none"/>
    </w:rPr>
  </w:style>
  <w:style w:type="character" w:customStyle="1" w:styleId="128">
    <w:name w:val="标题 #3 + 间距 2 pt"/>
    <w:basedOn w:val="127"/>
    <w:qFormat/>
    <w:uiPriority w:val="0"/>
    <w:rPr>
      <w:color w:val="000000"/>
      <w:spacing w:val="40"/>
      <w:w w:val="100"/>
      <w:position w:val="0"/>
      <w:lang w:val="zh-TW"/>
    </w:rPr>
  </w:style>
  <w:style w:type="character" w:customStyle="1" w:styleId="129">
    <w:name w:val="样式 四号"/>
    <w:basedOn w:val="53"/>
    <w:qFormat/>
    <w:uiPriority w:val="0"/>
    <w:rPr>
      <w:rFonts w:ascii="Times New Roman" w:hAnsi="Times New Roman" w:eastAsia="宋体"/>
      <w:kern w:val="0"/>
      <w:sz w:val="28"/>
      <w:szCs w:val="28"/>
    </w:rPr>
  </w:style>
  <w:style w:type="character" w:customStyle="1" w:styleId="130">
    <w:name w:val="正文文本 + AngsanaUPC"/>
    <w:basedOn w:val="126"/>
    <w:qFormat/>
    <w:uiPriority w:val="0"/>
    <w:rPr>
      <w:rFonts w:ascii="AngsanaUPC" w:hAnsi="AngsanaUPC" w:eastAsia="AngsanaUPC" w:cs="AngsanaUPC"/>
      <w:color w:val="000000"/>
      <w:spacing w:val="0"/>
      <w:w w:val="100"/>
      <w:position w:val="0"/>
      <w:sz w:val="36"/>
      <w:szCs w:val="36"/>
      <w:lang w:val="en-US"/>
    </w:rPr>
  </w:style>
  <w:style w:type="character" w:customStyle="1" w:styleId="131">
    <w:name w:val="正文（首行缩进两字） Char Char Char Char"/>
    <w:basedOn w:val="53"/>
    <w:qFormat/>
    <w:uiPriority w:val="0"/>
    <w:rPr>
      <w:rFonts w:ascii="宋体" w:hAnsi="宋体"/>
      <w:kern w:val="2"/>
      <w:sz w:val="32"/>
      <w:szCs w:val="32"/>
    </w:rPr>
  </w:style>
  <w:style w:type="character" w:customStyle="1" w:styleId="132">
    <w:name w:val="纯文本 Char1 Char"/>
    <w:basedOn w:val="53"/>
    <w:qFormat/>
    <w:uiPriority w:val="0"/>
    <w:rPr>
      <w:rFonts w:ascii="宋体" w:hAnsi="Courier New" w:eastAsia="宋体"/>
      <w:kern w:val="2"/>
      <w:sz w:val="21"/>
      <w:lang w:val="en-US" w:eastAsia="zh-CN" w:bidi="ar-SA"/>
    </w:rPr>
  </w:style>
  <w:style w:type="character" w:customStyle="1" w:styleId="133">
    <w:name w:val="正文文本缩进 3 Char"/>
    <w:basedOn w:val="53"/>
    <w:link w:val="44"/>
    <w:qFormat/>
    <w:uiPriority w:val="0"/>
    <w:rPr>
      <w:rFonts w:eastAsia="宋体"/>
      <w:kern w:val="2"/>
      <w:sz w:val="16"/>
      <w:szCs w:val="16"/>
      <w:lang w:val="en-US" w:eastAsia="zh-CN" w:bidi="ar-SA"/>
    </w:rPr>
  </w:style>
  <w:style w:type="character" w:customStyle="1" w:styleId="134">
    <w:name w:val="正文文本 Char"/>
    <w:basedOn w:val="53"/>
    <w:link w:val="16"/>
    <w:qFormat/>
    <w:uiPriority w:val="0"/>
    <w:rPr>
      <w:rFonts w:eastAsia="宋体"/>
      <w:kern w:val="2"/>
      <w:sz w:val="21"/>
      <w:szCs w:val="24"/>
      <w:lang w:val="en-US" w:eastAsia="zh-CN" w:bidi="ar-SA"/>
    </w:rPr>
  </w:style>
  <w:style w:type="character" w:customStyle="1" w:styleId="135">
    <w:name w:val="批注文字 Char"/>
    <w:basedOn w:val="53"/>
    <w:link w:val="13"/>
    <w:qFormat/>
    <w:uiPriority w:val="0"/>
    <w:rPr>
      <w:rFonts w:eastAsia="宋体"/>
      <w:kern w:val="2"/>
      <w:sz w:val="18"/>
      <w:szCs w:val="18"/>
      <w:lang w:val="en-US" w:eastAsia="zh-CN" w:bidi="ar-SA"/>
    </w:rPr>
  </w:style>
  <w:style w:type="character" w:customStyle="1" w:styleId="136">
    <w:name w:val="content1"/>
    <w:basedOn w:val="53"/>
    <w:qFormat/>
    <w:uiPriority w:val="0"/>
    <w:rPr>
      <w:color w:val="000000"/>
      <w:sz w:val="21"/>
      <w:szCs w:val="21"/>
    </w:rPr>
  </w:style>
  <w:style w:type="character" w:customStyle="1" w:styleId="137">
    <w:name w:val="dec_font_style1"/>
    <w:basedOn w:val="53"/>
    <w:qFormat/>
    <w:uiPriority w:val="0"/>
    <w:rPr>
      <w:sz w:val="21"/>
      <w:szCs w:val="21"/>
    </w:rPr>
  </w:style>
  <w:style w:type="character" w:customStyle="1" w:styleId="138">
    <w:name w:val="标题 4 Char"/>
    <w:basedOn w:val="53"/>
    <w:link w:val="5"/>
    <w:qFormat/>
    <w:uiPriority w:val="0"/>
    <w:rPr>
      <w:rFonts w:ascii="宋体" w:hAnsi="宋体" w:eastAsia="宋体"/>
      <w:b/>
      <w:bCs/>
      <w:kern w:val="2"/>
      <w:sz w:val="28"/>
      <w:szCs w:val="28"/>
      <w:lang w:val="en-US" w:eastAsia="zh-CN" w:bidi="ar-SA"/>
    </w:rPr>
  </w:style>
  <w:style w:type="character" w:customStyle="1" w:styleId="139">
    <w:name w:val="标题 2 Char Char Char Char Char"/>
    <w:basedOn w:val="53"/>
    <w:qFormat/>
    <w:uiPriority w:val="0"/>
    <w:rPr>
      <w:rFonts w:ascii="Arial" w:hAnsi="Arial" w:eastAsia="Times New Roman"/>
      <w:b/>
      <w:bCs/>
      <w:kern w:val="2"/>
      <w:sz w:val="28"/>
      <w:szCs w:val="32"/>
    </w:rPr>
  </w:style>
  <w:style w:type="character" w:customStyle="1" w:styleId="140">
    <w:name w:val="Footer Char"/>
    <w:basedOn w:val="53"/>
    <w:link w:val="101"/>
    <w:qFormat/>
    <w:uiPriority w:val="0"/>
    <w:rPr>
      <w:sz w:val="18"/>
      <w:lang w:bidi="ar-SA"/>
    </w:rPr>
  </w:style>
  <w:style w:type="character" w:customStyle="1" w:styleId="141">
    <w:name w:val="标题 1 Char1"/>
    <w:link w:val="2"/>
    <w:qFormat/>
    <w:uiPriority w:val="0"/>
    <w:rPr>
      <w:rFonts w:eastAsia="宋体"/>
      <w:b/>
      <w:bCs/>
      <w:kern w:val="44"/>
      <w:sz w:val="44"/>
      <w:szCs w:val="44"/>
      <w:lang w:val="en-US" w:eastAsia="zh-CN" w:bidi="ar-SA"/>
    </w:rPr>
  </w:style>
  <w:style w:type="character" w:customStyle="1" w:styleId="142">
    <w:name w:val="Char Char17"/>
    <w:basedOn w:val="53"/>
    <w:qFormat/>
    <w:uiPriority w:val="0"/>
    <w:rPr>
      <w:rFonts w:ascii="宋体" w:hAnsi="宋体" w:eastAsia="宋体" w:cs="Times New Roman"/>
      <w:b/>
      <w:bCs/>
      <w:sz w:val="32"/>
      <w:szCs w:val="32"/>
    </w:rPr>
  </w:style>
  <w:style w:type="character" w:customStyle="1" w:styleId="143">
    <w:name w:val="正文文本 (2)_"/>
    <w:basedOn w:val="53"/>
    <w:link w:val="73"/>
    <w:qFormat/>
    <w:uiPriority w:val="0"/>
    <w:rPr>
      <w:rFonts w:ascii="MS Mincho" w:hAnsi="MS Mincho" w:eastAsia="MS Mincho" w:cs="MS Mincho"/>
      <w:sz w:val="23"/>
      <w:szCs w:val="23"/>
      <w:u w:val="none"/>
      <w:lang w:val="en-US"/>
    </w:rPr>
  </w:style>
  <w:style w:type="character" w:customStyle="1" w:styleId="144">
    <w:name w:val="页眉 Char"/>
    <w:basedOn w:val="53"/>
    <w:link w:val="37"/>
    <w:qFormat/>
    <w:uiPriority w:val="0"/>
    <w:rPr>
      <w:rFonts w:eastAsia="宋体"/>
      <w:kern w:val="2"/>
      <w:sz w:val="18"/>
      <w:szCs w:val="18"/>
      <w:lang w:val="en-US" w:eastAsia="zh-CN" w:bidi="ar-SA"/>
    </w:rPr>
  </w:style>
  <w:style w:type="character" w:customStyle="1" w:styleId="145">
    <w:name w:val="Char Char18"/>
    <w:basedOn w:val="53"/>
    <w:qFormat/>
    <w:uiPriority w:val="0"/>
    <w:rPr>
      <w:rFonts w:ascii="宋体" w:hAnsi="Times New Roman" w:eastAsia="宋体" w:cs="Times New Roman"/>
      <w:b/>
      <w:bCs/>
      <w:kern w:val="44"/>
      <w:sz w:val="32"/>
      <w:szCs w:val="44"/>
    </w:rPr>
  </w:style>
  <w:style w:type="character" w:customStyle="1" w:styleId="146">
    <w:name w:val="标题 2 Char"/>
    <w:basedOn w:val="53"/>
    <w:link w:val="3"/>
    <w:qFormat/>
    <w:uiPriority w:val="0"/>
    <w:rPr>
      <w:rFonts w:ascii="Arial" w:hAnsi="Arial" w:eastAsia="黑体"/>
      <w:b/>
      <w:bCs/>
      <w:kern w:val="2"/>
      <w:sz w:val="32"/>
      <w:szCs w:val="32"/>
      <w:lang w:val="en-US" w:eastAsia="zh-CN" w:bidi="ar-SA"/>
    </w:rPr>
  </w:style>
  <w:style w:type="character" w:customStyle="1" w:styleId="147">
    <w:name w:val="批注框文本 Char"/>
    <w:basedOn w:val="53"/>
    <w:link w:val="34"/>
    <w:semiHidden/>
    <w:qFormat/>
    <w:uiPriority w:val="0"/>
    <w:rPr>
      <w:rFonts w:ascii="宋体" w:hAnsi="宋体" w:eastAsia="宋体"/>
      <w:kern w:val="2"/>
      <w:sz w:val="18"/>
      <w:szCs w:val="18"/>
      <w:lang w:val="en-US" w:eastAsia="zh-CN" w:bidi="ar-SA"/>
    </w:rPr>
  </w:style>
  <w:style w:type="character" w:customStyle="1" w:styleId="148">
    <w:name w:val="Char Char14"/>
    <w:basedOn w:val="53"/>
    <w:qFormat/>
    <w:uiPriority w:val="0"/>
    <w:rPr>
      <w:sz w:val="18"/>
      <w:szCs w:val="18"/>
    </w:rPr>
  </w:style>
  <w:style w:type="character" w:customStyle="1" w:styleId="149">
    <w:name w:val="样式 行距: 固定值 25 磅 Char Char"/>
    <w:basedOn w:val="53"/>
    <w:link w:val="121"/>
    <w:qFormat/>
    <w:uiPriority w:val="0"/>
    <w:rPr>
      <w:rFonts w:eastAsia="宋体" w:cs="宋体"/>
      <w:kern w:val="2"/>
      <w:sz w:val="24"/>
      <w:szCs w:val="24"/>
      <w:lang w:val="en-US" w:eastAsia="zh-CN" w:bidi="ar-SA"/>
    </w:rPr>
  </w:style>
  <w:style w:type="character" w:customStyle="1" w:styleId="150">
    <w:name w:val="页脚 Char"/>
    <w:basedOn w:val="53"/>
    <w:qFormat/>
    <w:uiPriority w:val="0"/>
    <w:rPr>
      <w:rFonts w:eastAsia="宋体"/>
      <w:kern w:val="2"/>
      <w:sz w:val="18"/>
      <w:szCs w:val="18"/>
      <w:lang w:val="en-US" w:eastAsia="zh-CN" w:bidi="ar-SA"/>
    </w:rPr>
  </w:style>
  <w:style w:type="character" w:customStyle="1" w:styleId="151">
    <w:name w:val="正文文本 + 10.5 pt"/>
    <w:basedOn w:val="126"/>
    <w:qFormat/>
    <w:uiPriority w:val="0"/>
    <w:rPr>
      <w:color w:val="000000"/>
      <w:spacing w:val="10"/>
      <w:w w:val="100"/>
      <w:position w:val="0"/>
      <w:sz w:val="21"/>
      <w:szCs w:val="21"/>
      <w:lang w:val="zh-TW"/>
    </w:rPr>
  </w:style>
  <w:style w:type="character" w:customStyle="1" w:styleId="152">
    <w:name w:val="页脚 Char1"/>
    <w:basedOn w:val="53"/>
    <w:link w:val="35"/>
    <w:qFormat/>
    <w:uiPriority w:val="0"/>
    <w:rPr>
      <w:rFonts w:eastAsia="宋体"/>
      <w:kern w:val="2"/>
      <w:sz w:val="18"/>
      <w:szCs w:val="18"/>
      <w:lang w:val="en-US" w:eastAsia="zh-CN" w:bidi="ar-SA"/>
    </w:rPr>
  </w:style>
  <w:style w:type="character" w:customStyle="1" w:styleId="153">
    <w:name w:val="Char Char13"/>
    <w:basedOn w:val="53"/>
    <w:qFormat/>
    <w:uiPriority w:val="0"/>
    <w:rPr>
      <w:sz w:val="18"/>
      <w:szCs w:val="18"/>
    </w:rPr>
  </w:style>
  <w:style w:type="character" w:customStyle="1" w:styleId="154">
    <w:name w:val="标题 5 Char"/>
    <w:basedOn w:val="53"/>
    <w:link w:val="6"/>
    <w:qFormat/>
    <w:uiPriority w:val="0"/>
    <w:rPr>
      <w:rFonts w:eastAsia="宋体"/>
      <w:b/>
      <w:bCs/>
      <w:kern w:val="2"/>
      <w:sz w:val="28"/>
      <w:szCs w:val="28"/>
      <w:lang w:val="en-US" w:eastAsia="zh-CN" w:bidi="ar-SA"/>
    </w:rPr>
  </w:style>
  <w:style w:type="character" w:customStyle="1" w:styleId="155">
    <w:name w:val="HTML 预设格式 Char"/>
    <w:basedOn w:val="53"/>
    <w:link w:val="50"/>
    <w:qFormat/>
    <w:uiPriority w:val="0"/>
    <w:rPr>
      <w:rFonts w:ascii="Arial" w:hAnsi="Arial" w:eastAsia="黑体"/>
      <w:b/>
      <w:bCs/>
      <w:kern w:val="2"/>
      <w:sz w:val="32"/>
      <w:szCs w:val="32"/>
      <w:lang w:val="en-US" w:eastAsia="zh-CN" w:bidi="ar-SA"/>
    </w:rPr>
  </w:style>
  <w:style w:type="character" w:customStyle="1" w:styleId="156">
    <w:name w:val="正文首行缩进 2 Char"/>
    <w:link w:val="36"/>
    <w:qFormat/>
    <w:uiPriority w:val="0"/>
    <w:rPr>
      <w:rFonts w:eastAsia="宋体"/>
      <w:b/>
      <w:bCs/>
      <w:kern w:val="44"/>
      <w:sz w:val="44"/>
      <w:szCs w:val="44"/>
      <w:lang w:val="en-US" w:eastAsia="zh-CN" w:bidi="ar-SA"/>
    </w:rPr>
  </w:style>
  <w:style w:type="character" w:customStyle="1" w:styleId="157">
    <w:name w:val="标题 1 Char"/>
    <w:qFormat/>
    <w:uiPriority w:val="0"/>
    <w:rPr>
      <w:rFonts w:eastAsia="宋体"/>
      <w:b/>
      <w:bCs/>
      <w:kern w:val="44"/>
      <w:sz w:val="44"/>
      <w:szCs w:val="44"/>
      <w:lang w:val="en-US" w:eastAsia="zh-CN" w:bidi="ar-SA"/>
    </w:rPr>
  </w:style>
  <w:style w:type="character" w:customStyle="1" w:styleId="158">
    <w:name w:val="普通文字 Char"/>
    <w:basedOn w:val="53"/>
    <w:qFormat/>
    <w:uiPriority w:val="0"/>
    <w:rPr>
      <w:rFonts w:ascii="宋体" w:hAnsi="Courier New" w:cs="Courier New"/>
      <w:kern w:val="2"/>
      <w:sz w:val="21"/>
      <w:szCs w:val="21"/>
    </w:rPr>
  </w:style>
  <w:style w:type="character" w:customStyle="1" w:styleId="159">
    <w:name w:val="正文文本 + MS Mincho"/>
    <w:basedOn w:val="126"/>
    <w:qFormat/>
    <w:uiPriority w:val="0"/>
    <w:rPr>
      <w:rFonts w:ascii="MS Mincho" w:hAnsi="MS Mincho" w:eastAsia="MS Mincho" w:cs="MS Mincho"/>
      <w:color w:val="000000"/>
      <w:spacing w:val="0"/>
      <w:w w:val="100"/>
      <w:position w:val="0"/>
      <w:lang w:val="en-US"/>
    </w:rPr>
  </w:style>
  <w:style w:type="character" w:customStyle="1" w:styleId="160">
    <w:name w:val="正文文本 (2) + MingLiU"/>
    <w:basedOn w:val="143"/>
    <w:qFormat/>
    <w:uiPriority w:val="0"/>
    <w:rPr>
      <w:rFonts w:ascii="MingLiU" w:hAnsi="MingLiU" w:eastAsia="MingLiU" w:cs="MingLiU"/>
      <w:color w:val="000000"/>
      <w:spacing w:val="0"/>
      <w:w w:val="100"/>
      <w:position w:val="0"/>
      <w:sz w:val="22"/>
      <w:szCs w:val="22"/>
      <w:lang w:val="zh-TW"/>
    </w:rPr>
  </w:style>
  <w:style w:type="character" w:customStyle="1" w:styleId="161">
    <w:name w:val="正文文本 + SimHei"/>
    <w:basedOn w:val="126"/>
    <w:qFormat/>
    <w:uiPriority w:val="0"/>
    <w:rPr>
      <w:rFonts w:ascii="黑体" w:hAnsi="黑体" w:eastAsia="黑体" w:cs="黑体"/>
      <w:i/>
      <w:iCs/>
      <w:color w:val="000000"/>
      <w:spacing w:val="0"/>
      <w:w w:val="100"/>
      <w:position w:val="0"/>
      <w:lang w:val="en-US"/>
    </w:rPr>
  </w:style>
  <w:style w:type="character" w:customStyle="1" w:styleId="162">
    <w:name w:val="样式 样式2 + Times New Roman Char"/>
    <w:basedOn w:val="53"/>
    <w:link w:val="85"/>
    <w:qFormat/>
    <w:uiPriority w:val="0"/>
    <w:rPr>
      <w:rFonts w:eastAsia="宋体"/>
      <w:kern w:val="2"/>
      <w:sz w:val="28"/>
      <w:szCs w:val="28"/>
      <w:lang w:val="en-US" w:eastAsia="zh-CN" w:bidi="ar-SA"/>
    </w:rPr>
  </w:style>
  <w:style w:type="character" w:customStyle="1" w:styleId="163">
    <w:name w:val="文档结构图 Char"/>
    <w:basedOn w:val="53"/>
    <w:link w:val="21"/>
    <w:semiHidden/>
    <w:qFormat/>
    <w:uiPriority w:val="0"/>
    <w:rPr>
      <w:rFonts w:eastAsia="宋体"/>
      <w:kern w:val="2"/>
      <w:sz w:val="21"/>
      <w:szCs w:val="24"/>
      <w:lang w:val="en-US" w:eastAsia="zh-CN" w:bidi="ar-SA"/>
    </w:rPr>
  </w:style>
  <w:style w:type="character" w:customStyle="1" w:styleId="164">
    <w:name w:val="正文缩进 Char"/>
    <w:basedOn w:val="53"/>
    <w:link w:val="18"/>
    <w:qFormat/>
    <w:uiPriority w:val="0"/>
    <w:rPr>
      <w:rFonts w:ascii="宋体" w:hAnsi="宋体" w:eastAsia="宋体"/>
      <w:color w:val="000000"/>
      <w:kern w:val="2"/>
      <w:sz w:val="28"/>
      <w:szCs w:val="28"/>
      <w:lang w:val="en-US" w:eastAsia="zh-CN" w:bidi="ar-SA"/>
    </w:rPr>
  </w:style>
  <w:style w:type="character" w:customStyle="1" w:styleId="165">
    <w:name w:val="日期 Char"/>
    <w:basedOn w:val="53"/>
    <w:link w:val="32"/>
    <w:semiHidden/>
    <w:qFormat/>
    <w:uiPriority w:val="0"/>
    <w:rPr>
      <w:rFonts w:eastAsia="宋体"/>
      <w:kern w:val="2"/>
      <w:sz w:val="21"/>
      <w:szCs w:val="24"/>
      <w:lang w:val="en-US" w:eastAsia="zh-CN" w:bidi="ar-SA"/>
    </w:rPr>
  </w:style>
  <w:style w:type="character" w:customStyle="1" w:styleId="166">
    <w:name w:val="正文文本缩进 2 Char"/>
    <w:basedOn w:val="53"/>
    <w:link w:val="33"/>
    <w:qFormat/>
    <w:uiPriority w:val="0"/>
    <w:rPr>
      <w:rFonts w:ascii="宋体" w:hAnsi="宋体" w:eastAsia="宋体"/>
      <w:kern w:val="2"/>
      <w:sz w:val="28"/>
      <w:szCs w:val="24"/>
      <w:lang w:val="en-US" w:eastAsia="zh-CN" w:bidi="ar-SA"/>
    </w:rPr>
  </w:style>
  <w:style w:type="character" w:customStyle="1" w:styleId="167">
    <w:name w:val="style21"/>
    <w:basedOn w:val="53"/>
    <w:qFormat/>
    <w:uiPriority w:val="0"/>
    <w:rPr>
      <w:color w:val="666666"/>
      <w:sz w:val="24"/>
      <w:szCs w:val="24"/>
    </w:rPr>
  </w:style>
  <w:style w:type="character" w:customStyle="1" w:styleId="168">
    <w:name w:val="标题 3 Char"/>
    <w:basedOn w:val="53"/>
    <w:link w:val="4"/>
    <w:qFormat/>
    <w:locked/>
    <w:uiPriority w:val="0"/>
    <w:rPr>
      <w:rFonts w:eastAsia="宋体"/>
      <w:b/>
      <w:bCs/>
      <w:kern w:val="2"/>
      <w:sz w:val="32"/>
      <w:szCs w:val="32"/>
      <w:lang w:val="en-US" w:eastAsia="zh-CN" w:bidi="ar-SA"/>
    </w:rPr>
  </w:style>
  <w:style w:type="character" w:customStyle="1" w:styleId="169">
    <w:name w:val="正文文本缩进 Char"/>
    <w:basedOn w:val="53"/>
    <w:link w:val="23"/>
    <w:qFormat/>
    <w:uiPriority w:val="0"/>
    <w:rPr>
      <w:rFonts w:eastAsia="宋体"/>
      <w:kern w:val="2"/>
      <w:sz w:val="28"/>
      <w:szCs w:val="24"/>
      <w:lang w:val="en-US" w:eastAsia="zh-CN" w:bidi="ar-SA"/>
    </w:rPr>
  </w:style>
  <w:style w:type="character" w:customStyle="1" w:styleId="170">
    <w:name w:val="正文（首行缩进两字） Char Char"/>
    <w:basedOn w:val="53"/>
    <w:qFormat/>
    <w:uiPriority w:val="0"/>
    <w:rPr>
      <w:rFonts w:ascii="宋体" w:hAnsi="宋体" w:eastAsia="宋体"/>
      <w:kern w:val="2"/>
      <w:sz w:val="21"/>
      <w:lang w:val="en-US" w:eastAsia="zh-CN" w:bidi="ar-SA"/>
    </w:rPr>
  </w:style>
  <w:style w:type="character" w:customStyle="1" w:styleId="171">
    <w:name w:val="纯文本 Char"/>
    <w:basedOn w:val="53"/>
    <w:link w:val="29"/>
    <w:semiHidden/>
    <w:qFormat/>
    <w:uiPriority w:val="0"/>
    <w:rPr>
      <w:rFonts w:ascii="宋体" w:hAnsi="Courier New" w:eastAsia="宋体" w:cs="Courier New"/>
      <w:kern w:val="2"/>
      <w:sz w:val="21"/>
      <w:szCs w:val="21"/>
      <w:lang w:val="en-US" w:eastAsia="zh-CN" w:bidi="ar-SA"/>
    </w:rPr>
  </w:style>
  <w:style w:type="character" w:customStyle="1" w:styleId="172">
    <w:name w:val="Char Char"/>
    <w:basedOn w:val="53"/>
    <w:qFormat/>
    <w:uiPriority w:val="0"/>
    <w:rPr>
      <w:rFonts w:eastAsia="宋体"/>
      <w:kern w:val="2"/>
      <w:sz w:val="18"/>
      <w:szCs w:val="18"/>
      <w:lang w:val="en-US" w:eastAsia="zh-CN" w:bidi="ar-SA"/>
    </w:rPr>
  </w:style>
  <w:style w:type="character" w:customStyle="1" w:styleId="173">
    <w:name w:val="正文文本 + 8 pt"/>
    <w:basedOn w:val="126"/>
    <w:qFormat/>
    <w:uiPriority w:val="0"/>
    <w:rPr>
      <w:color w:val="000000"/>
      <w:spacing w:val="10"/>
      <w:w w:val="100"/>
      <w:position w:val="0"/>
      <w:sz w:val="16"/>
      <w:szCs w:val="16"/>
      <w:lang w:val="zh-TW"/>
    </w:rPr>
  </w:style>
  <w:style w:type="character" w:customStyle="1" w:styleId="174">
    <w:name w:val="正文文本 (6) + AngsanaUPC"/>
    <w:basedOn w:val="175"/>
    <w:qFormat/>
    <w:uiPriority w:val="0"/>
    <w:rPr>
      <w:rFonts w:ascii="AngsanaUPC" w:hAnsi="AngsanaUPC" w:eastAsia="AngsanaUPC" w:cs="AngsanaUPC"/>
      <w:color w:val="000000"/>
      <w:spacing w:val="0"/>
      <w:w w:val="100"/>
      <w:position w:val="0"/>
      <w:sz w:val="38"/>
      <w:szCs w:val="38"/>
      <w:lang w:val="zh-CN"/>
    </w:rPr>
  </w:style>
  <w:style w:type="character" w:customStyle="1" w:styleId="175">
    <w:name w:val="正文文本 (6)_"/>
    <w:basedOn w:val="53"/>
    <w:link w:val="124"/>
    <w:qFormat/>
    <w:uiPriority w:val="0"/>
    <w:rPr>
      <w:rFonts w:ascii="MingLiU" w:hAnsi="MingLiU" w:eastAsia="MingLiU" w:cs="MingLiU"/>
      <w:b/>
      <w:bCs/>
      <w:sz w:val="23"/>
      <w:szCs w:val="23"/>
      <w:u w:val="none"/>
    </w:rPr>
  </w:style>
  <w:style w:type="character" w:customStyle="1" w:styleId="176">
    <w:name w:val="正文文本 (6) + 11 pt"/>
    <w:basedOn w:val="175"/>
    <w:qFormat/>
    <w:uiPriority w:val="0"/>
    <w:rPr>
      <w:color w:val="000000"/>
      <w:spacing w:val="0"/>
      <w:w w:val="100"/>
      <w:position w:val="0"/>
      <w:sz w:val="22"/>
      <w:szCs w:val="22"/>
      <w:lang w:val="zh-CN"/>
    </w:rPr>
  </w:style>
  <w:style w:type="character" w:customStyle="1" w:styleId="177">
    <w:name w:val="标题 #3 + 间距 4 pt"/>
    <w:basedOn w:val="127"/>
    <w:qFormat/>
    <w:uiPriority w:val="0"/>
    <w:rPr>
      <w:color w:val="000000"/>
      <w:spacing w:val="80"/>
      <w:w w:val="100"/>
      <w:position w:val="0"/>
      <w:lang w:val="zh-TW"/>
    </w:rPr>
  </w:style>
  <w:style w:type="character" w:customStyle="1" w:styleId="178">
    <w:name w:val="正文文本 + 间距 1 pt"/>
    <w:basedOn w:val="126"/>
    <w:qFormat/>
    <w:uiPriority w:val="0"/>
    <w:rPr>
      <w:color w:val="000000"/>
      <w:spacing w:val="30"/>
      <w:w w:val="100"/>
      <w:position w:val="0"/>
      <w:lang w:val="zh-TW"/>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5121"/>
    <customShpInfo spid="_x0000_s5122"/>
    <customShpInfo spid="_x0000_s1138"/>
    <customShpInfo spid="_x0000_s1139"/>
    <customShpInfo spid="_x0000_s1119"/>
    <customShpInfo spid="_x0000_s1124"/>
    <customShpInfo spid="_x0000_s1120"/>
    <customShpInfo spid="_x0000_s1126"/>
    <customShpInfo spid="_x0000_s1137"/>
    <customShpInfo spid="_x0000_s1135"/>
    <customShpInfo spid="_x0000_s1134"/>
    <customShpInfo spid="_x0000_s1121"/>
    <customShpInfo spid="_x0000_s1127"/>
    <customShpInfo spid="_x0000_s1136"/>
    <customShpInfo spid="_x0000_s1122"/>
    <customShpInfo spid="_x0000_s1133"/>
    <customShpInfo spid="_x0000_s1128"/>
    <customShpInfo spid="_x0000_s1123"/>
    <customShpInfo spid="_x0000_s1125"/>
    <customShpInfo spid="_x0000_s1150"/>
    <customShpInfo spid="_x0000_s1149"/>
    <customShpInfo spid="_x0000_s1148"/>
    <customShpInfo spid="_x0000_s1151"/>
    <customShpInfo spid="_x0000_s114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61</Pages>
  <Words>6068</Words>
  <Characters>34592</Characters>
  <Lines>288</Lines>
  <Paragraphs>81</Paragraphs>
  <TotalTime>11</TotalTime>
  <ScaleCrop>false</ScaleCrop>
  <LinksUpToDate>false</LinksUpToDate>
  <CharactersWithSpaces>40579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2015-08-25T08:28:00Z</dcterms:created>
  <dc:creator>g</dc:creator>
  <cp:lastModifiedBy>大坏蛋</cp:lastModifiedBy>
  <cp:lastPrinted>2017-10-27T10:05:00Z</cp:lastPrinted>
  <dcterms:modified xsi:type="dcterms:W3CDTF">2018-07-11T00:52:48Z</dcterms:modified>
  <dc:title>青海省都兰县</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