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EA6" w:rsidRPr="00732EA6" w:rsidRDefault="00732EA6" w:rsidP="00732EA6">
      <w:pPr>
        <w:widowControl/>
        <w:spacing w:before="100" w:beforeAutospacing="1" w:after="100" w:afterAutospacing="1" w:line="275" w:lineRule="atLeast"/>
        <w:jc w:val="left"/>
        <w:outlineLvl w:val="3"/>
        <w:rPr>
          <w:rFonts w:ascii="宋体" w:eastAsia="宋体" w:hAnsi="宋体" w:cs="宋体"/>
          <w:b/>
          <w:bCs/>
          <w:kern w:val="0"/>
          <w:sz w:val="15"/>
          <w:szCs w:val="15"/>
        </w:rPr>
      </w:pPr>
      <w:r w:rsidRPr="00732EA6">
        <w:rPr>
          <w:rFonts w:ascii="宋体" w:eastAsia="宋体" w:hAnsi="宋体" w:cs="宋体"/>
          <w:b/>
          <w:bCs/>
          <w:kern w:val="0"/>
          <w:sz w:val="15"/>
          <w:szCs w:val="15"/>
        </w:rPr>
        <w:t>哈萨克斯坦信贷市场发展状况</w:t>
      </w:r>
    </w:p>
    <w:p w:rsidR="00732EA6" w:rsidRPr="00732EA6" w:rsidRDefault="00732EA6" w:rsidP="00732EA6">
      <w:pPr>
        <w:widowControl/>
        <w:spacing w:line="275" w:lineRule="atLeast"/>
        <w:jc w:val="left"/>
        <w:rPr>
          <w:rFonts w:ascii="宋体" w:eastAsia="宋体" w:hAnsi="宋体" w:cs="宋体"/>
          <w:kern w:val="0"/>
          <w:sz w:val="15"/>
          <w:szCs w:val="15"/>
        </w:rPr>
      </w:pPr>
      <w:r w:rsidRPr="00732EA6">
        <w:rPr>
          <w:rFonts w:ascii="宋体" w:eastAsia="宋体" w:hAnsi="宋体" w:cs="宋体"/>
          <w:kern w:val="0"/>
          <w:sz w:val="15"/>
          <w:szCs w:val="15"/>
        </w:rPr>
        <w:t xml:space="preserve">文章来源： </w:t>
      </w:r>
      <w:r w:rsidRPr="00732EA6">
        <w:rPr>
          <w:rFonts w:ascii="宋体" w:eastAsia="宋体" w:hAnsi="宋体" w:cs="宋体"/>
          <w:kern w:val="0"/>
          <w:sz w:val="15"/>
          <w:szCs w:val="15"/>
        </w:rPr>
        <w:pict/>
      </w:r>
      <w:hyperlink r:id="rId6" w:tgtFrame="_blank" w:history="1">
        <w:r w:rsidRPr="00732EA6">
          <w:rPr>
            <w:rFonts w:ascii="宋体" w:eastAsia="宋体" w:hAnsi="宋体" w:cs="宋体"/>
            <w:color w:val="000000"/>
            <w:kern w:val="0"/>
            <w:sz w:val="24"/>
            <w:szCs w:val="24"/>
          </w:rPr>
          <w:t>驻哈萨克经商参处</w:t>
        </w:r>
      </w:hyperlink>
      <w:r w:rsidRPr="00732EA6">
        <w:rPr>
          <w:rFonts w:ascii="宋体" w:eastAsia="宋体" w:hAnsi="宋体" w:cs="宋体"/>
          <w:kern w:val="0"/>
          <w:sz w:val="15"/>
          <w:szCs w:val="15"/>
        </w:rPr>
        <w:t xml:space="preserve">　　 </w:t>
      </w:r>
      <w:r w:rsidRPr="00732EA6">
        <w:rPr>
          <w:rFonts w:ascii="宋体" w:eastAsia="宋体" w:hAnsi="宋体" w:cs="宋体"/>
          <w:kern w:val="0"/>
          <w:sz w:val="15"/>
          <w:szCs w:val="15"/>
        </w:rPr>
        <w:pict/>
      </w:r>
      <w:r w:rsidRPr="00732EA6">
        <w:rPr>
          <w:rFonts w:ascii="宋体" w:eastAsia="宋体" w:hAnsi="宋体" w:cs="宋体"/>
          <w:kern w:val="0"/>
          <w:sz w:val="15"/>
          <w:szCs w:val="15"/>
        </w:rPr>
        <w:t xml:space="preserve">2015-11-20 18:51　　文章类型： </w:t>
      </w:r>
      <w:r w:rsidRPr="00732EA6">
        <w:rPr>
          <w:rFonts w:ascii="宋体" w:eastAsia="宋体" w:hAnsi="宋体" w:cs="宋体"/>
          <w:kern w:val="0"/>
          <w:sz w:val="15"/>
          <w:szCs w:val="15"/>
        </w:rPr>
        <w:pict/>
      </w:r>
      <w:r w:rsidRPr="00732EA6">
        <w:rPr>
          <w:rFonts w:ascii="宋体" w:eastAsia="宋体" w:hAnsi="宋体" w:cs="宋体"/>
          <w:kern w:val="0"/>
          <w:sz w:val="15"/>
          <w:szCs w:val="15"/>
        </w:rPr>
        <w:t xml:space="preserve">摘编　内容分类： </w:t>
      </w:r>
      <w:r w:rsidRPr="00732EA6">
        <w:rPr>
          <w:rFonts w:ascii="宋体" w:eastAsia="宋体" w:hAnsi="宋体" w:cs="宋体"/>
          <w:kern w:val="0"/>
          <w:sz w:val="15"/>
          <w:szCs w:val="15"/>
        </w:rPr>
        <w:pict/>
      </w:r>
      <w:r w:rsidRPr="00732EA6">
        <w:rPr>
          <w:rFonts w:ascii="宋体" w:eastAsia="宋体" w:hAnsi="宋体" w:cs="宋体"/>
          <w:kern w:val="0"/>
          <w:sz w:val="15"/>
          <w:szCs w:val="15"/>
        </w:rPr>
        <w:t xml:space="preserve">调研 </w:t>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sidRPr="00732EA6">
        <w:rPr>
          <w:rFonts w:ascii="宋体" w:eastAsia="宋体" w:hAnsi="宋体" w:cs="宋体"/>
          <w:kern w:val="0"/>
          <w:sz w:val="18"/>
          <w:szCs w:val="18"/>
        </w:rPr>
        <w:t>    国家经济增速放缓和国际市场原材料价格处于低位等内外因素，对哈银行业发展的持续性和稳定性产生了较大的负面影响，8月20日哈政府和央行宣布实施自由汇率浮动制对银行业而言更是雪上加霜。国际评级机构标普认为，国内宏观经济指数下滑、由本币贬值导致的居民购买力和借款人贷款能力下降等因素将极大地制约哈银行业的发展。存款缩水和银行资产类投资减少，使银行业承担着更大的风险，未来1-2年，哈银行业将遇到的主要问题是：在本币贬值和经济发展不景气的双重打击下，银行业利润率直线下降；在宏观经济和本币贬值压力下，银行业贷款风险上升；到今年年末时，银行业将面临着本币资金源枯竭的难题；银行业各类货币的资产端和负债端比例不协调，影响行业的整体发展；2015年银行业名义信贷额出现零增长。</w:t>
      </w:r>
      <w:r w:rsidRPr="00732EA6">
        <w:rPr>
          <w:rFonts w:ascii="宋体" w:eastAsia="宋体" w:hAnsi="宋体" w:cs="宋体"/>
          <w:kern w:val="0"/>
          <w:sz w:val="18"/>
          <w:szCs w:val="18"/>
        </w:rPr>
        <w:br/>
        <w:t>    一、银行业资产端收益率下降。</w:t>
      </w:r>
      <w:r w:rsidRPr="00732EA6">
        <w:rPr>
          <w:rFonts w:ascii="宋体" w:eastAsia="宋体" w:hAnsi="宋体" w:cs="宋体"/>
          <w:kern w:val="0"/>
          <w:sz w:val="18"/>
          <w:szCs w:val="18"/>
        </w:rPr>
        <w:br/>
        <w:t>    2015年哈银行外币资产端和负债端比例失衡承担的风险将被央行2014年实施的《货币掉期交易》措施对冲掉。通过实施《货币掉期交易》，哈银行业外汇敞口头寸增长明显，截至2014年12月31日，哈银行外汇敞口头寸超过2万亿坚戈，占资产端总量的12%。但央行是否会继续实施该措施，仍是一未知数，这将直接影响到哈银行业的稳定性。2015年8至11月，哈央行宣布《货币掉期交易》政策的大部分内容业已失效，而银行业则无法通过其他手段控制长期货币风险。因此，在国家整体经济不景气，哈央行也可能会停止实施扶持政策的背景下，国内信贷发展空间受限，借贷方减少外币贷款，将使哈银行业资产收益率下降。为规避风险、提高投资收益率，哈银行或会把购买欧洲债券和进行国际银行间拆借作为近期的发展方向。</w:t>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5645150" cy="3005455"/>
            <wp:effectExtent l="19050" t="0" r="0" b="0"/>
            <wp:docPr id="7" name="图片 7" descr="http://images.mofcom.gov.cn/kz/201511/201511201856034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ages.mofcom.gov.cn/kz/201511/20151120185603482.png"/>
                    <pic:cNvPicPr>
                      <a:picLocks noChangeAspect="1" noChangeArrowheads="1"/>
                    </pic:cNvPicPr>
                  </pic:nvPicPr>
                  <pic:blipFill>
                    <a:blip r:embed="rId7"/>
                    <a:srcRect/>
                    <a:stretch>
                      <a:fillRect/>
                    </a:stretch>
                  </pic:blipFill>
                  <pic:spPr bwMode="auto">
                    <a:xfrm>
                      <a:off x="0" y="0"/>
                      <a:ext cx="5645150" cy="3005455"/>
                    </a:xfrm>
                    <a:prstGeom prst="rect">
                      <a:avLst/>
                    </a:prstGeom>
                    <a:noFill/>
                    <a:ln w="9525">
                      <a:noFill/>
                      <a:miter lim="800000"/>
                      <a:headEnd/>
                      <a:tailEnd/>
                    </a:ln>
                  </pic:spPr>
                </pic:pic>
              </a:graphicData>
            </a:graphic>
          </wp:inline>
        </w:drawing>
      </w:r>
      <w:r w:rsidRPr="00732EA6">
        <w:rPr>
          <w:rFonts w:ascii="宋体" w:eastAsia="宋体" w:hAnsi="宋体" w:cs="宋体"/>
          <w:kern w:val="0"/>
          <w:sz w:val="18"/>
          <w:szCs w:val="18"/>
        </w:rPr>
        <w:br/>
        <w:t>    二、贷款风险将上升。</w:t>
      </w:r>
      <w:r w:rsidRPr="00732EA6">
        <w:rPr>
          <w:rFonts w:ascii="宋体" w:eastAsia="宋体" w:hAnsi="宋体" w:cs="宋体"/>
          <w:kern w:val="0"/>
          <w:sz w:val="18"/>
          <w:szCs w:val="18"/>
        </w:rPr>
        <w:br/>
        <w:t>    近两年来，哈信贷能力受经济下行的影响而明显下降。一方面，大、中型银行优化资产结构，对2008-2009年经济危机期间积累下的不良贷款和坏账进行清理。另一方面，经济危机后出现的银行坏账率增速过快，这种趋势将持续12-18个月。哈银行业货币贷款的比率远高于国际平均水平，在经济下滑的条件下，货币</w:t>
      </w:r>
      <w:r w:rsidRPr="00732EA6">
        <w:rPr>
          <w:rFonts w:ascii="宋体" w:eastAsia="宋体" w:hAnsi="宋体" w:cs="宋体"/>
          <w:kern w:val="0"/>
          <w:sz w:val="18"/>
          <w:szCs w:val="18"/>
        </w:rPr>
        <w:lastRenderedPageBreak/>
        <w:t>风险往往会转变成贷款风险。尽管很多出口商利用国际通行货币签署合同来规避风险，但大部分借贷方在此背景下很难有效地管理资金，使金融机构坏账率直线上升。</w:t>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5748655" cy="3458845"/>
            <wp:effectExtent l="19050" t="0" r="4445" b="0"/>
            <wp:docPr id="8" name="图片 8" descr="http://images.mofcom.gov.cn/kz/201511/201511201855316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ages.mofcom.gov.cn/kz/201511/20151120185531657.png"/>
                    <pic:cNvPicPr>
                      <a:picLocks noChangeAspect="1" noChangeArrowheads="1"/>
                    </pic:cNvPicPr>
                  </pic:nvPicPr>
                  <pic:blipFill>
                    <a:blip r:embed="rId8"/>
                    <a:srcRect/>
                    <a:stretch>
                      <a:fillRect/>
                    </a:stretch>
                  </pic:blipFill>
                  <pic:spPr bwMode="auto">
                    <a:xfrm>
                      <a:off x="0" y="0"/>
                      <a:ext cx="5748655" cy="3458845"/>
                    </a:xfrm>
                    <a:prstGeom prst="rect">
                      <a:avLst/>
                    </a:prstGeom>
                    <a:noFill/>
                    <a:ln w="9525">
                      <a:noFill/>
                      <a:miter lim="800000"/>
                      <a:headEnd/>
                      <a:tailEnd/>
                    </a:ln>
                  </pic:spPr>
                </pic:pic>
              </a:graphicData>
            </a:graphic>
          </wp:inline>
        </w:drawing>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sidRPr="00732EA6">
        <w:rPr>
          <w:rFonts w:ascii="宋体" w:eastAsia="宋体" w:hAnsi="宋体" w:cs="宋体"/>
          <w:kern w:val="0"/>
          <w:sz w:val="18"/>
          <w:szCs w:val="18"/>
        </w:rPr>
        <w:t>    三、银行业缺少稳定的资金源。</w:t>
      </w:r>
      <w:r w:rsidRPr="00732EA6">
        <w:rPr>
          <w:rFonts w:ascii="宋体" w:eastAsia="宋体" w:hAnsi="宋体" w:cs="宋体"/>
          <w:kern w:val="0"/>
          <w:sz w:val="18"/>
          <w:szCs w:val="18"/>
        </w:rPr>
        <w:br/>
        <w:t>    标普曾预测，未来1-2年，哈中、小型银行将会面临缺少稳定的本币资金源的状况。尽管哈成立了统一养老储蓄基金和不良贷款基金来应对此情况，但不可能从本质上解决哈银行业的内部问题。造成本币资金源短缺的主要原因是，哈银行放贷和吸存严重失衡，国家扶持政策主要面向大型银行，中、小型银行难以获得稳定的本币资金源。目前哈不良贷款基金进行的不良贷款重组和整合主要针对国内最大商业银行；统一养老储蓄基金74%的对外投资用于购买“八大”商业银行发行的有价证券；央行在通过“达姆”企业发展基金扶持国内中小企业发展过程中，73%的扶持资金通过5个大型商业银行发放。</w:t>
      </w:r>
      <w:r w:rsidRPr="00732EA6">
        <w:rPr>
          <w:rFonts w:ascii="宋体" w:eastAsia="宋体" w:hAnsi="宋体" w:cs="宋体"/>
          <w:kern w:val="0"/>
          <w:sz w:val="18"/>
          <w:szCs w:val="18"/>
        </w:rPr>
        <w:br/>
        <w:t>    除上述原因外，国内存款美元程度较高和货币市场不稳定也是引起中小银行出现“钱荒”的因素。据统计，截至2015年7月1日，哈国内67%的零售市场存款是美元存款。由于政府要求国企尽量用本币进行结算，将美元存款的比例“拉到”58.1%。上半年同样出现本币贬值的俄罗斯和尼日利亚，美元存款的比例分别为38%和35%，均低于哈。在贷款方面，截至7月1日，哈美元贷款比例接近30%，同样高于其他发展中国家的水平。</w:t>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Pr>
          <w:rFonts w:ascii="宋体" w:eastAsia="宋体" w:hAnsi="宋体" w:cs="宋体"/>
          <w:noProof/>
          <w:kern w:val="0"/>
          <w:sz w:val="18"/>
          <w:szCs w:val="18"/>
        </w:rPr>
        <w:lastRenderedPageBreak/>
        <w:drawing>
          <wp:inline distT="0" distB="0" distL="0" distR="0">
            <wp:extent cx="5971540" cy="3474720"/>
            <wp:effectExtent l="19050" t="0" r="0" b="0"/>
            <wp:docPr id="9" name="图片 9" descr="http://images.mofcom.gov.cn/kz/201511/201511201857298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ages.mofcom.gov.cn/kz/201511/20151120185729890.png"/>
                    <pic:cNvPicPr>
                      <a:picLocks noChangeAspect="1" noChangeArrowheads="1"/>
                    </pic:cNvPicPr>
                  </pic:nvPicPr>
                  <pic:blipFill>
                    <a:blip r:embed="rId9"/>
                    <a:srcRect/>
                    <a:stretch>
                      <a:fillRect/>
                    </a:stretch>
                  </pic:blipFill>
                  <pic:spPr bwMode="auto">
                    <a:xfrm>
                      <a:off x="0" y="0"/>
                      <a:ext cx="5971540" cy="3474720"/>
                    </a:xfrm>
                    <a:prstGeom prst="rect">
                      <a:avLst/>
                    </a:prstGeom>
                    <a:noFill/>
                    <a:ln w="9525">
                      <a:noFill/>
                      <a:miter lim="800000"/>
                      <a:headEnd/>
                      <a:tailEnd/>
                    </a:ln>
                  </pic:spPr>
                </pic:pic>
              </a:graphicData>
            </a:graphic>
          </wp:inline>
        </w:drawing>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Pr>
          <w:rFonts w:ascii="宋体" w:eastAsia="宋体" w:hAnsi="宋体" w:cs="宋体"/>
          <w:noProof/>
          <w:kern w:val="0"/>
          <w:sz w:val="18"/>
          <w:szCs w:val="18"/>
        </w:rPr>
        <w:drawing>
          <wp:inline distT="0" distB="0" distL="0" distR="0">
            <wp:extent cx="6273800" cy="3729355"/>
            <wp:effectExtent l="19050" t="0" r="0" b="0"/>
            <wp:docPr id="10" name="图片 10" descr="http://images.mofcom.gov.cn/kz/201511/20151120185735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ages.mofcom.gov.cn/kz/201511/20151120185735180.png"/>
                    <pic:cNvPicPr>
                      <a:picLocks noChangeAspect="1" noChangeArrowheads="1"/>
                    </pic:cNvPicPr>
                  </pic:nvPicPr>
                  <pic:blipFill>
                    <a:blip r:embed="rId10"/>
                    <a:srcRect/>
                    <a:stretch>
                      <a:fillRect/>
                    </a:stretch>
                  </pic:blipFill>
                  <pic:spPr bwMode="auto">
                    <a:xfrm>
                      <a:off x="0" y="0"/>
                      <a:ext cx="6273800" cy="3729355"/>
                    </a:xfrm>
                    <a:prstGeom prst="rect">
                      <a:avLst/>
                    </a:prstGeom>
                    <a:noFill/>
                    <a:ln w="9525">
                      <a:noFill/>
                      <a:miter lim="800000"/>
                      <a:headEnd/>
                      <a:tailEnd/>
                    </a:ln>
                  </pic:spPr>
                </pic:pic>
              </a:graphicData>
            </a:graphic>
          </wp:inline>
        </w:drawing>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sidRPr="00732EA6">
        <w:rPr>
          <w:rFonts w:ascii="宋体" w:eastAsia="宋体" w:hAnsi="宋体" w:cs="宋体"/>
          <w:kern w:val="0"/>
          <w:sz w:val="18"/>
          <w:szCs w:val="18"/>
        </w:rPr>
        <w:t>    四、哈银行业资产端发展受阻</w:t>
      </w:r>
      <w:r w:rsidRPr="00732EA6">
        <w:rPr>
          <w:rFonts w:ascii="宋体" w:eastAsia="宋体" w:hAnsi="宋体" w:cs="宋体"/>
          <w:kern w:val="0"/>
          <w:sz w:val="18"/>
          <w:szCs w:val="18"/>
        </w:rPr>
        <w:br/>
        <w:t>    银行业发展很容易受到宏观经济状况的影响，同样，金融业也对宏观经济的发展具有反作用。放贷和吸存的失衡会导致经济社会发展偏离既定方向，降低国内贷款能力。由于今年6月BTA银行与哈商业银行合并，哈银行业的整体信贷量减少了近11%，从全年的情况来看，将会使整个行业的信贷总量减少5%。预计，2015年哈银行贷款存量名义增长率将接近于零，与此同时，中小型银行贷款仍将保持20%左右增长率。</w:t>
      </w:r>
      <w:r w:rsidRPr="00732EA6">
        <w:rPr>
          <w:rFonts w:ascii="宋体" w:eastAsia="宋体" w:hAnsi="宋体" w:cs="宋体"/>
          <w:kern w:val="0"/>
          <w:sz w:val="18"/>
          <w:szCs w:val="18"/>
        </w:rPr>
        <w:lastRenderedPageBreak/>
        <w:t>不过，在经济萧条和贷款人还款能力下降的背景下，放贷量增速过快可能会引发危机。标普对哈国内19家商业银行分析做出的银行业国别风险评估（BICRA）显示，哈经济和行业风险率为“8”（“1”为最低，“10”为最高）。</w:t>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sidRPr="00732EA6">
        <w:rPr>
          <w:rFonts w:ascii="宋体" w:eastAsia="宋体" w:hAnsi="宋体" w:cs="宋体"/>
          <w:kern w:val="0"/>
          <w:sz w:val="18"/>
          <w:szCs w:val="18"/>
        </w:rPr>
        <w:t xml:space="preserve">  </w:t>
      </w:r>
      <w:r>
        <w:rPr>
          <w:rFonts w:ascii="宋体" w:eastAsia="宋体" w:hAnsi="宋体" w:cs="宋体"/>
          <w:noProof/>
          <w:kern w:val="0"/>
          <w:sz w:val="18"/>
          <w:szCs w:val="18"/>
        </w:rPr>
        <w:drawing>
          <wp:inline distT="0" distB="0" distL="0" distR="0">
            <wp:extent cx="6098540" cy="4190365"/>
            <wp:effectExtent l="19050" t="0" r="0" b="0"/>
            <wp:docPr id="11" name="图片 11" descr="http://images.mofcom.gov.cn/kz/201511/201511201858522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ages.mofcom.gov.cn/kz/201511/20151120185852293.png"/>
                    <pic:cNvPicPr>
                      <a:picLocks noChangeAspect="1" noChangeArrowheads="1"/>
                    </pic:cNvPicPr>
                  </pic:nvPicPr>
                  <pic:blipFill>
                    <a:blip r:embed="rId11"/>
                    <a:srcRect/>
                    <a:stretch>
                      <a:fillRect/>
                    </a:stretch>
                  </pic:blipFill>
                  <pic:spPr bwMode="auto">
                    <a:xfrm>
                      <a:off x="0" y="0"/>
                      <a:ext cx="6098540" cy="4190365"/>
                    </a:xfrm>
                    <a:prstGeom prst="rect">
                      <a:avLst/>
                    </a:prstGeom>
                    <a:noFill/>
                    <a:ln w="9525">
                      <a:noFill/>
                      <a:miter lim="800000"/>
                      <a:headEnd/>
                      <a:tailEnd/>
                    </a:ln>
                  </pic:spPr>
                </pic:pic>
              </a:graphicData>
            </a:graphic>
          </wp:inline>
        </w:drawing>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sidRPr="00732EA6">
        <w:rPr>
          <w:rFonts w:ascii="宋体" w:eastAsia="宋体" w:hAnsi="宋体" w:cs="宋体"/>
          <w:kern w:val="0"/>
          <w:sz w:val="18"/>
          <w:szCs w:val="18"/>
        </w:rPr>
        <w:t> </w:t>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sidRPr="00732EA6">
        <w:rPr>
          <w:rFonts w:ascii="宋体" w:eastAsia="宋体" w:hAnsi="宋体" w:cs="宋体"/>
          <w:kern w:val="0"/>
          <w:sz w:val="18"/>
          <w:szCs w:val="18"/>
        </w:rPr>
        <w:t> </w:t>
      </w:r>
    </w:p>
    <w:p w:rsidR="00732EA6" w:rsidRPr="00732EA6" w:rsidRDefault="00732EA6" w:rsidP="00732EA6">
      <w:pPr>
        <w:widowControl/>
        <w:spacing w:before="188" w:after="100" w:afterAutospacing="1" w:line="326" w:lineRule="atLeast"/>
        <w:jc w:val="left"/>
        <w:rPr>
          <w:rFonts w:ascii="宋体" w:eastAsia="宋体" w:hAnsi="宋体" w:cs="宋体"/>
          <w:kern w:val="0"/>
          <w:sz w:val="18"/>
          <w:szCs w:val="18"/>
        </w:rPr>
      </w:pPr>
      <w:r w:rsidRPr="00732EA6">
        <w:rPr>
          <w:rFonts w:ascii="宋体" w:eastAsia="宋体" w:hAnsi="宋体" w:cs="宋体"/>
          <w:kern w:val="0"/>
          <w:sz w:val="18"/>
          <w:szCs w:val="18"/>
        </w:rPr>
        <w:t>                                                    驻哈萨克斯坦使馆经商参处</w:t>
      </w:r>
      <w:r w:rsidRPr="00732EA6">
        <w:rPr>
          <w:rFonts w:ascii="宋体" w:eastAsia="宋体" w:hAnsi="宋体" w:cs="宋体"/>
          <w:kern w:val="0"/>
          <w:sz w:val="18"/>
          <w:szCs w:val="18"/>
        </w:rPr>
        <w:br/>
        <w:t>                                                        2015年11月10日</w:t>
      </w:r>
    </w:p>
    <w:p w:rsidR="00B069A8" w:rsidRPr="00732EA6" w:rsidRDefault="00B069A8"/>
    <w:sectPr w:rsidR="00B069A8" w:rsidRPr="00732E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9A8" w:rsidRDefault="00B069A8" w:rsidP="00732EA6">
      <w:r>
        <w:separator/>
      </w:r>
    </w:p>
  </w:endnote>
  <w:endnote w:type="continuationSeparator" w:id="1">
    <w:p w:rsidR="00B069A8" w:rsidRDefault="00B069A8" w:rsidP="00732E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9A8" w:rsidRDefault="00B069A8" w:rsidP="00732EA6">
      <w:r>
        <w:separator/>
      </w:r>
    </w:p>
  </w:footnote>
  <w:footnote w:type="continuationSeparator" w:id="1">
    <w:p w:rsidR="00B069A8" w:rsidRDefault="00B069A8" w:rsidP="00732E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2EA6"/>
    <w:rsid w:val="00732EA6"/>
    <w:rsid w:val="00B069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4">
    <w:name w:val="heading 4"/>
    <w:basedOn w:val="a"/>
    <w:link w:val="4Char"/>
    <w:uiPriority w:val="9"/>
    <w:qFormat/>
    <w:rsid w:val="00732EA6"/>
    <w:pPr>
      <w:widowControl/>
      <w:spacing w:before="100" w:beforeAutospacing="1" w:after="100" w:afterAutospacing="1"/>
      <w:jc w:val="left"/>
      <w:outlineLvl w:val="3"/>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2E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2EA6"/>
    <w:rPr>
      <w:sz w:val="18"/>
      <w:szCs w:val="18"/>
    </w:rPr>
  </w:style>
  <w:style w:type="paragraph" w:styleId="a4">
    <w:name w:val="footer"/>
    <w:basedOn w:val="a"/>
    <w:link w:val="Char0"/>
    <w:uiPriority w:val="99"/>
    <w:semiHidden/>
    <w:unhideWhenUsed/>
    <w:rsid w:val="00732EA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2EA6"/>
    <w:rPr>
      <w:sz w:val="18"/>
      <w:szCs w:val="18"/>
    </w:rPr>
  </w:style>
  <w:style w:type="character" w:customStyle="1" w:styleId="4Char">
    <w:name w:val="标题 4 Char"/>
    <w:basedOn w:val="a0"/>
    <w:link w:val="4"/>
    <w:uiPriority w:val="9"/>
    <w:rsid w:val="00732EA6"/>
    <w:rPr>
      <w:rFonts w:ascii="宋体" w:eastAsia="宋体" w:hAnsi="宋体" w:cs="宋体"/>
      <w:b/>
      <w:bCs/>
      <w:kern w:val="0"/>
      <w:sz w:val="15"/>
      <w:szCs w:val="15"/>
    </w:rPr>
  </w:style>
  <w:style w:type="character" w:styleId="a5">
    <w:name w:val="Hyperlink"/>
    <w:basedOn w:val="a0"/>
    <w:uiPriority w:val="99"/>
    <w:semiHidden/>
    <w:unhideWhenUsed/>
    <w:rsid w:val="00732EA6"/>
    <w:rPr>
      <w:strike w:val="0"/>
      <w:dstrike w:val="0"/>
      <w:color w:val="000000"/>
      <w:u w:val="none"/>
      <w:effect w:val="none"/>
    </w:rPr>
  </w:style>
  <w:style w:type="paragraph" w:styleId="a6">
    <w:name w:val="Normal (Web)"/>
    <w:basedOn w:val="a"/>
    <w:uiPriority w:val="99"/>
    <w:semiHidden/>
    <w:unhideWhenUsed/>
    <w:rsid w:val="00732EA6"/>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732EA6"/>
    <w:rPr>
      <w:sz w:val="18"/>
      <w:szCs w:val="18"/>
    </w:rPr>
  </w:style>
  <w:style w:type="character" w:customStyle="1" w:styleId="Char1">
    <w:name w:val="批注框文本 Char"/>
    <w:basedOn w:val="a0"/>
    <w:link w:val="a7"/>
    <w:uiPriority w:val="99"/>
    <w:semiHidden/>
    <w:rsid w:val="00732EA6"/>
    <w:rPr>
      <w:sz w:val="18"/>
      <w:szCs w:val="18"/>
    </w:rPr>
  </w:style>
</w:styles>
</file>

<file path=word/webSettings.xml><?xml version="1.0" encoding="utf-8"?>
<w:webSettings xmlns:r="http://schemas.openxmlformats.org/officeDocument/2006/relationships" xmlns:w="http://schemas.openxmlformats.org/wordprocessingml/2006/main">
  <w:divs>
    <w:div w:id="1169635773">
      <w:bodyDiv w:val="1"/>
      <w:marLeft w:val="0"/>
      <w:marRight w:val="0"/>
      <w:marTop w:val="0"/>
      <w:marBottom w:val="0"/>
      <w:divBdr>
        <w:top w:val="none" w:sz="0" w:space="0" w:color="auto"/>
        <w:left w:val="none" w:sz="0" w:space="0" w:color="auto"/>
        <w:bottom w:val="none" w:sz="0" w:space="0" w:color="auto"/>
        <w:right w:val="none" w:sz="0" w:space="0" w:color="auto"/>
      </w:divBdr>
      <w:divsChild>
        <w:div w:id="1887718387">
          <w:marLeft w:val="0"/>
          <w:marRight w:val="0"/>
          <w:marTop w:val="0"/>
          <w:marBottom w:val="0"/>
          <w:divBdr>
            <w:top w:val="none" w:sz="0" w:space="0" w:color="auto"/>
            <w:left w:val="none" w:sz="0" w:space="0" w:color="auto"/>
            <w:bottom w:val="none" w:sz="0" w:space="0" w:color="auto"/>
            <w:right w:val="none" w:sz="0" w:space="0" w:color="auto"/>
          </w:divBdr>
          <w:divsChild>
            <w:div w:id="931738323">
              <w:marLeft w:val="0"/>
              <w:marRight w:val="0"/>
              <w:marTop w:val="0"/>
              <w:marBottom w:val="0"/>
              <w:divBdr>
                <w:top w:val="none" w:sz="0" w:space="0" w:color="auto"/>
                <w:left w:val="none" w:sz="0" w:space="0" w:color="auto"/>
                <w:bottom w:val="none" w:sz="0" w:space="0" w:color="auto"/>
                <w:right w:val="none" w:sz="0" w:space="0" w:color="auto"/>
              </w:divBdr>
              <w:divsChild>
                <w:div w:id="158315">
                  <w:marLeft w:val="0"/>
                  <w:marRight w:val="0"/>
                  <w:marTop w:val="0"/>
                  <w:marBottom w:val="0"/>
                  <w:divBdr>
                    <w:top w:val="none" w:sz="0" w:space="0" w:color="auto"/>
                    <w:left w:val="none" w:sz="0" w:space="0" w:color="auto"/>
                    <w:bottom w:val="none" w:sz="0" w:space="0" w:color="auto"/>
                    <w:right w:val="none" w:sz="0" w:space="0" w:color="auto"/>
                  </w:divBdr>
                  <w:divsChild>
                    <w:div w:id="1722243346">
                      <w:marLeft w:val="0"/>
                      <w:marRight w:val="0"/>
                      <w:marTop w:val="0"/>
                      <w:marBottom w:val="0"/>
                      <w:divBdr>
                        <w:top w:val="none" w:sz="0" w:space="0" w:color="auto"/>
                        <w:left w:val="none" w:sz="0" w:space="0" w:color="auto"/>
                        <w:bottom w:val="none" w:sz="0" w:space="0" w:color="auto"/>
                        <w:right w:val="none" w:sz="0" w:space="0" w:color="auto"/>
                      </w:divBdr>
                    </w:div>
                    <w:div w:id="58315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z.mofcom.gov.cn/article/ztdy/201511/20151101191247.shtml" TargetMode="External"/><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307</Words>
  <Characters>1752</Characters>
  <Application>Microsoft Office Word</Application>
  <DocSecurity>0</DocSecurity>
  <Lines>14</Lines>
  <Paragraphs>4</Paragraphs>
  <ScaleCrop>false</ScaleCrop>
  <Company>微软中国</Company>
  <LinksUpToDate>false</LinksUpToDate>
  <CharactersWithSpaces>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2016-03-10T06:07:00Z</dcterms:created>
  <dcterms:modified xsi:type="dcterms:W3CDTF">2016-03-10T06:07:00Z</dcterms:modified>
</cp:coreProperties>
</file>