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00" w:type="pct"/>
        <w:jc w:val="center"/>
        <w:tblCellSpacing w:w="0" w:type="dxa"/>
        <w:tblCellMar>
          <w:left w:w="0" w:type="dxa"/>
          <w:right w:w="0" w:type="dxa"/>
        </w:tblCellMar>
        <w:tblLook w:val="04A0"/>
      </w:tblPr>
      <w:tblGrid>
        <w:gridCol w:w="7974"/>
      </w:tblGrid>
      <w:tr w:rsidR="00951CD9" w:rsidRPr="00951CD9">
        <w:trPr>
          <w:trHeight w:val="375"/>
          <w:tblCellSpacing w:w="0" w:type="dxa"/>
          <w:jc w:val="center"/>
        </w:trPr>
        <w:tc>
          <w:tcPr>
            <w:tcW w:w="0" w:type="auto"/>
            <w:tcMar>
              <w:top w:w="180" w:type="dxa"/>
              <w:left w:w="0" w:type="dxa"/>
              <w:bottom w:w="180" w:type="dxa"/>
              <w:right w:w="0" w:type="dxa"/>
            </w:tcMar>
            <w:vAlign w:val="center"/>
            <w:hideMark/>
          </w:tcPr>
          <w:p w:rsidR="00951CD9" w:rsidRPr="00951CD9" w:rsidRDefault="00951CD9" w:rsidP="00951CD9">
            <w:pPr>
              <w:widowControl/>
              <w:spacing w:line="360" w:lineRule="auto"/>
              <w:jc w:val="center"/>
              <w:rPr>
                <w:rFonts w:ascii="ˎ̥" w:eastAsia="宋体" w:hAnsi="ˎ̥" w:cs="宋体"/>
                <w:b/>
                <w:bCs/>
                <w:color w:val="333333"/>
                <w:kern w:val="0"/>
                <w:sz w:val="35"/>
                <w:szCs w:val="35"/>
              </w:rPr>
            </w:pPr>
            <w:r w:rsidRPr="00951CD9">
              <w:rPr>
                <w:rFonts w:ascii="ˎ̥" w:eastAsia="宋体" w:hAnsi="ˎ̥" w:cs="宋体"/>
                <w:b/>
                <w:bCs/>
                <w:color w:val="333333"/>
                <w:kern w:val="0"/>
                <w:sz w:val="35"/>
                <w:szCs w:val="35"/>
              </w:rPr>
              <w:t>国土资源部办公厅关于矿业权设置方案未编制入库的矿业权项目配号有关问题的函</w:t>
            </w:r>
          </w:p>
        </w:tc>
      </w:tr>
      <w:tr w:rsidR="00951CD9" w:rsidRPr="00951CD9">
        <w:trPr>
          <w:tblCellSpacing w:w="0" w:type="dxa"/>
          <w:jc w:val="center"/>
        </w:trPr>
        <w:tc>
          <w:tcPr>
            <w:tcW w:w="0" w:type="auto"/>
            <w:vAlign w:val="center"/>
            <w:hideMark/>
          </w:tcPr>
          <w:p w:rsidR="00951CD9" w:rsidRPr="00951CD9" w:rsidRDefault="00951CD9" w:rsidP="00951CD9">
            <w:pPr>
              <w:widowControl/>
              <w:spacing w:line="345" w:lineRule="atLeast"/>
              <w:jc w:val="center"/>
              <w:rPr>
                <w:rFonts w:ascii="ˎ̥" w:eastAsia="宋体" w:hAnsi="ˎ̥" w:cs="宋体"/>
                <w:b/>
                <w:bCs/>
                <w:color w:val="666666"/>
                <w:kern w:val="0"/>
                <w:sz w:val="1"/>
                <w:szCs w:val="24"/>
              </w:rPr>
            </w:pPr>
          </w:p>
        </w:tc>
      </w:tr>
    </w:tbl>
    <w:p w:rsidR="00951CD9" w:rsidRPr="00951CD9" w:rsidRDefault="00951CD9" w:rsidP="00951CD9">
      <w:pPr>
        <w:widowControl/>
        <w:spacing w:line="360" w:lineRule="atLeast"/>
        <w:jc w:val="center"/>
        <w:rPr>
          <w:rFonts w:ascii="ˎ̥" w:eastAsia="宋体" w:hAnsi="ˎ̥" w:cs="宋体" w:hint="eastAsia"/>
          <w:vanish/>
          <w:color w:val="333333"/>
          <w:kern w:val="0"/>
          <w:szCs w:val="21"/>
        </w:rPr>
      </w:pPr>
    </w:p>
    <w:tbl>
      <w:tblPr>
        <w:tblW w:w="4800" w:type="pct"/>
        <w:jc w:val="center"/>
        <w:tblCellSpacing w:w="0" w:type="dxa"/>
        <w:tblCellMar>
          <w:left w:w="0" w:type="dxa"/>
          <w:right w:w="0" w:type="dxa"/>
        </w:tblCellMar>
        <w:tblLook w:val="04A0"/>
      </w:tblPr>
      <w:tblGrid>
        <w:gridCol w:w="7974"/>
      </w:tblGrid>
      <w:tr w:rsidR="00951CD9" w:rsidRPr="00951CD9">
        <w:trPr>
          <w:trHeight w:val="195"/>
          <w:tblCellSpacing w:w="0" w:type="dxa"/>
          <w:jc w:val="center"/>
        </w:trPr>
        <w:tc>
          <w:tcPr>
            <w:tcW w:w="0" w:type="auto"/>
            <w:vAlign w:val="center"/>
            <w:hideMark/>
          </w:tcPr>
          <w:p w:rsidR="00951CD9" w:rsidRPr="00951CD9" w:rsidRDefault="00951CD9" w:rsidP="00951CD9">
            <w:pPr>
              <w:widowControl/>
              <w:spacing w:line="360" w:lineRule="atLeast"/>
              <w:jc w:val="left"/>
              <w:rPr>
                <w:rFonts w:ascii="ˎ̥" w:eastAsia="宋体" w:hAnsi="ˎ̥" w:cs="宋体"/>
                <w:color w:val="333333"/>
                <w:kern w:val="0"/>
                <w:szCs w:val="21"/>
              </w:rPr>
            </w:pPr>
          </w:p>
        </w:tc>
      </w:tr>
    </w:tbl>
    <w:p w:rsidR="00951CD9" w:rsidRPr="00951CD9" w:rsidRDefault="00951CD9" w:rsidP="00951CD9">
      <w:pPr>
        <w:widowControl/>
        <w:spacing w:line="360" w:lineRule="atLeast"/>
        <w:jc w:val="center"/>
        <w:rPr>
          <w:rFonts w:ascii="ˎ̥" w:eastAsia="宋体" w:hAnsi="ˎ̥" w:cs="宋体" w:hint="eastAsia"/>
          <w:vanish/>
          <w:color w:val="333333"/>
          <w:kern w:val="0"/>
          <w:szCs w:val="21"/>
        </w:rPr>
      </w:pPr>
    </w:p>
    <w:tbl>
      <w:tblPr>
        <w:tblW w:w="4800" w:type="pct"/>
        <w:jc w:val="center"/>
        <w:tblCellSpacing w:w="0" w:type="dxa"/>
        <w:tblCellMar>
          <w:left w:w="0" w:type="dxa"/>
          <w:right w:w="0" w:type="dxa"/>
        </w:tblCellMar>
        <w:tblLook w:val="04A0"/>
      </w:tblPr>
      <w:tblGrid>
        <w:gridCol w:w="7974"/>
      </w:tblGrid>
      <w:tr w:rsidR="00951CD9" w:rsidRPr="00951CD9">
        <w:trPr>
          <w:trHeight w:val="15"/>
          <w:tblCellSpacing w:w="0" w:type="dxa"/>
          <w:jc w:val="center"/>
        </w:trPr>
        <w:tc>
          <w:tcPr>
            <w:tcW w:w="0" w:type="auto"/>
            <w:vAlign w:val="center"/>
            <w:hideMark/>
          </w:tcPr>
          <w:p w:rsidR="00951CD9" w:rsidRPr="00951CD9" w:rsidRDefault="00951CD9" w:rsidP="00951CD9">
            <w:pPr>
              <w:widowControl/>
              <w:spacing w:line="360" w:lineRule="atLeast"/>
              <w:jc w:val="left"/>
              <w:rPr>
                <w:rFonts w:ascii="ˎ̥" w:eastAsia="宋体" w:hAnsi="ˎ̥" w:cs="宋体"/>
                <w:color w:val="333333"/>
                <w:kern w:val="0"/>
                <w:sz w:val="2"/>
                <w:szCs w:val="21"/>
              </w:rPr>
            </w:pPr>
          </w:p>
        </w:tc>
      </w:tr>
      <w:tr w:rsidR="00951CD9" w:rsidRPr="00951CD9">
        <w:trPr>
          <w:tblCellSpacing w:w="0" w:type="dxa"/>
          <w:jc w:val="center"/>
        </w:trPr>
        <w:tc>
          <w:tcPr>
            <w:tcW w:w="0" w:type="auto"/>
            <w:noWrap/>
            <w:vAlign w:val="center"/>
            <w:hideMark/>
          </w:tcPr>
          <w:p w:rsidR="00951CD9" w:rsidRPr="00951CD9" w:rsidRDefault="00951CD9" w:rsidP="00951CD9">
            <w:pPr>
              <w:widowControl/>
              <w:spacing w:line="360" w:lineRule="atLeast"/>
              <w:jc w:val="center"/>
              <w:rPr>
                <w:rFonts w:ascii="ˎ̥" w:eastAsia="宋体" w:hAnsi="ˎ̥" w:cs="宋体"/>
                <w:color w:val="888888"/>
                <w:kern w:val="0"/>
                <w:sz w:val="18"/>
                <w:szCs w:val="18"/>
              </w:rPr>
            </w:pPr>
            <w:r w:rsidRPr="00951CD9">
              <w:rPr>
                <w:rFonts w:ascii="ˎ̥" w:eastAsia="宋体" w:hAnsi="ˎ̥" w:cs="宋体"/>
                <w:color w:val="888888"/>
                <w:kern w:val="0"/>
                <w:sz w:val="18"/>
                <w:szCs w:val="18"/>
              </w:rPr>
              <w:t xml:space="preserve">2012-03-23 | </w:t>
            </w:r>
            <w:r w:rsidRPr="00951CD9">
              <w:rPr>
                <w:rFonts w:ascii="ˎ̥" w:eastAsia="宋体" w:hAnsi="ˎ̥" w:cs="宋体"/>
                <w:color w:val="888888"/>
                <w:kern w:val="0"/>
                <w:sz w:val="18"/>
                <w:szCs w:val="18"/>
              </w:rPr>
              <w:t>来源：</w:t>
            </w:r>
            <w:r w:rsidRPr="00951CD9">
              <w:rPr>
                <w:rFonts w:ascii="ˎ̥" w:eastAsia="宋体" w:hAnsi="ˎ̥" w:cs="宋体"/>
                <w:color w:val="888888"/>
                <w:kern w:val="0"/>
                <w:sz w:val="18"/>
                <w:szCs w:val="18"/>
              </w:rPr>
              <w:t xml:space="preserve"> </w:t>
            </w:r>
            <w:r w:rsidRPr="00951CD9">
              <w:rPr>
                <w:rFonts w:ascii="ˎ̥" w:eastAsia="宋体" w:hAnsi="ˎ̥" w:cs="宋体"/>
                <w:color w:val="888888"/>
                <w:kern w:val="0"/>
                <w:sz w:val="18"/>
                <w:szCs w:val="18"/>
              </w:rPr>
              <w:t>矿产开发管理司</w:t>
            </w:r>
            <w:r w:rsidRPr="00951CD9">
              <w:rPr>
                <w:rFonts w:ascii="ˎ̥" w:eastAsia="宋体" w:hAnsi="ˎ̥" w:cs="宋体"/>
                <w:color w:val="888888"/>
                <w:kern w:val="0"/>
                <w:sz w:val="18"/>
                <w:szCs w:val="18"/>
              </w:rPr>
              <w:t xml:space="preserve"> | </w:t>
            </w:r>
            <w:r w:rsidRPr="00951CD9">
              <w:rPr>
                <w:rFonts w:ascii="ˎ̥" w:eastAsia="宋体" w:hAnsi="ˎ̥" w:cs="宋体"/>
                <w:color w:val="888888"/>
                <w:kern w:val="0"/>
                <w:sz w:val="18"/>
                <w:szCs w:val="18"/>
              </w:rPr>
              <w:t>【</w:t>
            </w:r>
            <w:hyperlink r:id="rId6" w:history="1">
              <w:r w:rsidRPr="00951CD9">
                <w:rPr>
                  <w:rFonts w:ascii="ˎ̥" w:eastAsia="宋体" w:hAnsi="ˎ̥" w:cs="宋体"/>
                  <w:color w:val="888888"/>
                  <w:kern w:val="0"/>
                  <w:sz w:val="18"/>
                  <w:szCs w:val="18"/>
                </w:rPr>
                <w:t>大</w:t>
              </w:r>
            </w:hyperlink>
            <w:r w:rsidRPr="00951CD9">
              <w:rPr>
                <w:rFonts w:ascii="ˎ̥" w:eastAsia="宋体" w:hAnsi="ˎ̥" w:cs="宋体"/>
                <w:color w:val="888888"/>
                <w:kern w:val="0"/>
                <w:sz w:val="18"/>
                <w:szCs w:val="18"/>
              </w:rPr>
              <w:t xml:space="preserve"> </w:t>
            </w:r>
            <w:hyperlink r:id="rId7" w:history="1">
              <w:r w:rsidRPr="00951CD9">
                <w:rPr>
                  <w:rFonts w:ascii="ˎ̥" w:eastAsia="宋体" w:hAnsi="ˎ̥" w:cs="宋体"/>
                  <w:color w:val="888888"/>
                  <w:kern w:val="0"/>
                  <w:sz w:val="18"/>
                  <w:szCs w:val="18"/>
                </w:rPr>
                <w:t>中</w:t>
              </w:r>
            </w:hyperlink>
            <w:r w:rsidRPr="00951CD9">
              <w:rPr>
                <w:rFonts w:ascii="ˎ̥" w:eastAsia="宋体" w:hAnsi="ˎ̥" w:cs="宋体"/>
                <w:color w:val="888888"/>
                <w:kern w:val="0"/>
                <w:sz w:val="18"/>
                <w:szCs w:val="18"/>
              </w:rPr>
              <w:t xml:space="preserve"> </w:t>
            </w:r>
            <w:hyperlink r:id="rId8" w:history="1">
              <w:r w:rsidRPr="00951CD9">
                <w:rPr>
                  <w:rFonts w:ascii="ˎ̥" w:eastAsia="宋体" w:hAnsi="ˎ̥" w:cs="宋体"/>
                  <w:color w:val="888888"/>
                  <w:kern w:val="0"/>
                  <w:sz w:val="18"/>
                  <w:szCs w:val="18"/>
                </w:rPr>
                <w:t>小</w:t>
              </w:r>
            </w:hyperlink>
            <w:r w:rsidRPr="00951CD9">
              <w:rPr>
                <w:rFonts w:ascii="ˎ̥" w:eastAsia="宋体" w:hAnsi="ˎ̥" w:cs="宋体"/>
                <w:color w:val="888888"/>
                <w:kern w:val="0"/>
                <w:sz w:val="18"/>
                <w:szCs w:val="18"/>
              </w:rPr>
              <w:t>】【</w:t>
            </w:r>
            <w:hyperlink r:id="rId9" w:history="1">
              <w:r w:rsidRPr="00951CD9">
                <w:rPr>
                  <w:rFonts w:ascii="ˎ̥" w:eastAsia="宋体" w:hAnsi="ˎ̥" w:cs="宋体"/>
                  <w:color w:val="888888"/>
                  <w:kern w:val="0"/>
                  <w:sz w:val="18"/>
                  <w:szCs w:val="18"/>
                </w:rPr>
                <w:t>打印</w:t>
              </w:r>
            </w:hyperlink>
            <w:r w:rsidRPr="00951CD9">
              <w:rPr>
                <w:rFonts w:ascii="ˎ̥" w:eastAsia="宋体" w:hAnsi="ˎ̥" w:cs="宋体"/>
                <w:color w:val="888888"/>
                <w:kern w:val="0"/>
                <w:sz w:val="18"/>
                <w:szCs w:val="18"/>
              </w:rPr>
              <w:t>】【</w:t>
            </w:r>
            <w:hyperlink r:id="rId10" w:history="1">
              <w:r w:rsidRPr="00951CD9">
                <w:rPr>
                  <w:rFonts w:ascii="ˎ̥" w:eastAsia="宋体" w:hAnsi="ˎ̥" w:cs="宋体"/>
                  <w:color w:val="888888"/>
                  <w:kern w:val="0"/>
                  <w:sz w:val="18"/>
                  <w:szCs w:val="18"/>
                </w:rPr>
                <w:t>关闭</w:t>
              </w:r>
            </w:hyperlink>
            <w:r w:rsidRPr="00951CD9">
              <w:rPr>
                <w:rFonts w:ascii="ˎ̥" w:eastAsia="宋体" w:hAnsi="ˎ̥" w:cs="宋体"/>
                <w:color w:val="888888"/>
                <w:kern w:val="0"/>
                <w:sz w:val="18"/>
                <w:szCs w:val="18"/>
              </w:rPr>
              <w:t>】</w:t>
            </w:r>
            <w:r w:rsidRPr="00951CD9">
              <w:rPr>
                <w:rFonts w:ascii="ˎ̥" w:eastAsia="宋体" w:hAnsi="ˎ̥" w:cs="宋体"/>
                <w:color w:val="888888"/>
                <w:kern w:val="0"/>
                <w:sz w:val="18"/>
                <w:szCs w:val="18"/>
              </w:rPr>
              <w:t xml:space="preserve"> </w:t>
            </w:r>
          </w:p>
        </w:tc>
      </w:tr>
    </w:tbl>
    <w:p w:rsidR="00951CD9" w:rsidRPr="00951CD9" w:rsidRDefault="00951CD9" w:rsidP="00951CD9">
      <w:pPr>
        <w:widowControl/>
        <w:spacing w:line="360" w:lineRule="atLeast"/>
        <w:jc w:val="center"/>
        <w:rPr>
          <w:rFonts w:ascii="ˎ̥" w:eastAsia="宋体" w:hAnsi="ˎ̥" w:cs="宋体" w:hint="eastAsia"/>
          <w:vanish/>
          <w:color w:val="333333"/>
          <w:kern w:val="0"/>
          <w:szCs w:val="21"/>
        </w:rPr>
      </w:pPr>
    </w:p>
    <w:tbl>
      <w:tblPr>
        <w:tblW w:w="4800" w:type="pct"/>
        <w:jc w:val="center"/>
        <w:tblCellSpacing w:w="0" w:type="dxa"/>
        <w:tblCellMar>
          <w:left w:w="0" w:type="dxa"/>
          <w:right w:w="0" w:type="dxa"/>
        </w:tblCellMar>
        <w:tblLook w:val="04A0"/>
      </w:tblPr>
      <w:tblGrid>
        <w:gridCol w:w="7974"/>
      </w:tblGrid>
      <w:tr w:rsidR="00951CD9" w:rsidRPr="00951CD9">
        <w:trPr>
          <w:trHeight w:val="225"/>
          <w:tblCellSpacing w:w="0" w:type="dxa"/>
          <w:jc w:val="center"/>
        </w:trPr>
        <w:tc>
          <w:tcPr>
            <w:tcW w:w="0" w:type="auto"/>
            <w:vAlign w:val="center"/>
            <w:hideMark/>
          </w:tcPr>
          <w:p w:rsidR="00951CD9" w:rsidRPr="00951CD9" w:rsidRDefault="00951CD9" w:rsidP="00951CD9">
            <w:pPr>
              <w:widowControl/>
              <w:spacing w:line="360" w:lineRule="atLeast"/>
              <w:jc w:val="left"/>
              <w:rPr>
                <w:rFonts w:ascii="ˎ̥" w:eastAsia="宋体" w:hAnsi="ˎ̥" w:cs="宋体"/>
                <w:color w:val="333333"/>
                <w:kern w:val="0"/>
                <w:szCs w:val="21"/>
              </w:rPr>
            </w:pPr>
          </w:p>
        </w:tc>
      </w:tr>
      <w:tr w:rsidR="00951CD9" w:rsidRPr="00951CD9">
        <w:trPr>
          <w:trHeight w:val="225"/>
          <w:tblCellSpacing w:w="0" w:type="dxa"/>
          <w:jc w:val="center"/>
        </w:trPr>
        <w:tc>
          <w:tcPr>
            <w:tcW w:w="0" w:type="auto"/>
            <w:vAlign w:val="center"/>
            <w:hideMark/>
          </w:tcPr>
          <w:p w:rsidR="00951CD9" w:rsidRPr="00951CD9" w:rsidRDefault="00951CD9" w:rsidP="00951CD9">
            <w:pPr>
              <w:widowControl/>
              <w:spacing w:before="100" w:beforeAutospacing="1" w:after="100" w:afterAutospacing="1" w:line="360" w:lineRule="atLeast"/>
              <w:jc w:val="center"/>
              <w:rPr>
                <w:rFonts w:ascii="ˎ̥" w:eastAsia="宋体" w:hAnsi="ˎ̥" w:cs="宋体"/>
                <w:color w:val="333333"/>
                <w:kern w:val="0"/>
                <w:szCs w:val="21"/>
              </w:rPr>
            </w:pPr>
            <w:r w:rsidRPr="00951CD9">
              <w:rPr>
                <w:rFonts w:ascii="ˎ̥" w:eastAsia="宋体" w:hAnsi="ˎ̥" w:cs="宋体"/>
                <w:color w:val="333333"/>
                <w:kern w:val="0"/>
                <w:szCs w:val="21"/>
              </w:rPr>
              <w:t xml:space="preserve">　　</w:t>
            </w:r>
            <w:r w:rsidRPr="00951CD9">
              <w:rPr>
                <w:rFonts w:ascii="ˎ̥" w:eastAsia="宋体" w:hAnsi="ˎ̥" w:cs="宋体"/>
                <w:b/>
                <w:bCs/>
                <w:color w:val="333333"/>
                <w:kern w:val="0"/>
              </w:rPr>
              <w:t>国土资厅函〔</w:t>
            </w:r>
            <w:r w:rsidRPr="00951CD9">
              <w:rPr>
                <w:rFonts w:ascii="ˎ̥" w:eastAsia="宋体" w:hAnsi="ˎ̥" w:cs="宋体"/>
                <w:b/>
                <w:bCs/>
                <w:color w:val="333333"/>
                <w:kern w:val="0"/>
              </w:rPr>
              <w:t>2012</w:t>
            </w:r>
            <w:r w:rsidRPr="00951CD9">
              <w:rPr>
                <w:rFonts w:ascii="ˎ̥" w:eastAsia="宋体" w:hAnsi="ˎ̥" w:cs="宋体"/>
                <w:b/>
                <w:bCs/>
                <w:color w:val="333333"/>
                <w:kern w:val="0"/>
              </w:rPr>
              <w:t>〕</w:t>
            </w:r>
            <w:r w:rsidRPr="00951CD9">
              <w:rPr>
                <w:rFonts w:ascii="ˎ̥" w:eastAsia="宋体" w:hAnsi="ˎ̥" w:cs="宋体"/>
                <w:b/>
                <w:bCs/>
                <w:color w:val="333333"/>
                <w:kern w:val="0"/>
              </w:rPr>
              <w:t>229</w:t>
            </w:r>
            <w:r w:rsidRPr="00951CD9">
              <w:rPr>
                <w:rFonts w:ascii="ˎ̥" w:eastAsia="宋体" w:hAnsi="ˎ̥" w:cs="宋体"/>
                <w:b/>
                <w:bCs/>
                <w:color w:val="333333"/>
                <w:kern w:val="0"/>
              </w:rPr>
              <w:t>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各省、自治区、直辖市国土资源主管部门：</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为进一步贯彻落实《国土资源部关于进一步完善矿业权管理促进整装勘查的通知》（国土资发〔</w:t>
            </w:r>
            <w:r w:rsidRPr="00951CD9">
              <w:rPr>
                <w:rFonts w:ascii="ˎ̥" w:eastAsia="宋体" w:hAnsi="ˎ̥" w:cs="宋体"/>
                <w:color w:val="333333"/>
                <w:kern w:val="0"/>
                <w:szCs w:val="21"/>
              </w:rPr>
              <w:t>2011</w:t>
            </w:r>
            <w:r w:rsidRPr="00951CD9">
              <w:rPr>
                <w:rFonts w:ascii="ˎ̥" w:eastAsia="宋体" w:hAnsi="ˎ̥" w:cs="宋体"/>
                <w:color w:val="333333"/>
                <w:kern w:val="0"/>
                <w:szCs w:val="21"/>
              </w:rPr>
              <w:t>〕</w:t>
            </w:r>
            <w:r w:rsidRPr="00951CD9">
              <w:rPr>
                <w:rFonts w:ascii="ˎ̥" w:eastAsia="宋体" w:hAnsi="ˎ̥" w:cs="宋体"/>
                <w:color w:val="333333"/>
                <w:kern w:val="0"/>
                <w:szCs w:val="21"/>
              </w:rPr>
              <w:t>55</w:t>
            </w:r>
            <w:r w:rsidRPr="00951CD9">
              <w:rPr>
                <w:rFonts w:ascii="ˎ̥" w:eastAsia="宋体" w:hAnsi="ˎ̥" w:cs="宋体"/>
                <w:color w:val="333333"/>
                <w:kern w:val="0"/>
                <w:szCs w:val="21"/>
              </w:rPr>
              <w:t>号）相关要求，实施矿业权设置方案信息化管理，加强矿业权统一配号系统监管功能，从</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日起，矿业权统一配号系统已对矿业权设置方案全面实施监管。为妥善处理遗留问题，做好政策衔接，现对矿业权设置方案未编制入库的矿业权项目配号有关问题函告如下。</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w:t>
            </w:r>
            <w:r w:rsidRPr="00951CD9">
              <w:rPr>
                <w:rFonts w:ascii="ˎ̥" w:eastAsia="宋体" w:hAnsi="ˎ̥" w:cs="宋体"/>
                <w:b/>
                <w:bCs/>
                <w:color w:val="333333"/>
                <w:kern w:val="0"/>
              </w:rPr>
              <w:t>一、矿业权统一配号系统的监管范围</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日起（含</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低风险勘查、无风险矿种以及整装勘查区内高风险勘查矿业权设置方案未经批准或备案入库，以及不符合矿业权设置方案的，不得新设矿业权（含扩大勘查开采范围），矿业权统一配号系统不予配号。符合以下情形之一的除外：</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（一）</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日前（不含</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下同）发布公告或发文委托的招标拍卖挂牌出让项目。申请配号时，配号系统根据矿业权公示公开系统中项目公告日期自动配号。公示公开系统中信息不全的项目，在配号系统中补充招标拍卖挂牌的公告日期或委托日期后，配号系统予以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（二）</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日前完成协议出让审批程序、确定出让主体的协议出让项目。申请配号时，在配号系统中补充协议出让矿业权的批准日期和批准文号后，配号系统予以配号。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（三）</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日前受理的扩大勘查范围的项目。申请配号时，配号系统根据项目受理日期自动配号。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（四）划定矿区范围的受理日期为</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日前的采矿权新立及扩大开采范围的项目。申请配号时，在配号系统中补充划定矿区范围的受理日期后，配号系统予以配号。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（五）按</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日前批准的整合实施方案实施整合，或按矿业权实地核查</w:t>
            </w:r>
            <w:r w:rsidRPr="00951CD9">
              <w:rPr>
                <w:rFonts w:ascii="ˎ̥" w:eastAsia="宋体" w:hAnsi="ˎ̥" w:cs="宋体"/>
                <w:color w:val="333333"/>
                <w:kern w:val="0"/>
                <w:szCs w:val="21"/>
              </w:rPr>
              <w:lastRenderedPageBreak/>
              <w:t>要求，需要扩大勘查开采范围的项目（</w:t>
            </w:r>
            <w:r w:rsidRPr="00951CD9">
              <w:rPr>
                <w:rFonts w:ascii="ˎ̥" w:eastAsia="宋体" w:hAnsi="ˎ̥" w:cs="宋体"/>
                <w:color w:val="333333"/>
                <w:kern w:val="0"/>
                <w:szCs w:val="21"/>
              </w:rPr>
              <w:t>2012</w:t>
            </w:r>
            <w:r w:rsidRPr="00951CD9">
              <w:rPr>
                <w:rFonts w:ascii="ˎ̥" w:eastAsia="宋体" w:hAnsi="ˎ̥" w:cs="宋体"/>
                <w:color w:val="333333"/>
                <w:kern w:val="0"/>
                <w:szCs w:val="21"/>
              </w:rPr>
              <w:t>年</w:t>
            </w:r>
            <w:r w:rsidRPr="00951CD9">
              <w:rPr>
                <w:rFonts w:ascii="ˎ̥" w:eastAsia="宋体" w:hAnsi="ˎ̥" w:cs="宋体"/>
                <w:color w:val="333333"/>
                <w:kern w:val="0"/>
                <w:szCs w:val="21"/>
              </w:rPr>
              <w:t>1</w:t>
            </w:r>
            <w:r w:rsidRPr="00951CD9">
              <w:rPr>
                <w:rFonts w:ascii="ˎ̥" w:eastAsia="宋体" w:hAnsi="ˎ̥" w:cs="宋体"/>
                <w:color w:val="333333"/>
                <w:kern w:val="0"/>
                <w:szCs w:val="21"/>
              </w:rPr>
              <w:t>月</w:t>
            </w:r>
            <w:r w:rsidRPr="00951CD9">
              <w:rPr>
                <w:rFonts w:ascii="ˎ̥" w:eastAsia="宋体" w:hAnsi="ˎ̥" w:cs="宋体"/>
                <w:color w:val="333333"/>
                <w:kern w:val="0"/>
                <w:szCs w:val="21"/>
              </w:rPr>
              <w:t>1</w:t>
            </w:r>
            <w:r w:rsidRPr="00951CD9">
              <w:rPr>
                <w:rFonts w:ascii="ˎ̥" w:eastAsia="宋体" w:hAnsi="ˎ̥" w:cs="宋体"/>
                <w:color w:val="333333"/>
                <w:kern w:val="0"/>
                <w:szCs w:val="21"/>
              </w:rPr>
              <w:t>日后，已有矿业权整合纳入矿业权设置方案）。申请配号时，在配号系统中补充整合方案批准日期及批准文号，或核查意见出具日期后，配号系统予以配号。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（六）为编制低风险勘查矿业权设置方案，由中央和省级财政全额出资开展的预查和必要普查项目。申请配号时，在配号系统中补充相关项目立项批准文号后，配号系统予以配号。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整装勘查区内，须整装勘查区矿业权设置方案审批入库后，符合上述</w:t>
            </w:r>
            <w:r w:rsidRPr="00951CD9">
              <w:rPr>
                <w:rFonts w:ascii="ˎ̥" w:eastAsia="宋体" w:hAnsi="ˎ̥" w:cs="宋体"/>
                <w:color w:val="333333"/>
                <w:kern w:val="0"/>
                <w:szCs w:val="21"/>
              </w:rPr>
              <w:t>6</w:t>
            </w:r>
            <w:r w:rsidRPr="00951CD9">
              <w:rPr>
                <w:rFonts w:ascii="ˎ̥" w:eastAsia="宋体" w:hAnsi="ˎ̥" w:cs="宋体"/>
                <w:color w:val="333333"/>
                <w:kern w:val="0"/>
                <w:szCs w:val="21"/>
              </w:rPr>
              <w:t>种情形的项目才予开通配号。其他地区，矿业权设置方案审批入库前，符合条件的项目即可开通配号。</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w:t>
            </w:r>
            <w:r w:rsidRPr="00951CD9">
              <w:rPr>
                <w:rFonts w:ascii="ˎ̥" w:eastAsia="宋体" w:hAnsi="ˎ̥" w:cs="宋体"/>
                <w:b/>
                <w:bCs/>
                <w:color w:val="333333"/>
                <w:kern w:val="0"/>
              </w:rPr>
              <w:t>二、补充信息方式</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开发司委托部信息中心在矿业权统一配号系统的配号信息中增加相关内容填报项，由登记管理机关在申请配号时按要求如实填报。</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w:t>
            </w:r>
            <w:r w:rsidRPr="00951CD9">
              <w:rPr>
                <w:rFonts w:ascii="ˎ̥" w:eastAsia="宋体" w:hAnsi="ˎ̥" w:cs="宋体"/>
                <w:b/>
                <w:bCs/>
                <w:color w:val="333333"/>
                <w:kern w:val="0"/>
              </w:rPr>
              <w:t>三、其他</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（一）各级登记管理机关要认真审核、严格把关，对补充信息的真实性负责。部将组织进行抽查，发现弄虚作假，将严肃追究责任。</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（二）延续、变更（不含扩大勘查开采范围）、保留、注销申请项目的矿业权配号不受矿业权设置方案限定。</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（三）非整装勘查区高风险勘查探矿权新立项目（含扩大勘查范围）的矿业权配号，不受矿业权设置方案限定。</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联系人及电话：</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部开发司</w:t>
            </w:r>
            <w:r w:rsidRPr="00951CD9">
              <w:rPr>
                <w:rFonts w:ascii="ˎ̥" w:eastAsia="宋体" w:hAnsi="ˎ̥" w:cs="宋体"/>
                <w:color w:val="333333"/>
                <w:kern w:val="0"/>
                <w:szCs w:val="21"/>
              </w:rPr>
              <w:t xml:space="preserve">      </w:t>
            </w:r>
            <w:r w:rsidRPr="00951CD9">
              <w:rPr>
                <w:rFonts w:ascii="ˎ̥" w:eastAsia="宋体" w:hAnsi="ˎ̥" w:cs="宋体"/>
                <w:color w:val="333333"/>
                <w:kern w:val="0"/>
                <w:szCs w:val="21"/>
              </w:rPr>
              <w:t>吴</w:t>
            </w:r>
            <w:r w:rsidRPr="00951CD9">
              <w:rPr>
                <w:rFonts w:ascii="ˎ̥" w:eastAsia="宋体" w:hAnsi="ˎ̥" w:cs="宋体"/>
                <w:color w:val="333333"/>
                <w:kern w:val="0"/>
                <w:szCs w:val="21"/>
              </w:rPr>
              <w:t xml:space="preserve"> </w:t>
            </w:r>
            <w:r w:rsidRPr="00951CD9">
              <w:rPr>
                <w:rFonts w:ascii="ˎ̥" w:eastAsia="宋体" w:hAnsi="ˎ̥" w:cs="宋体"/>
                <w:color w:val="333333"/>
                <w:kern w:val="0"/>
                <w:szCs w:val="21"/>
              </w:rPr>
              <w:t>峻</w:t>
            </w:r>
            <w:r w:rsidRPr="00951CD9">
              <w:rPr>
                <w:rFonts w:ascii="ˎ̥" w:eastAsia="宋体" w:hAnsi="ˎ̥" w:cs="宋体"/>
                <w:color w:val="333333"/>
                <w:kern w:val="0"/>
                <w:szCs w:val="21"/>
              </w:rPr>
              <w:t>  010-66558581</w:t>
            </w:r>
          </w:p>
          <w:p w:rsidR="00951CD9" w:rsidRPr="00951CD9" w:rsidRDefault="00951CD9" w:rsidP="00951CD9">
            <w:pPr>
              <w:widowControl/>
              <w:spacing w:before="100" w:beforeAutospacing="1" w:after="100" w:afterAutospacing="1" w:line="360" w:lineRule="atLeast"/>
              <w:jc w:val="left"/>
              <w:rPr>
                <w:rFonts w:ascii="ˎ̥" w:eastAsia="宋体" w:hAnsi="ˎ̥" w:cs="宋体"/>
                <w:color w:val="333333"/>
                <w:kern w:val="0"/>
                <w:szCs w:val="21"/>
              </w:rPr>
            </w:pPr>
            <w:r w:rsidRPr="00951CD9">
              <w:rPr>
                <w:rFonts w:ascii="ˎ̥" w:eastAsia="宋体" w:hAnsi="ˎ̥" w:cs="宋体"/>
                <w:color w:val="333333"/>
                <w:kern w:val="0"/>
                <w:szCs w:val="21"/>
              </w:rPr>
              <w:t xml:space="preserve">　　部信息中心</w:t>
            </w:r>
            <w:r w:rsidRPr="00951CD9">
              <w:rPr>
                <w:rFonts w:ascii="ˎ̥" w:eastAsia="宋体" w:hAnsi="ˎ̥" w:cs="宋体"/>
                <w:color w:val="333333"/>
                <w:kern w:val="0"/>
                <w:szCs w:val="21"/>
              </w:rPr>
              <w:t xml:space="preserve">    </w:t>
            </w:r>
            <w:r w:rsidRPr="00951CD9">
              <w:rPr>
                <w:rFonts w:ascii="ˎ̥" w:eastAsia="宋体" w:hAnsi="ˎ̥" w:cs="宋体"/>
                <w:color w:val="333333"/>
                <w:kern w:val="0"/>
                <w:szCs w:val="21"/>
              </w:rPr>
              <w:t>曾建鹰</w:t>
            </w:r>
            <w:r w:rsidRPr="00951CD9">
              <w:rPr>
                <w:rFonts w:ascii="ˎ̥" w:eastAsia="宋体" w:hAnsi="ˎ̥" w:cs="宋体"/>
                <w:color w:val="333333"/>
                <w:kern w:val="0"/>
                <w:szCs w:val="21"/>
              </w:rPr>
              <w:t>    010-66558761</w:t>
            </w:r>
          </w:p>
          <w:p w:rsidR="00951CD9" w:rsidRPr="00951CD9" w:rsidRDefault="00951CD9" w:rsidP="00951CD9">
            <w:pPr>
              <w:widowControl/>
              <w:spacing w:before="100" w:beforeAutospacing="1" w:after="100" w:afterAutospacing="1" w:line="360" w:lineRule="atLeast"/>
              <w:jc w:val="right"/>
              <w:rPr>
                <w:rFonts w:ascii="ˎ̥" w:eastAsia="宋体" w:hAnsi="ˎ̥" w:cs="宋体"/>
                <w:color w:val="333333"/>
                <w:kern w:val="0"/>
                <w:szCs w:val="21"/>
              </w:rPr>
            </w:pPr>
            <w:r w:rsidRPr="00951CD9">
              <w:rPr>
                <w:rFonts w:ascii="ˎ̥" w:eastAsia="宋体" w:hAnsi="ˎ̥" w:cs="宋体"/>
                <w:color w:val="333333"/>
                <w:kern w:val="0"/>
                <w:szCs w:val="21"/>
              </w:rPr>
              <w:t xml:space="preserve">　　二〇一二年三月二十二日</w:t>
            </w:r>
          </w:p>
        </w:tc>
      </w:tr>
    </w:tbl>
    <w:p w:rsidR="00007E71" w:rsidRPr="00951CD9" w:rsidRDefault="00007E71"/>
    <w:sectPr w:rsidR="00007E71" w:rsidRPr="00951C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E71" w:rsidRDefault="00007E71" w:rsidP="00951CD9">
      <w:r>
        <w:separator/>
      </w:r>
    </w:p>
  </w:endnote>
  <w:endnote w:type="continuationSeparator" w:id="1">
    <w:p w:rsidR="00007E71" w:rsidRDefault="00007E71" w:rsidP="00951C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E71" w:rsidRDefault="00007E71" w:rsidP="00951CD9">
      <w:r>
        <w:separator/>
      </w:r>
    </w:p>
  </w:footnote>
  <w:footnote w:type="continuationSeparator" w:id="1">
    <w:p w:rsidR="00007E71" w:rsidRDefault="00007E71" w:rsidP="00951C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CD9"/>
    <w:rsid w:val="00007E71"/>
    <w:rsid w:val="00951C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C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1CD9"/>
    <w:rPr>
      <w:sz w:val="18"/>
      <w:szCs w:val="18"/>
    </w:rPr>
  </w:style>
  <w:style w:type="paragraph" w:styleId="a4">
    <w:name w:val="footer"/>
    <w:basedOn w:val="a"/>
    <w:link w:val="Char0"/>
    <w:uiPriority w:val="99"/>
    <w:semiHidden/>
    <w:unhideWhenUsed/>
    <w:rsid w:val="00951C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1CD9"/>
    <w:rPr>
      <w:sz w:val="18"/>
      <w:szCs w:val="18"/>
    </w:rPr>
  </w:style>
  <w:style w:type="character" w:styleId="a5">
    <w:name w:val="Strong"/>
    <w:basedOn w:val="a0"/>
    <w:uiPriority w:val="22"/>
    <w:qFormat/>
    <w:rsid w:val="00951CD9"/>
    <w:rPr>
      <w:b/>
      <w:bCs/>
    </w:rPr>
  </w:style>
  <w:style w:type="paragraph" w:customStyle="1" w:styleId="customunionstyle">
    <w:name w:val="custom_unionstyle"/>
    <w:basedOn w:val="a"/>
    <w:rsid w:val="00951CD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32220068">
      <w:bodyDiv w:val="1"/>
      <w:marLeft w:val="0"/>
      <w:marRight w:val="0"/>
      <w:marTop w:val="0"/>
      <w:marBottom w:val="0"/>
      <w:divBdr>
        <w:top w:val="none" w:sz="0" w:space="0" w:color="auto"/>
        <w:left w:val="none" w:sz="0" w:space="0" w:color="auto"/>
        <w:bottom w:val="none" w:sz="0" w:space="0" w:color="auto"/>
        <w:right w:val="none" w:sz="0" w:space="0" w:color="auto"/>
      </w:divBdr>
      <w:divsChild>
        <w:div w:id="18090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lr.gov.cn/zwgk/zytz/201203/t20120323_1076623.htm" TargetMode="External"/><Relationship Id="rId3" Type="http://schemas.openxmlformats.org/officeDocument/2006/relationships/webSettings" Target="webSettings.xml"/><Relationship Id="rId7" Type="http://schemas.openxmlformats.org/officeDocument/2006/relationships/hyperlink" Target="http://www.mlr.gov.cn/zwgk/zytz/201203/t20120323_1076623.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lr.gov.cn/zwgk/zytz/201203/t20120323_1076623.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javascript:window.close();" TargetMode="External"/><Relationship Id="rId4" Type="http://schemas.openxmlformats.org/officeDocument/2006/relationships/footnotes" Target="footnotes.xml"/><Relationship Id="rId9" Type="http://schemas.openxmlformats.org/officeDocument/2006/relationships/hyperlink" Target="http://www.mlr.gov.cn/zwgk/zytz/201203/t20120323_107662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 Cao (EBD)</dc:creator>
  <cp:keywords/>
  <dc:description/>
  <cp:lastModifiedBy>Zhong Cao (EBD)</cp:lastModifiedBy>
  <cp:revision>2</cp:revision>
  <dcterms:created xsi:type="dcterms:W3CDTF">2012-11-10T23:46:00Z</dcterms:created>
  <dcterms:modified xsi:type="dcterms:W3CDTF">2012-11-10T23:47:00Z</dcterms:modified>
</cp:coreProperties>
</file>