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131" w:rsidRPr="003F2131" w:rsidRDefault="003F2131" w:rsidP="003F2131">
      <w:pPr>
        <w:widowControl/>
        <w:shd w:val="clear" w:color="auto" w:fill="FFFFFF"/>
        <w:spacing w:before="100" w:beforeAutospacing="1" w:after="48" w:line="288" w:lineRule="atLeast"/>
        <w:jc w:val="left"/>
        <w:outlineLvl w:val="1"/>
        <w:rPr>
          <w:rFonts w:ascii="Verdana" w:eastAsia="宋体" w:hAnsi="Verdana" w:cs="宋体"/>
          <w:kern w:val="36"/>
          <w:sz w:val="27"/>
          <w:szCs w:val="27"/>
        </w:rPr>
      </w:pPr>
      <w:r w:rsidRPr="003F2131">
        <w:rPr>
          <w:rFonts w:ascii="Verdana" w:eastAsia="宋体" w:hAnsi="Verdana" w:cs="宋体"/>
          <w:kern w:val="36"/>
          <w:sz w:val="27"/>
          <w:szCs w:val="27"/>
        </w:rPr>
        <w:t>核密度分析的工作原理</w:t>
      </w:r>
    </w:p>
    <w:p w:rsidR="003F2131" w:rsidRPr="003F2131" w:rsidRDefault="003F2131" w:rsidP="003F2131">
      <w:pPr>
        <w:widowControl/>
        <w:shd w:val="clear" w:color="auto" w:fill="FFFFFF"/>
        <w:spacing w:line="336" w:lineRule="atLeast"/>
        <w:jc w:val="left"/>
        <w:rPr>
          <w:rFonts w:ascii="Verdana" w:eastAsia="宋体" w:hAnsi="Verdana" w:cs="宋体"/>
          <w:kern w:val="0"/>
          <w:sz w:val="14"/>
          <w:szCs w:val="14"/>
        </w:rPr>
      </w:pPr>
      <w:hyperlink r:id="rId7" w:history="1">
        <w:r w:rsidRPr="003F2131">
          <w:rPr>
            <w:rFonts w:ascii="Verdana" w:eastAsia="宋体" w:hAnsi="Verdana" w:cs="宋体"/>
            <w:color w:val="0C618D"/>
            <w:kern w:val="0"/>
            <w:sz w:val="14"/>
            <w:szCs w:val="14"/>
            <w:u w:val="single"/>
          </w:rPr>
          <w:t>Resource Center</w:t>
        </w:r>
      </w:hyperlink>
      <w:r w:rsidRPr="003F2131">
        <w:rPr>
          <w:rFonts w:ascii="Verdana" w:eastAsia="宋体" w:hAnsi="Verdana" w:cs="宋体"/>
          <w:kern w:val="0"/>
          <w:sz w:val="14"/>
          <w:szCs w:val="14"/>
        </w:rPr>
        <w:t xml:space="preserve"> » </w:t>
      </w:r>
      <w:hyperlink r:id="rId8" w:history="1">
        <w:r w:rsidRPr="003F2131">
          <w:rPr>
            <w:rFonts w:ascii="Verdana" w:eastAsia="宋体" w:hAnsi="Verdana" w:cs="宋体"/>
            <w:color w:val="0C618D"/>
            <w:kern w:val="0"/>
            <w:sz w:val="14"/>
            <w:szCs w:val="14"/>
            <w:u w:val="single"/>
          </w:rPr>
          <w:t>专业库</w:t>
        </w:r>
      </w:hyperlink>
      <w:r w:rsidRPr="003F2131">
        <w:rPr>
          <w:rFonts w:ascii="Verdana" w:eastAsia="宋体" w:hAnsi="Verdana" w:cs="宋体"/>
          <w:kern w:val="0"/>
          <w:sz w:val="14"/>
          <w:szCs w:val="14"/>
        </w:rPr>
        <w:t xml:space="preserve"> » </w:t>
      </w:r>
      <w:hyperlink r:id="rId9" w:history="1">
        <w:r w:rsidRPr="003F2131">
          <w:rPr>
            <w:rFonts w:ascii="Verdana" w:eastAsia="宋体" w:hAnsi="Verdana" w:cs="宋体"/>
            <w:color w:val="0C618D"/>
            <w:kern w:val="0"/>
            <w:sz w:val="14"/>
            <w:szCs w:val="14"/>
            <w:u w:val="single"/>
          </w:rPr>
          <w:t>地理处理</w:t>
        </w:r>
      </w:hyperlink>
      <w:r w:rsidRPr="003F2131">
        <w:rPr>
          <w:rFonts w:ascii="Verdana" w:eastAsia="宋体" w:hAnsi="Verdana" w:cs="宋体"/>
          <w:kern w:val="0"/>
          <w:sz w:val="14"/>
          <w:szCs w:val="14"/>
        </w:rPr>
        <w:t xml:space="preserve"> » </w:t>
      </w:r>
      <w:hyperlink r:id="rId10" w:history="1">
        <w:r w:rsidRPr="003F2131">
          <w:rPr>
            <w:rFonts w:ascii="Verdana" w:eastAsia="宋体" w:hAnsi="Verdana" w:cs="宋体"/>
            <w:color w:val="0C618D"/>
            <w:kern w:val="0"/>
            <w:sz w:val="14"/>
            <w:szCs w:val="14"/>
            <w:u w:val="single"/>
          </w:rPr>
          <w:t>地理处理工具参考</w:t>
        </w:r>
      </w:hyperlink>
      <w:r w:rsidRPr="003F2131">
        <w:rPr>
          <w:rFonts w:ascii="Verdana" w:eastAsia="宋体" w:hAnsi="Verdana" w:cs="宋体"/>
          <w:kern w:val="0"/>
          <w:sz w:val="14"/>
          <w:szCs w:val="14"/>
        </w:rPr>
        <w:t xml:space="preserve"> » </w:t>
      </w:r>
      <w:hyperlink r:id="rId11" w:history="1">
        <w:r w:rsidRPr="003F2131">
          <w:rPr>
            <w:rFonts w:ascii="Verdana" w:eastAsia="宋体" w:hAnsi="Verdana" w:cs="宋体"/>
            <w:color w:val="0C618D"/>
            <w:kern w:val="0"/>
            <w:sz w:val="14"/>
            <w:szCs w:val="14"/>
            <w:u w:val="single"/>
          </w:rPr>
          <w:t xml:space="preserve">Spatial Analyst </w:t>
        </w:r>
        <w:r w:rsidRPr="003F2131">
          <w:rPr>
            <w:rFonts w:ascii="Verdana" w:eastAsia="宋体" w:hAnsi="Verdana" w:cs="宋体"/>
            <w:color w:val="0C618D"/>
            <w:kern w:val="0"/>
            <w:sz w:val="14"/>
            <w:szCs w:val="14"/>
            <w:u w:val="single"/>
          </w:rPr>
          <w:t>工具箱</w:t>
        </w:r>
      </w:hyperlink>
      <w:r w:rsidRPr="003F2131">
        <w:rPr>
          <w:rFonts w:ascii="Verdana" w:eastAsia="宋体" w:hAnsi="Verdana" w:cs="宋体"/>
          <w:kern w:val="0"/>
          <w:sz w:val="14"/>
          <w:szCs w:val="14"/>
        </w:rPr>
        <w:t xml:space="preserve"> » </w:t>
      </w:r>
      <w:hyperlink r:id="rId12" w:history="1">
        <w:r w:rsidRPr="003F2131">
          <w:rPr>
            <w:rFonts w:ascii="Verdana" w:eastAsia="宋体" w:hAnsi="Verdana" w:cs="宋体"/>
            <w:color w:val="0C618D"/>
            <w:kern w:val="0"/>
            <w:sz w:val="14"/>
            <w:szCs w:val="14"/>
            <w:u w:val="single"/>
          </w:rPr>
          <w:t>密度分析工具集</w:t>
        </w:r>
      </w:hyperlink>
      <w:r w:rsidRPr="003F2131">
        <w:rPr>
          <w:rFonts w:ascii="Verdana" w:eastAsia="宋体" w:hAnsi="Verdana" w:cs="宋体"/>
          <w:kern w:val="0"/>
          <w:sz w:val="14"/>
          <w:szCs w:val="14"/>
        </w:rPr>
        <w:t xml:space="preserve"> » </w:t>
      </w:r>
      <w:hyperlink r:id="rId13" w:history="1">
        <w:r w:rsidRPr="003F2131">
          <w:rPr>
            <w:rFonts w:ascii="Verdana" w:eastAsia="宋体" w:hAnsi="Verdana" w:cs="宋体"/>
            <w:color w:val="0C618D"/>
            <w:kern w:val="0"/>
            <w:sz w:val="14"/>
            <w:szCs w:val="14"/>
            <w:u w:val="single"/>
          </w:rPr>
          <w:t>密度分析工具</w:t>
        </w:r>
        <w:proofErr w:type="gramStart"/>
        <w:r w:rsidRPr="003F2131">
          <w:rPr>
            <w:rFonts w:ascii="Verdana" w:eastAsia="宋体" w:hAnsi="Verdana" w:cs="宋体"/>
            <w:color w:val="0C618D"/>
            <w:kern w:val="0"/>
            <w:sz w:val="14"/>
            <w:szCs w:val="14"/>
            <w:u w:val="single"/>
          </w:rPr>
          <w:t>集概念</w:t>
        </w:r>
        <w:proofErr w:type="gramEnd"/>
      </w:hyperlink>
    </w:p>
    <w:p w:rsidR="003F2131" w:rsidRPr="003F2131" w:rsidRDefault="003F2131" w:rsidP="003F2131">
      <w:pPr>
        <w:widowControl/>
        <w:shd w:val="clear" w:color="auto" w:fill="FFFFFF"/>
        <w:spacing w:before="120" w:after="120" w:line="336" w:lineRule="atLeast"/>
        <w:jc w:val="left"/>
        <w:rPr>
          <w:rFonts w:ascii="Verdana" w:eastAsia="宋体" w:hAnsi="Verdana" w:cs="宋体"/>
          <w:kern w:val="0"/>
          <w:sz w:val="19"/>
          <w:szCs w:val="19"/>
        </w:rPr>
      </w:pPr>
      <w:hyperlink r:id="rId14" w:history="1">
        <w:r w:rsidRPr="003F2131">
          <w:rPr>
            <w:rFonts w:ascii="Verdana" w:eastAsia="宋体" w:hAnsi="Verdana" w:cs="宋体"/>
            <w:color w:val="0C618D"/>
            <w:kern w:val="0"/>
            <w:sz w:val="19"/>
            <w:szCs w:val="19"/>
            <w:u w:val="single"/>
          </w:rPr>
          <w:t>核密度分析</w:t>
        </w:r>
      </w:hyperlink>
      <w:r w:rsidRPr="003F2131">
        <w:rPr>
          <w:rFonts w:ascii="Verdana" w:eastAsia="宋体" w:hAnsi="Verdana" w:cs="宋体"/>
          <w:kern w:val="0"/>
          <w:sz w:val="19"/>
          <w:szCs w:val="19"/>
        </w:rPr>
        <w:t>工具用于计算要素在其周围邻域中的密度。此工具既可计算点要素的密度，也可</w:t>
      </w:r>
      <w:proofErr w:type="gramStart"/>
      <w:r w:rsidRPr="003F2131">
        <w:rPr>
          <w:rFonts w:ascii="Verdana" w:eastAsia="宋体" w:hAnsi="Verdana" w:cs="宋体"/>
          <w:kern w:val="0"/>
          <w:sz w:val="19"/>
          <w:szCs w:val="19"/>
        </w:rPr>
        <w:t>计算线</w:t>
      </w:r>
      <w:proofErr w:type="gramEnd"/>
      <w:r w:rsidRPr="003F2131">
        <w:rPr>
          <w:rFonts w:ascii="Verdana" w:eastAsia="宋体" w:hAnsi="Verdana" w:cs="宋体"/>
          <w:kern w:val="0"/>
          <w:sz w:val="19"/>
          <w:szCs w:val="19"/>
        </w:rPr>
        <w:t>要素的密度。</w:t>
      </w:r>
    </w:p>
    <w:p w:rsidR="003F2131" w:rsidRPr="003F2131" w:rsidRDefault="003F2131" w:rsidP="003F2131">
      <w:pPr>
        <w:widowControl/>
        <w:shd w:val="clear" w:color="auto" w:fill="FFFFFF"/>
        <w:spacing w:before="120" w:after="120" w:line="336" w:lineRule="atLeast"/>
        <w:jc w:val="left"/>
        <w:rPr>
          <w:rFonts w:ascii="Verdana" w:eastAsia="宋体" w:hAnsi="Verdana" w:cs="宋体"/>
          <w:kern w:val="0"/>
          <w:sz w:val="19"/>
          <w:szCs w:val="19"/>
        </w:rPr>
      </w:pPr>
      <w:r w:rsidRPr="003F2131">
        <w:rPr>
          <w:rFonts w:ascii="Verdana" w:eastAsia="宋体" w:hAnsi="Verdana" w:cs="宋体"/>
          <w:kern w:val="0"/>
          <w:sz w:val="19"/>
          <w:szCs w:val="19"/>
        </w:rPr>
        <w:t>核密度分析可用于测量建筑密度、获取犯罪情况报告，以及发现对城镇或野生动物栖息地造成影响的道路或公共设施管线。可使用</w:t>
      </w:r>
      <w:r w:rsidRPr="003F2131">
        <w:rPr>
          <w:rFonts w:ascii="Verdana" w:eastAsia="宋体" w:hAnsi="Verdana" w:cs="宋体"/>
          <w:kern w:val="0"/>
          <w:sz w:val="19"/>
          <w:szCs w:val="19"/>
        </w:rPr>
        <w:t xml:space="preserve"> population </w:t>
      </w:r>
      <w:r w:rsidRPr="003F2131">
        <w:rPr>
          <w:rFonts w:ascii="Verdana" w:eastAsia="宋体" w:hAnsi="Verdana" w:cs="宋体"/>
          <w:kern w:val="0"/>
          <w:sz w:val="19"/>
          <w:szCs w:val="19"/>
        </w:rPr>
        <w:t>字段根据要素的重要程度赋予某些要素比其他要素更大的权重，该字段还允许使用一个点表示多个观察对象。例如，一个地址可以表示一栋六单元的公寓，或者在确定总体犯罪率时可赋予某些罪行比其他罪行更大的权重。对于线要素，分车道高速公路可能比狭窄的土路产生更大的影响，高压线要比标准电线杆产生更大的影响。</w:t>
      </w:r>
    </w:p>
    <w:p w:rsidR="003F2131" w:rsidRPr="003F2131" w:rsidRDefault="003F2131" w:rsidP="003F2131">
      <w:pPr>
        <w:widowControl/>
        <w:shd w:val="clear" w:color="auto" w:fill="FFFFFF"/>
        <w:spacing w:before="100" w:beforeAutospacing="1" w:after="48" w:line="288" w:lineRule="atLeast"/>
        <w:jc w:val="left"/>
        <w:outlineLvl w:val="2"/>
        <w:rPr>
          <w:rFonts w:ascii="Verdana" w:eastAsia="宋体" w:hAnsi="Verdana" w:cs="宋体"/>
          <w:color w:val="103E4E"/>
          <w:kern w:val="0"/>
          <w:sz w:val="27"/>
          <w:szCs w:val="27"/>
        </w:rPr>
      </w:pPr>
      <w:r w:rsidRPr="003F2131">
        <w:rPr>
          <w:rFonts w:ascii="Verdana" w:eastAsia="宋体" w:hAnsi="Verdana" w:cs="宋体"/>
          <w:color w:val="103E4E"/>
          <w:kern w:val="0"/>
          <w:sz w:val="27"/>
          <w:szCs w:val="27"/>
        </w:rPr>
        <w:t>点要素的核密度分析</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核密度分析用于计算每个输出栅格像元周围的点要素的密度。</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概念上，每个点上方均覆盖着一个平滑曲面。在点所在位置处表面值最高，随着与点的距离的增大表面值逐渐减小，在与点的距离等于</w:t>
      </w:r>
      <w:r w:rsidRPr="003F2131">
        <w:rPr>
          <w:rFonts w:ascii="Verdana" w:eastAsia="宋体" w:hAnsi="Verdana" w:cs="宋体"/>
          <w:b/>
          <w:bCs/>
          <w:kern w:val="0"/>
          <w:sz w:val="17"/>
          <w:szCs w:val="17"/>
        </w:rPr>
        <w:t>搜索半径</w:t>
      </w:r>
      <w:r w:rsidRPr="003F2131">
        <w:rPr>
          <w:rFonts w:ascii="Verdana" w:eastAsia="宋体" w:hAnsi="Verdana" w:cs="宋体"/>
          <w:kern w:val="0"/>
          <w:sz w:val="19"/>
          <w:szCs w:val="19"/>
        </w:rPr>
        <w:t>的位置处表面值为零。仅允许使用圆形邻域。曲面与下方的平面所围成的空间的体积等于此点的</w:t>
      </w:r>
      <w:r w:rsidRPr="003F2131">
        <w:rPr>
          <w:rFonts w:ascii="Verdana" w:eastAsia="宋体" w:hAnsi="Verdana" w:cs="宋体"/>
          <w:kern w:val="0"/>
          <w:sz w:val="19"/>
          <w:szCs w:val="19"/>
        </w:rPr>
        <w:t xml:space="preserve"> </w:t>
      </w:r>
      <w:r w:rsidRPr="003F2131">
        <w:rPr>
          <w:rFonts w:ascii="Verdana" w:eastAsia="宋体" w:hAnsi="Verdana" w:cs="宋体"/>
          <w:b/>
          <w:bCs/>
          <w:kern w:val="0"/>
          <w:sz w:val="17"/>
          <w:szCs w:val="17"/>
        </w:rPr>
        <w:t xml:space="preserve">Population </w:t>
      </w:r>
      <w:r w:rsidRPr="003F2131">
        <w:rPr>
          <w:rFonts w:ascii="Verdana" w:eastAsia="宋体" w:hAnsi="Verdana" w:cs="宋体"/>
          <w:b/>
          <w:bCs/>
          <w:kern w:val="0"/>
          <w:sz w:val="17"/>
          <w:szCs w:val="17"/>
        </w:rPr>
        <w:t>字段</w:t>
      </w:r>
      <w:r w:rsidRPr="003F2131">
        <w:rPr>
          <w:rFonts w:ascii="Verdana" w:eastAsia="宋体" w:hAnsi="Verdana" w:cs="宋体"/>
          <w:kern w:val="0"/>
          <w:sz w:val="19"/>
          <w:szCs w:val="19"/>
        </w:rPr>
        <w:t>值，如果将此字段值指定为</w:t>
      </w:r>
      <w:r w:rsidRPr="003F2131">
        <w:rPr>
          <w:rFonts w:ascii="Verdana" w:eastAsia="宋体" w:hAnsi="Verdana" w:cs="宋体"/>
          <w:kern w:val="0"/>
          <w:sz w:val="19"/>
          <w:szCs w:val="19"/>
        </w:rPr>
        <w:t xml:space="preserve"> NONE </w:t>
      </w:r>
      <w:r w:rsidRPr="003F2131">
        <w:rPr>
          <w:rFonts w:ascii="Verdana" w:eastAsia="宋体" w:hAnsi="Verdana" w:cs="宋体"/>
          <w:kern w:val="0"/>
          <w:sz w:val="19"/>
          <w:szCs w:val="19"/>
        </w:rPr>
        <w:t>则体积为</w:t>
      </w:r>
      <w:r w:rsidRPr="003F2131">
        <w:rPr>
          <w:rFonts w:ascii="Verdana" w:eastAsia="宋体" w:hAnsi="Verdana" w:cs="宋体"/>
          <w:kern w:val="0"/>
          <w:sz w:val="19"/>
          <w:szCs w:val="19"/>
        </w:rPr>
        <w:t xml:space="preserve"> 1</w:t>
      </w:r>
      <w:r w:rsidRPr="003F2131">
        <w:rPr>
          <w:rFonts w:ascii="Verdana" w:eastAsia="宋体" w:hAnsi="Verdana" w:cs="宋体"/>
          <w:kern w:val="0"/>
          <w:sz w:val="19"/>
          <w:szCs w:val="19"/>
        </w:rPr>
        <w:t>。每个输出栅格像元的密度均为叠加在栅格像元中心的所有核表面的值之</w:t>
      </w:r>
      <w:proofErr w:type="gramStart"/>
      <w:r w:rsidRPr="003F2131">
        <w:rPr>
          <w:rFonts w:ascii="Verdana" w:eastAsia="宋体" w:hAnsi="Verdana" w:cs="宋体"/>
          <w:kern w:val="0"/>
          <w:sz w:val="19"/>
          <w:szCs w:val="19"/>
        </w:rPr>
        <w:t>和</w:t>
      </w:r>
      <w:proofErr w:type="gramEnd"/>
      <w:r w:rsidRPr="003F2131">
        <w:rPr>
          <w:rFonts w:ascii="Verdana" w:eastAsia="宋体" w:hAnsi="Verdana" w:cs="宋体"/>
          <w:kern w:val="0"/>
          <w:sz w:val="19"/>
          <w:szCs w:val="19"/>
        </w:rPr>
        <w:t>。核函数以</w:t>
      </w:r>
      <w:r w:rsidRPr="003F2131">
        <w:rPr>
          <w:rFonts w:ascii="Verdana" w:eastAsia="宋体" w:hAnsi="Verdana" w:cs="宋体"/>
          <w:kern w:val="0"/>
          <w:sz w:val="19"/>
          <w:szCs w:val="19"/>
        </w:rPr>
        <w:t xml:space="preserve"> Silverman </w:t>
      </w:r>
      <w:r w:rsidRPr="003F2131">
        <w:rPr>
          <w:rFonts w:ascii="Verdana" w:eastAsia="宋体" w:hAnsi="Verdana" w:cs="宋体"/>
          <w:kern w:val="0"/>
          <w:sz w:val="19"/>
          <w:szCs w:val="19"/>
        </w:rPr>
        <w:t>的著作（</w:t>
      </w:r>
      <w:r w:rsidRPr="003F2131">
        <w:rPr>
          <w:rFonts w:ascii="Verdana" w:eastAsia="宋体" w:hAnsi="Verdana" w:cs="宋体"/>
          <w:kern w:val="0"/>
          <w:sz w:val="19"/>
          <w:szCs w:val="19"/>
        </w:rPr>
        <w:t xml:space="preserve">1986 </w:t>
      </w:r>
      <w:r w:rsidRPr="003F2131">
        <w:rPr>
          <w:rFonts w:ascii="Verdana" w:eastAsia="宋体" w:hAnsi="Verdana" w:cs="宋体"/>
          <w:kern w:val="0"/>
          <w:sz w:val="19"/>
          <w:szCs w:val="19"/>
        </w:rPr>
        <w:t>年版，第</w:t>
      </w:r>
      <w:r w:rsidRPr="003F2131">
        <w:rPr>
          <w:rFonts w:ascii="Verdana" w:eastAsia="宋体" w:hAnsi="Verdana" w:cs="宋体"/>
          <w:kern w:val="0"/>
          <w:sz w:val="19"/>
          <w:szCs w:val="19"/>
        </w:rPr>
        <w:t xml:space="preserve"> 76 </w:t>
      </w:r>
      <w:r w:rsidRPr="003F2131">
        <w:rPr>
          <w:rFonts w:ascii="Verdana" w:eastAsia="宋体" w:hAnsi="Verdana" w:cs="宋体"/>
          <w:kern w:val="0"/>
          <w:sz w:val="19"/>
          <w:szCs w:val="19"/>
        </w:rPr>
        <w:t>页，方程</w:t>
      </w:r>
      <w:r w:rsidRPr="003F2131">
        <w:rPr>
          <w:rFonts w:ascii="Verdana" w:eastAsia="宋体" w:hAnsi="Verdana" w:cs="宋体"/>
          <w:kern w:val="0"/>
          <w:sz w:val="19"/>
          <w:szCs w:val="19"/>
        </w:rPr>
        <w:t xml:space="preserve"> 4.5</w:t>
      </w:r>
      <w:r w:rsidRPr="003F2131">
        <w:rPr>
          <w:rFonts w:ascii="Verdana" w:eastAsia="宋体" w:hAnsi="Verdana" w:cs="宋体"/>
          <w:kern w:val="0"/>
          <w:sz w:val="19"/>
          <w:szCs w:val="19"/>
        </w:rPr>
        <w:t>）中描述的二次核函数为基础。</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如果</w:t>
      </w:r>
      <w:r w:rsidRPr="003F2131">
        <w:rPr>
          <w:rFonts w:ascii="Verdana" w:eastAsia="宋体" w:hAnsi="Verdana" w:cs="宋体"/>
          <w:kern w:val="0"/>
          <w:sz w:val="19"/>
          <w:szCs w:val="19"/>
        </w:rPr>
        <w:t xml:space="preserve"> population </w:t>
      </w:r>
      <w:r w:rsidRPr="003F2131">
        <w:rPr>
          <w:rFonts w:ascii="Verdana" w:eastAsia="宋体" w:hAnsi="Verdana" w:cs="宋体"/>
          <w:kern w:val="0"/>
          <w:sz w:val="19"/>
          <w:szCs w:val="19"/>
        </w:rPr>
        <w:t>字段设置使用的是除</w:t>
      </w:r>
      <w:r w:rsidRPr="003F2131">
        <w:rPr>
          <w:rFonts w:ascii="Verdana" w:eastAsia="宋体" w:hAnsi="Verdana" w:cs="宋体"/>
          <w:kern w:val="0"/>
          <w:sz w:val="19"/>
          <w:szCs w:val="19"/>
        </w:rPr>
        <w:t xml:space="preserve"> NONE </w:t>
      </w:r>
      <w:r w:rsidRPr="003F2131">
        <w:rPr>
          <w:rFonts w:ascii="Verdana" w:eastAsia="宋体" w:hAnsi="Verdana" w:cs="宋体"/>
          <w:kern w:val="0"/>
          <w:sz w:val="19"/>
          <w:szCs w:val="19"/>
        </w:rPr>
        <w:t>之外的值，则每项的</w:t>
      </w:r>
      <w:proofErr w:type="gramStart"/>
      <w:r w:rsidRPr="003F2131">
        <w:rPr>
          <w:rFonts w:ascii="Verdana" w:eastAsia="宋体" w:hAnsi="Verdana" w:cs="宋体"/>
          <w:kern w:val="0"/>
          <w:sz w:val="19"/>
          <w:szCs w:val="19"/>
        </w:rPr>
        <w:t>值用于</w:t>
      </w:r>
      <w:proofErr w:type="gramEnd"/>
      <w:r w:rsidRPr="003F2131">
        <w:rPr>
          <w:rFonts w:ascii="Verdana" w:eastAsia="宋体" w:hAnsi="Verdana" w:cs="宋体"/>
          <w:kern w:val="0"/>
          <w:sz w:val="19"/>
          <w:szCs w:val="19"/>
        </w:rPr>
        <w:t>确定点被计数的次数。例如，值</w:t>
      </w:r>
      <w:r w:rsidRPr="003F2131">
        <w:rPr>
          <w:rFonts w:ascii="Verdana" w:eastAsia="宋体" w:hAnsi="Verdana" w:cs="宋体"/>
          <w:kern w:val="0"/>
          <w:sz w:val="19"/>
          <w:szCs w:val="19"/>
        </w:rPr>
        <w:t xml:space="preserve"> 3 </w:t>
      </w:r>
      <w:r w:rsidRPr="003F2131">
        <w:rPr>
          <w:rFonts w:ascii="Verdana" w:eastAsia="宋体" w:hAnsi="Verdana" w:cs="宋体"/>
          <w:kern w:val="0"/>
          <w:sz w:val="19"/>
          <w:szCs w:val="19"/>
        </w:rPr>
        <w:t>会导致点被算作三个点。值可以为整型也可以为浮点型。</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默认情况下，单位是根据输入点要素数据的投影定义的线性单位进行选择的，或是在</w:t>
      </w:r>
      <w:hyperlink r:id="rId15" w:history="1">
        <w:r w:rsidRPr="003F2131">
          <w:rPr>
            <w:rFonts w:ascii="Verdana" w:eastAsia="宋体" w:hAnsi="Verdana" w:cs="宋体"/>
            <w:color w:val="0C618D"/>
            <w:kern w:val="0"/>
            <w:sz w:val="19"/>
            <w:szCs w:val="19"/>
            <w:u w:val="single"/>
          </w:rPr>
          <w:t>输出坐标系</w:t>
        </w:r>
      </w:hyperlink>
      <w:r w:rsidRPr="003F2131">
        <w:rPr>
          <w:rFonts w:ascii="Verdana" w:eastAsia="宋体" w:hAnsi="Verdana" w:cs="宋体"/>
          <w:kern w:val="0"/>
          <w:sz w:val="19"/>
          <w:szCs w:val="19"/>
        </w:rPr>
        <w:t>环境设置中以其他方式指定的。如果选择的是面积单位，则计算所得的像元密度将乘以相应因子，然后写入到输出栅格。</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例如，如果输入单位为米，则输出面积单位将默认为平方千米。将以米和</w:t>
      </w:r>
      <w:proofErr w:type="gramStart"/>
      <w:r w:rsidRPr="003F2131">
        <w:rPr>
          <w:rFonts w:ascii="Verdana" w:eastAsia="宋体" w:hAnsi="Verdana" w:cs="宋体"/>
          <w:kern w:val="0"/>
          <w:sz w:val="19"/>
          <w:szCs w:val="19"/>
        </w:rPr>
        <w:t>千米为</w:t>
      </w:r>
      <w:proofErr w:type="gramEnd"/>
      <w:r w:rsidRPr="003F2131">
        <w:rPr>
          <w:rFonts w:ascii="Verdana" w:eastAsia="宋体" w:hAnsi="Verdana" w:cs="宋体"/>
          <w:kern w:val="0"/>
          <w:sz w:val="19"/>
          <w:szCs w:val="19"/>
        </w:rPr>
        <w:t>单位的单位比例因子进行比较，将得到相差</w:t>
      </w:r>
      <w:r w:rsidRPr="003F2131">
        <w:rPr>
          <w:rFonts w:ascii="Verdana" w:eastAsia="宋体" w:hAnsi="Verdana" w:cs="宋体"/>
          <w:kern w:val="0"/>
          <w:sz w:val="19"/>
          <w:szCs w:val="19"/>
        </w:rPr>
        <w:t xml:space="preserve"> 1,000,000</w:t>
      </w:r>
      <w:r w:rsidRPr="003F2131">
        <w:rPr>
          <w:rFonts w:ascii="Verdana" w:eastAsia="宋体" w:hAnsi="Verdana" w:cs="宋体"/>
          <w:kern w:val="0"/>
          <w:sz w:val="19"/>
          <w:szCs w:val="19"/>
        </w:rPr>
        <w:t>（</w:t>
      </w:r>
      <w:r w:rsidRPr="003F2131">
        <w:rPr>
          <w:rFonts w:ascii="Verdana" w:eastAsia="宋体" w:hAnsi="Verdana" w:cs="宋体"/>
          <w:kern w:val="0"/>
          <w:sz w:val="19"/>
          <w:szCs w:val="19"/>
        </w:rPr>
        <w:t xml:space="preserve">1,000 </w:t>
      </w:r>
      <w:r w:rsidRPr="003F2131">
        <w:rPr>
          <w:rFonts w:ascii="Verdana" w:eastAsia="宋体" w:hAnsi="Verdana" w:cs="宋体"/>
          <w:kern w:val="0"/>
          <w:sz w:val="19"/>
          <w:szCs w:val="19"/>
        </w:rPr>
        <w:t>米</w:t>
      </w:r>
      <w:r w:rsidRPr="003F2131">
        <w:rPr>
          <w:rFonts w:ascii="Verdana" w:eastAsia="宋体" w:hAnsi="Verdana" w:cs="宋体"/>
          <w:kern w:val="0"/>
          <w:sz w:val="19"/>
          <w:szCs w:val="19"/>
        </w:rPr>
        <w:t xml:space="preserve"> x 1,000 </w:t>
      </w:r>
      <w:r w:rsidRPr="003F2131">
        <w:rPr>
          <w:rFonts w:ascii="Verdana" w:eastAsia="宋体" w:hAnsi="Verdana" w:cs="宋体"/>
          <w:kern w:val="0"/>
          <w:sz w:val="19"/>
          <w:szCs w:val="19"/>
        </w:rPr>
        <w:t>米）</w:t>
      </w:r>
      <w:proofErr w:type="gramStart"/>
      <w:r w:rsidRPr="003F2131">
        <w:rPr>
          <w:rFonts w:ascii="Verdana" w:eastAsia="宋体" w:hAnsi="Verdana" w:cs="宋体"/>
          <w:kern w:val="0"/>
          <w:sz w:val="19"/>
          <w:szCs w:val="19"/>
        </w:rPr>
        <w:t>倍</w:t>
      </w:r>
      <w:proofErr w:type="gramEnd"/>
      <w:r w:rsidRPr="003F2131">
        <w:rPr>
          <w:rFonts w:ascii="Verdana" w:eastAsia="宋体" w:hAnsi="Verdana" w:cs="宋体"/>
          <w:kern w:val="0"/>
          <w:sz w:val="19"/>
          <w:szCs w:val="19"/>
        </w:rPr>
        <w:t>的值。</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增大半径不会使计算所得的密度值发生很大变化。虽然更大的邻域内将包含更多的点，但计算密度时点数将除以更大的面积。更大半径的主要影响是计算密度时需要考虑更多的点，这些点可能距栅格像元更远。这样会得到</w:t>
      </w:r>
      <w:proofErr w:type="gramStart"/>
      <w:r w:rsidRPr="003F2131">
        <w:rPr>
          <w:rFonts w:ascii="Verdana" w:eastAsia="宋体" w:hAnsi="Verdana" w:cs="宋体"/>
          <w:kern w:val="0"/>
          <w:sz w:val="19"/>
          <w:szCs w:val="19"/>
        </w:rPr>
        <w:t>更加概化的</w:t>
      </w:r>
      <w:proofErr w:type="gramEnd"/>
      <w:r w:rsidRPr="003F2131">
        <w:rPr>
          <w:rFonts w:ascii="Verdana" w:eastAsia="宋体" w:hAnsi="Verdana" w:cs="宋体"/>
          <w:kern w:val="0"/>
          <w:sz w:val="19"/>
          <w:szCs w:val="19"/>
        </w:rPr>
        <w:t>输出栅格。</w:t>
      </w:r>
    </w:p>
    <w:p w:rsidR="003F2131" w:rsidRPr="003F2131" w:rsidRDefault="003F2131" w:rsidP="003F2131">
      <w:pPr>
        <w:widowControl/>
        <w:shd w:val="clear" w:color="auto" w:fill="FFFFFF"/>
        <w:spacing w:before="100" w:beforeAutospacing="1" w:after="48" w:line="288" w:lineRule="atLeast"/>
        <w:jc w:val="left"/>
        <w:outlineLvl w:val="2"/>
        <w:rPr>
          <w:rFonts w:ascii="Verdana" w:eastAsia="宋体" w:hAnsi="Verdana" w:cs="宋体"/>
          <w:color w:val="103E4E"/>
          <w:kern w:val="0"/>
          <w:sz w:val="27"/>
          <w:szCs w:val="27"/>
        </w:rPr>
      </w:pPr>
      <w:r w:rsidRPr="003F2131">
        <w:rPr>
          <w:rFonts w:ascii="Verdana" w:eastAsia="宋体" w:hAnsi="Verdana" w:cs="宋体"/>
          <w:color w:val="103E4E"/>
          <w:kern w:val="0"/>
          <w:sz w:val="27"/>
          <w:szCs w:val="27"/>
        </w:rPr>
        <w:t>线要素的核密度分析</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核密度分析还可用于计算每个输出栅格像元的邻域内的线状要素的密度。</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概念上，每条线上方均覆盖着一个平滑曲面。其值在线所在位置处最大，随着与线的距离的增大此值逐渐减小，在与线的距离等于指定的</w:t>
      </w:r>
      <w:r w:rsidRPr="003F2131">
        <w:rPr>
          <w:rFonts w:ascii="Verdana" w:eastAsia="宋体" w:hAnsi="Verdana" w:cs="宋体"/>
          <w:b/>
          <w:bCs/>
          <w:kern w:val="0"/>
          <w:sz w:val="17"/>
          <w:szCs w:val="17"/>
        </w:rPr>
        <w:t>搜索半径</w:t>
      </w:r>
      <w:r w:rsidRPr="003F2131">
        <w:rPr>
          <w:rFonts w:ascii="Verdana" w:eastAsia="宋体" w:hAnsi="Verdana" w:cs="宋体"/>
          <w:kern w:val="0"/>
          <w:sz w:val="19"/>
          <w:szCs w:val="19"/>
        </w:rPr>
        <w:t>的位置处此值为零。由于定义了曲面，因此曲面与下方的平面所围成的空间的体积等于线长度与</w:t>
      </w:r>
      <w:r w:rsidRPr="003F2131">
        <w:rPr>
          <w:rFonts w:ascii="Verdana" w:eastAsia="宋体" w:hAnsi="Verdana" w:cs="宋体"/>
          <w:kern w:val="0"/>
          <w:sz w:val="19"/>
          <w:szCs w:val="19"/>
        </w:rPr>
        <w:t xml:space="preserve"> </w:t>
      </w:r>
      <w:r w:rsidRPr="003F2131">
        <w:rPr>
          <w:rFonts w:ascii="Verdana" w:eastAsia="宋体" w:hAnsi="Verdana" w:cs="宋体"/>
          <w:b/>
          <w:bCs/>
          <w:kern w:val="0"/>
          <w:sz w:val="17"/>
          <w:szCs w:val="17"/>
        </w:rPr>
        <w:t xml:space="preserve">Population </w:t>
      </w:r>
      <w:r w:rsidRPr="003F2131">
        <w:rPr>
          <w:rFonts w:ascii="Verdana" w:eastAsia="宋体" w:hAnsi="Verdana" w:cs="宋体"/>
          <w:b/>
          <w:bCs/>
          <w:kern w:val="0"/>
          <w:sz w:val="17"/>
          <w:szCs w:val="17"/>
        </w:rPr>
        <w:t>字段</w:t>
      </w:r>
      <w:r w:rsidRPr="003F2131">
        <w:rPr>
          <w:rFonts w:ascii="Verdana" w:eastAsia="宋体" w:hAnsi="Verdana" w:cs="宋体"/>
          <w:kern w:val="0"/>
          <w:sz w:val="19"/>
          <w:szCs w:val="19"/>
        </w:rPr>
        <w:t>值的乘积。每个输出栅格像元</w:t>
      </w:r>
      <w:r w:rsidRPr="003F2131">
        <w:rPr>
          <w:rFonts w:ascii="Verdana" w:eastAsia="宋体" w:hAnsi="Verdana" w:cs="宋体"/>
          <w:kern w:val="0"/>
          <w:sz w:val="19"/>
          <w:szCs w:val="19"/>
        </w:rPr>
        <w:lastRenderedPageBreak/>
        <w:t>的密度均为叠加在栅格像元中心的所有核表面的值之</w:t>
      </w:r>
      <w:proofErr w:type="gramStart"/>
      <w:r w:rsidRPr="003F2131">
        <w:rPr>
          <w:rFonts w:ascii="Verdana" w:eastAsia="宋体" w:hAnsi="Verdana" w:cs="宋体"/>
          <w:kern w:val="0"/>
          <w:sz w:val="19"/>
          <w:szCs w:val="19"/>
        </w:rPr>
        <w:t>和</w:t>
      </w:r>
      <w:proofErr w:type="gramEnd"/>
      <w:r w:rsidRPr="003F2131">
        <w:rPr>
          <w:rFonts w:ascii="Verdana" w:eastAsia="宋体" w:hAnsi="Verdana" w:cs="宋体"/>
          <w:kern w:val="0"/>
          <w:sz w:val="19"/>
          <w:szCs w:val="19"/>
        </w:rPr>
        <w:t>。用于线的核函数是根据</w:t>
      </w:r>
      <w:r w:rsidRPr="003F2131">
        <w:rPr>
          <w:rFonts w:ascii="Verdana" w:eastAsia="宋体" w:hAnsi="Verdana" w:cs="宋体"/>
          <w:kern w:val="0"/>
          <w:sz w:val="19"/>
          <w:szCs w:val="19"/>
        </w:rPr>
        <w:t xml:space="preserve"> Silverman </w:t>
      </w:r>
      <w:r w:rsidRPr="003F2131">
        <w:rPr>
          <w:rFonts w:ascii="Verdana" w:eastAsia="宋体" w:hAnsi="Verdana" w:cs="宋体"/>
          <w:kern w:val="0"/>
          <w:sz w:val="19"/>
          <w:szCs w:val="19"/>
        </w:rPr>
        <w:t>著作中所述的用于计算点密度的二次核函数改编的。</w:t>
      </w:r>
    </w:p>
    <w:tbl>
      <w:tblPr>
        <w:tblW w:w="4500" w:type="pct"/>
        <w:tblInd w:w="225" w:type="dxa"/>
        <w:tblCellMar>
          <w:top w:w="15" w:type="dxa"/>
          <w:left w:w="15" w:type="dxa"/>
          <w:bottom w:w="15" w:type="dxa"/>
          <w:right w:w="15" w:type="dxa"/>
        </w:tblCellMar>
        <w:tblLook w:val="04A0" w:firstRow="1" w:lastRow="0" w:firstColumn="1" w:lastColumn="0" w:noHBand="0" w:noVBand="1"/>
      </w:tblPr>
      <w:tblGrid>
        <w:gridCol w:w="7610"/>
      </w:tblGrid>
      <w:tr w:rsidR="003F2131" w:rsidRPr="003F2131" w:rsidTr="003F2131">
        <w:tc>
          <w:tcPr>
            <w:tcW w:w="0" w:type="auto"/>
            <w:tcBorders>
              <w:top w:val="nil"/>
              <w:left w:val="nil"/>
              <w:bottom w:val="nil"/>
              <w:right w:val="nil"/>
            </w:tcBorders>
            <w:tcMar>
              <w:top w:w="30" w:type="dxa"/>
              <w:left w:w="75" w:type="dxa"/>
              <w:bottom w:w="0" w:type="dxa"/>
              <w:right w:w="75" w:type="dxa"/>
            </w:tcMar>
            <w:hideMark/>
          </w:tcPr>
          <w:p w:rsidR="003F2131" w:rsidRPr="003F2131" w:rsidRDefault="003F2131" w:rsidP="003F2131">
            <w:pPr>
              <w:widowControl/>
              <w:spacing w:line="336" w:lineRule="atLeast"/>
              <w:jc w:val="left"/>
              <w:rPr>
                <w:rFonts w:ascii="Verdana" w:eastAsia="宋体" w:hAnsi="Verdana" w:cs="宋体"/>
                <w:kern w:val="0"/>
                <w:sz w:val="18"/>
                <w:szCs w:val="18"/>
              </w:rPr>
            </w:pPr>
            <w:r>
              <w:rPr>
                <w:rFonts w:ascii="Verdana" w:eastAsia="宋体" w:hAnsi="Verdana" w:cs="宋体"/>
                <w:noProof/>
                <w:kern w:val="0"/>
                <w:sz w:val="18"/>
                <w:szCs w:val="18"/>
              </w:rPr>
              <w:drawing>
                <wp:inline distT="0" distB="0" distL="0" distR="0">
                  <wp:extent cx="3528060" cy="3528060"/>
                  <wp:effectExtent l="0" t="0" r="0" b="0"/>
                  <wp:docPr id="1" name="图片 1" descr="线要素的核密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线要素的核密度"/>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8060" cy="3528060"/>
                          </a:xfrm>
                          <a:prstGeom prst="rect">
                            <a:avLst/>
                          </a:prstGeom>
                          <a:noFill/>
                          <a:ln>
                            <a:noFill/>
                          </a:ln>
                        </pic:spPr>
                      </pic:pic>
                    </a:graphicData>
                  </a:graphic>
                </wp:inline>
              </w:drawing>
            </w:r>
          </w:p>
        </w:tc>
      </w:tr>
      <w:tr w:rsidR="003F2131" w:rsidRPr="003F2131" w:rsidTr="003F2131">
        <w:tc>
          <w:tcPr>
            <w:tcW w:w="0" w:type="auto"/>
            <w:tcBorders>
              <w:top w:val="nil"/>
              <w:left w:val="nil"/>
              <w:bottom w:val="nil"/>
              <w:right w:val="nil"/>
            </w:tcBorders>
            <w:tcMar>
              <w:top w:w="30" w:type="dxa"/>
              <w:left w:w="75" w:type="dxa"/>
              <w:bottom w:w="0" w:type="dxa"/>
              <w:right w:w="75" w:type="dxa"/>
            </w:tcMar>
            <w:hideMark/>
          </w:tcPr>
          <w:p w:rsidR="003F2131" w:rsidRPr="003F2131" w:rsidRDefault="003F2131" w:rsidP="003F2131">
            <w:pPr>
              <w:widowControl/>
              <w:spacing w:line="336" w:lineRule="atLeast"/>
              <w:jc w:val="center"/>
              <w:rPr>
                <w:rFonts w:ascii="Verdana" w:eastAsia="宋体" w:hAnsi="Verdana" w:cs="宋体"/>
                <w:kern w:val="0"/>
                <w:sz w:val="14"/>
                <w:szCs w:val="14"/>
              </w:rPr>
            </w:pPr>
            <w:r w:rsidRPr="003F2131">
              <w:rPr>
                <w:rFonts w:ascii="Verdana" w:eastAsia="宋体" w:hAnsi="Verdana" w:cs="宋体"/>
                <w:kern w:val="0"/>
                <w:sz w:val="14"/>
                <w:szCs w:val="14"/>
              </w:rPr>
              <w:t>一条线段与覆盖在其上方的核表面。</w:t>
            </w:r>
          </w:p>
        </w:tc>
      </w:tr>
    </w:tbl>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上图显示的是一条线段与覆盖在其上方的核表面。线段对密度的影响等同于栅格像元</w:t>
      </w:r>
      <w:proofErr w:type="gramStart"/>
      <w:r w:rsidRPr="003F2131">
        <w:rPr>
          <w:rFonts w:ascii="Verdana" w:eastAsia="宋体" w:hAnsi="Verdana" w:cs="宋体"/>
          <w:kern w:val="0"/>
          <w:sz w:val="19"/>
          <w:szCs w:val="19"/>
        </w:rPr>
        <w:t>中心处核表面</w:t>
      </w:r>
      <w:proofErr w:type="gramEnd"/>
      <w:r w:rsidRPr="003F2131">
        <w:rPr>
          <w:rFonts w:ascii="Verdana" w:eastAsia="宋体" w:hAnsi="Verdana" w:cs="宋体"/>
          <w:kern w:val="0"/>
          <w:sz w:val="19"/>
          <w:szCs w:val="19"/>
        </w:rPr>
        <w:t>的值对密度的影响。</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默认情况下，单位是根据输入折线</w:t>
      </w:r>
      <w:r w:rsidRPr="003F2131">
        <w:rPr>
          <w:rFonts w:ascii="Verdana" w:eastAsia="宋体" w:hAnsi="Verdana" w:cs="宋体"/>
          <w:kern w:val="0"/>
          <w:sz w:val="19"/>
          <w:szCs w:val="19"/>
        </w:rPr>
        <w:t xml:space="preserve"> (polyline) </w:t>
      </w:r>
      <w:r w:rsidRPr="003F2131">
        <w:rPr>
          <w:rFonts w:ascii="Verdana" w:eastAsia="宋体" w:hAnsi="Verdana" w:cs="宋体"/>
          <w:kern w:val="0"/>
          <w:sz w:val="19"/>
          <w:szCs w:val="19"/>
        </w:rPr>
        <w:t>要素数据的投影定义的线性单位进行选择的，或是在</w:t>
      </w:r>
      <w:hyperlink r:id="rId17" w:history="1">
        <w:r w:rsidRPr="003F2131">
          <w:rPr>
            <w:rFonts w:ascii="Verdana" w:eastAsia="宋体" w:hAnsi="Verdana" w:cs="宋体"/>
            <w:color w:val="0C618D"/>
            <w:kern w:val="0"/>
            <w:sz w:val="19"/>
            <w:szCs w:val="19"/>
            <w:u w:val="single"/>
          </w:rPr>
          <w:t>输出坐标系</w:t>
        </w:r>
      </w:hyperlink>
      <w:r w:rsidRPr="003F2131">
        <w:rPr>
          <w:rFonts w:ascii="Verdana" w:eastAsia="宋体" w:hAnsi="Verdana" w:cs="宋体"/>
          <w:kern w:val="0"/>
          <w:sz w:val="19"/>
          <w:szCs w:val="19"/>
        </w:rPr>
        <w:t>环境设置中以其他方式指定的。</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指定输出</w:t>
      </w:r>
      <w:r w:rsidRPr="003F2131">
        <w:rPr>
          <w:rFonts w:ascii="Verdana" w:eastAsia="宋体" w:hAnsi="Verdana" w:cs="宋体"/>
          <w:b/>
          <w:bCs/>
          <w:kern w:val="0"/>
          <w:sz w:val="17"/>
          <w:szCs w:val="17"/>
        </w:rPr>
        <w:t>面积单位</w:t>
      </w:r>
      <w:r w:rsidRPr="003F2131">
        <w:rPr>
          <w:rFonts w:ascii="Verdana" w:eastAsia="宋体" w:hAnsi="Verdana" w:cs="宋体"/>
          <w:kern w:val="0"/>
          <w:sz w:val="19"/>
          <w:szCs w:val="19"/>
        </w:rPr>
        <w:t>因子后，它会转换长度单位和面积单位。例如，如果线性单位是米，则输出面积单位将默认为平方千米而所得到的线密度单位将转换为千米</w:t>
      </w:r>
      <w:r w:rsidRPr="003F2131">
        <w:rPr>
          <w:rFonts w:ascii="Verdana" w:eastAsia="宋体" w:hAnsi="Verdana" w:cs="宋体"/>
          <w:kern w:val="0"/>
          <w:sz w:val="19"/>
          <w:szCs w:val="19"/>
        </w:rPr>
        <w:t>/</w:t>
      </w:r>
      <w:r w:rsidRPr="003F2131">
        <w:rPr>
          <w:rFonts w:ascii="Verdana" w:eastAsia="宋体" w:hAnsi="Verdana" w:cs="宋体"/>
          <w:kern w:val="0"/>
          <w:sz w:val="19"/>
          <w:szCs w:val="19"/>
        </w:rPr>
        <w:t>平方千米。将以米和</w:t>
      </w:r>
      <w:proofErr w:type="gramStart"/>
      <w:r w:rsidRPr="003F2131">
        <w:rPr>
          <w:rFonts w:ascii="Verdana" w:eastAsia="宋体" w:hAnsi="Verdana" w:cs="宋体"/>
          <w:kern w:val="0"/>
          <w:sz w:val="19"/>
          <w:szCs w:val="19"/>
        </w:rPr>
        <w:t>千米为</w:t>
      </w:r>
      <w:proofErr w:type="gramEnd"/>
      <w:r w:rsidRPr="003F2131">
        <w:rPr>
          <w:rFonts w:ascii="Verdana" w:eastAsia="宋体" w:hAnsi="Verdana" w:cs="宋体"/>
          <w:kern w:val="0"/>
          <w:sz w:val="19"/>
          <w:szCs w:val="19"/>
        </w:rPr>
        <w:t>单位的面积比例因子相比较，最终结果将是相差</w:t>
      </w:r>
      <w:r w:rsidRPr="003F2131">
        <w:rPr>
          <w:rFonts w:ascii="Verdana" w:eastAsia="宋体" w:hAnsi="Verdana" w:cs="宋体"/>
          <w:kern w:val="0"/>
          <w:sz w:val="19"/>
          <w:szCs w:val="19"/>
        </w:rPr>
        <w:t xml:space="preserve"> 1,000 </w:t>
      </w:r>
      <w:proofErr w:type="gramStart"/>
      <w:r w:rsidRPr="003F2131">
        <w:rPr>
          <w:rFonts w:ascii="Verdana" w:eastAsia="宋体" w:hAnsi="Verdana" w:cs="宋体"/>
          <w:kern w:val="0"/>
          <w:sz w:val="19"/>
          <w:szCs w:val="19"/>
        </w:rPr>
        <w:t>倍</w:t>
      </w:r>
      <w:proofErr w:type="gramEnd"/>
      <w:r w:rsidRPr="003F2131">
        <w:rPr>
          <w:rFonts w:ascii="Verdana" w:eastAsia="宋体" w:hAnsi="Verdana" w:cs="宋体"/>
          <w:kern w:val="0"/>
          <w:sz w:val="19"/>
          <w:szCs w:val="19"/>
        </w:rPr>
        <w:t>的密度值。</w:t>
      </w:r>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您可以通过手动选择相应的因子来控制密度单位。要将密度单位设置为米</w:t>
      </w:r>
      <w:r w:rsidRPr="003F2131">
        <w:rPr>
          <w:rFonts w:ascii="Verdana" w:eastAsia="宋体" w:hAnsi="Verdana" w:cs="宋体"/>
          <w:kern w:val="0"/>
          <w:sz w:val="19"/>
          <w:szCs w:val="19"/>
        </w:rPr>
        <w:t>/</w:t>
      </w:r>
      <w:r w:rsidRPr="003F2131">
        <w:rPr>
          <w:rFonts w:ascii="Verdana" w:eastAsia="宋体" w:hAnsi="Verdana" w:cs="宋体"/>
          <w:kern w:val="0"/>
          <w:sz w:val="19"/>
          <w:szCs w:val="19"/>
        </w:rPr>
        <w:t>平方米（而不是默认的千米</w:t>
      </w:r>
      <w:r w:rsidRPr="003F2131">
        <w:rPr>
          <w:rFonts w:ascii="Verdana" w:eastAsia="宋体" w:hAnsi="Verdana" w:cs="宋体"/>
          <w:kern w:val="0"/>
          <w:sz w:val="19"/>
          <w:szCs w:val="19"/>
        </w:rPr>
        <w:t>/</w:t>
      </w:r>
      <w:r w:rsidRPr="003F2131">
        <w:rPr>
          <w:rFonts w:ascii="Verdana" w:eastAsia="宋体" w:hAnsi="Verdana" w:cs="宋体"/>
          <w:kern w:val="0"/>
          <w:sz w:val="19"/>
          <w:szCs w:val="19"/>
        </w:rPr>
        <w:t>平方千米），请将面积单位设置为平方米。同样，若要将输出的密度单位设置为</w:t>
      </w:r>
      <w:proofErr w:type="gramStart"/>
      <w:r w:rsidRPr="003F2131">
        <w:rPr>
          <w:rFonts w:ascii="Verdana" w:eastAsia="宋体" w:hAnsi="Verdana" w:cs="宋体"/>
          <w:kern w:val="0"/>
          <w:sz w:val="19"/>
          <w:szCs w:val="19"/>
        </w:rPr>
        <w:t>英里</w:t>
      </w:r>
      <w:r w:rsidRPr="003F2131">
        <w:rPr>
          <w:rFonts w:ascii="Verdana" w:eastAsia="宋体" w:hAnsi="Verdana" w:cs="宋体"/>
          <w:kern w:val="0"/>
          <w:sz w:val="19"/>
          <w:szCs w:val="19"/>
        </w:rPr>
        <w:t>/</w:t>
      </w:r>
      <w:proofErr w:type="gramEnd"/>
      <w:r w:rsidRPr="003F2131">
        <w:rPr>
          <w:rFonts w:ascii="Verdana" w:eastAsia="宋体" w:hAnsi="Verdana" w:cs="宋体"/>
          <w:kern w:val="0"/>
          <w:sz w:val="19"/>
          <w:szCs w:val="19"/>
        </w:rPr>
        <w:t>平方英里，请将面积单位设置为平方英里。</w:t>
      </w:r>
    </w:p>
    <w:p w:rsidR="003F2131" w:rsidRPr="003F2131" w:rsidRDefault="003F2131" w:rsidP="003F2131">
      <w:pPr>
        <w:widowControl/>
        <w:shd w:val="clear" w:color="auto" w:fill="FFFFFF"/>
        <w:spacing w:line="336" w:lineRule="atLeast"/>
        <w:jc w:val="left"/>
        <w:rPr>
          <w:rFonts w:ascii="Verdana" w:eastAsia="宋体" w:hAnsi="Verdana" w:cs="宋体"/>
          <w:kern w:val="0"/>
          <w:sz w:val="19"/>
          <w:szCs w:val="19"/>
        </w:rPr>
      </w:pPr>
      <w:hyperlink r:id="rId18" w:history="1">
        <w:r w:rsidRPr="003F2131">
          <w:rPr>
            <w:rFonts w:ascii="Verdana" w:eastAsia="宋体" w:hAnsi="Verdana" w:cs="宋体"/>
            <w:color w:val="0C618D"/>
            <w:kern w:val="0"/>
            <w:sz w:val="19"/>
            <w:szCs w:val="19"/>
            <w:u w:val="single"/>
          </w:rPr>
          <w:t>了解有关</w:t>
        </w:r>
        <w:r w:rsidRPr="003F2131">
          <w:rPr>
            <w:rFonts w:ascii="Verdana" w:eastAsia="宋体" w:hAnsi="Verdana" w:cs="宋体"/>
            <w:color w:val="0C618D"/>
            <w:kern w:val="0"/>
            <w:sz w:val="19"/>
            <w:szCs w:val="19"/>
            <w:u w:val="single"/>
          </w:rPr>
          <w:t xml:space="preserve"> ArcGIS </w:t>
        </w:r>
        <w:r w:rsidRPr="003F2131">
          <w:rPr>
            <w:rFonts w:ascii="Verdana" w:eastAsia="宋体" w:hAnsi="Verdana" w:cs="宋体"/>
            <w:color w:val="0C618D"/>
            <w:kern w:val="0"/>
            <w:sz w:val="19"/>
            <w:szCs w:val="19"/>
            <w:u w:val="single"/>
          </w:rPr>
          <w:t>中单位和转换常数的详细信息</w:t>
        </w:r>
      </w:hyperlink>
    </w:p>
    <w:p w:rsidR="003F2131" w:rsidRPr="003F2131" w:rsidRDefault="003F2131" w:rsidP="003F2131">
      <w:pPr>
        <w:widowControl/>
        <w:shd w:val="clear" w:color="auto" w:fill="FFFFFF"/>
        <w:spacing w:before="120" w:after="120" w:line="336" w:lineRule="atLeast"/>
        <w:ind w:left="300"/>
        <w:jc w:val="left"/>
        <w:rPr>
          <w:rFonts w:ascii="Verdana" w:eastAsia="宋体" w:hAnsi="Verdana" w:cs="宋体"/>
          <w:kern w:val="0"/>
          <w:sz w:val="19"/>
          <w:szCs w:val="19"/>
        </w:rPr>
      </w:pPr>
      <w:r w:rsidRPr="003F2131">
        <w:rPr>
          <w:rFonts w:ascii="Verdana" w:eastAsia="宋体" w:hAnsi="Verdana" w:cs="宋体"/>
          <w:kern w:val="0"/>
          <w:sz w:val="19"/>
          <w:szCs w:val="19"/>
        </w:rPr>
        <w:t>如果</w:t>
      </w:r>
      <w:r w:rsidRPr="003F2131">
        <w:rPr>
          <w:rFonts w:ascii="Verdana" w:eastAsia="宋体" w:hAnsi="Verdana" w:cs="宋体"/>
          <w:kern w:val="0"/>
          <w:sz w:val="19"/>
          <w:szCs w:val="19"/>
        </w:rPr>
        <w:t xml:space="preserve"> population </w:t>
      </w:r>
      <w:r w:rsidRPr="003F2131">
        <w:rPr>
          <w:rFonts w:ascii="Verdana" w:eastAsia="宋体" w:hAnsi="Verdana" w:cs="宋体"/>
          <w:kern w:val="0"/>
          <w:sz w:val="19"/>
          <w:szCs w:val="19"/>
        </w:rPr>
        <w:t>字段使用的是除</w:t>
      </w:r>
      <w:r w:rsidRPr="003F2131">
        <w:rPr>
          <w:rFonts w:ascii="Verdana" w:eastAsia="宋体" w:hAnsi="Verdana" w:cs="宋体"/>
          <w:kern w:val="0"/>
          <w:sz w:val="19"/>
          <w:szCs w:val="19"/>
        </w:rPr>
        <w:t xml:space="preserve"> NONE </w:t>
      </w:r>
      <w:r w:rsidRPr="003F2131">
        <w:rPr>
          <w:rFonts w:ascii="Verdana" w:eastAsia="宋体" w:hAnsi="Verdana" w:cs="宋体"/>
          <w:kern w:val="0"/>
          <w:sz w:val="19"/>
          <w:szCs w:val="19"/>
        </w:rPr>
        <w:t>之外的值，</w:t>
      </w:r>
      <w:proofErr w:type="gramStart"/>
      <w:r w:rsidRPr="003F2131">
        <w:rPr>
          <w:rFonts w:ascii="Verdana" w:eastAsia="宋体" w:hAnsi="Verdana" w:cs="宋体"/>
          <w:kern w:val="0"/>
          <w:sz w:val="19"/>
          <w:szCs w:val="19"/>
        </w:rPr>
        <w:t>则线的</w:t>
      </w:r>
      <w:proofErr w:type="gramEnd"/>
      <w:r w:rsidRPr="003F2131">
        <w:rPr>
          <w:rFonts w:ascii="Verdana" w:eastAsia="宋体" w:hAnsi="Verdana" w:cs="宋体"/>
          <w:kern w:val="0"/>
          <w:sz w:val="19"/>
          <w:szCs w:val="19"/>
        </w:rPr>
        <w:t>长度将由线的实际长度乘以此线的</w:t>
      </w:r>
      <w:r w:rsidRPr="003F2131">
        <w:rPr>
          <w:rFonts w:ascii="Verdana" w:eastAsia="宋体" w:hAnsi="Verdana" w:cs="宋体"/>
          <w:kern w:val="0"/>
          <w:sz w:val="19"/>
          <w:szCs w:val="19"/>
        </w:rPr>
        <w:t xml:space="preserve"> population </w:t>
      </w:r>
      <w:r w:rsidRPr="003F2131">
        <w:rPr>
          <w:rFonts w:ascii="Verdana" w:eastAsia="宋体" w:hAnsi="Verdana" w:cs="宋体"/>
          <w:kern w:val="0"/>
          <w:sz w:val="19"/>
          <w:szCs w:val="19"/>
        </w:rPr>
        <w:t>字段的值而得出。</w:t>
      </w:r>
    </w:p>
    <w:p w:rsidR="001C4F9F" w:rsidRPr="003F2131" w:rsidRDefault="001C4F9F">
      <w:bookmarkStart w:id="0" w:name="_GoBack"/>
      <w:bookmarkEnd w:id="0"/>
    </w:p>
    <w:sectPr w:rsidR="001C4F9F" w:rsidRPr="003F21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81C" w:rsidRDefault="00DC781C" w:rsidP="003F2131">
      <w:r>
        <w:separator/>
      </w:r>
    </w:p>
  </w:endnote>
  <w:endnote w:type="continuationSeparator" w:id="0">
    <w:p w:rsidR="00DC781C" w:rsidRDefault="00DC781C" w:rsidP="003F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81C" w:rsidRDefault="00DC781C" w:rsidP="003F2131">
      <w:r>
        <w:separator/>
      </w:r>
    </w:p>
  </w:footnote>
  <w:footnote w:type="continuationSeparator" w:id="0">
    <w:p w:rsidR="00DC781C" w:rsidRDefault="00DC781C" w:rsidP="003F21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6DB"/>
    <w:rsid w:val="001C4F9F"/>
    <w:rsid w:val="003F2131"/>
    <w:rsid w:val="007266DB"/>
    <w:rsid w:val="00DC7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1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131"/>
    <w:rPr>
      <w:sz w:val="18"/>
      <w:szCs w:val="18"/>
    </w:rPr>
  </w:style>
  <w:style w:type="paragraph" w:styleId="a4">
    <w:name w:val="footer"/>
    <w:basedOn w:val="a"/>
    <w:link w:val="Char0"/>
    <w:uiPriority w:val="99"/>
    <w:unhideWhenUsed/>
    <w:rsid w:val="003F2131"/>
    <w:pPr>
      <w:tabs>
        <w:tab w:val="center" w:pos="4153"/>
        <w:tab w:val="right" w:pos="8306"/>
      </w:tabs>
      <w:snapToGrid w:val="0"/>
      <w:jc w:val="left"/>
    </w:pPr>
    <w:rPr>
      <w:sz w:val="18"/>
      <w:szCs w:val="18"/>
    </w:rPr>
  </w:style>
  <w:style w:type="character" w:customStyle="1" w:styleId="Char0">
    <w:name w:val="页脚 Char"/>
    <w:basedOn w:val="a0"/>
    <w:link w:val="a4"/>
    <w:uiPriority w:val="99"/>
    <w:rsid w:val="003F2131"/>
    <w:rPr>
      <w:sz w:val="18"/>
      <w:szCs w:val="18"/>
    </w:rPr>
  </w:style>
  <w:style w:type="character" w:customStyle="1" w:styleId="uicontrol1">
    <w:name w:val="uicontrol1"/>
    <w:basedOn w:val="a0"/>
    <w:rsid w:val="003F2131"/>
    <w:rPr>
      <w:b/>
      <w:bCs/>
      <w:sz w:val="22"/>
      <w:szCs w:val="22"/>
    </w:rPr>
  </w:style>
  <w:style w:type="paragraph" w:styleId="a5">
    <w:name w:val="Balloon Text"/>
    <w:basedOn w:val="a"/>
    <w:link w:val="Char1"/>
    <w:uiPriority w:val="99"/>
    <w:semiHidden/>
    <w:unhideWhenUsed/>
    <w:rsid w:val="003F2131"/>
    <w:rPr>
      <w:sz w:val="18"/>
      <w:szCs w:val="18"/>
    </w:rPr>
  </w:style>
  <w:style w:type="character" w:customStyle="1" w:styleId="Char1">
    <w:name w:val="批注框文本 Char"/>
    <w:basedOn w:val="a0"/>
    <w:link w:val="a5"/>
    <w:uiPriority w:val="99"/>
    <w:semiHidden/>
    <w:rsid w:val="003F21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1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131"/>
    <w:rPr>
      <w:sz w:val="18"/>
      <w:szCs w:val="18"/>
    </w:rPr>
  </w:style>
  <w:style w:type="paragraph" w:styleId="a4">
    <w:name w:val="footer"/>
    <w:basedOn w:val="a"/>
    <w:link w:val="Char0"/>
    <w:uiPriority w:val="99"/>
    <w:unhideWhenUsed/>
    <w:rsid w:val="003F2131"/>
    <w:pPr>
      <w:tabs>
        <w:tab w:val="center" w:pos="4153"/>
        <w:tab w:val="right" w:pos="8306"/>
      </w:tabs>
      <w:snapToGrid w:val="0"/>
      <w:jc w:val="left"/>
    </w:pPr>
    <w:rPr>
      <w:sz w:val="18"/>
      <w:szCs w:val="18"/>
    </w:rPr>
  </w:style>
  <w:style w:type="character" w:customStyle="1" w:styleId="Char0">
    <w:name w:val="页脚 Char"/>
    <w:basedOn w:val="a0"/>
    <w:link w:val="a4"/>
    <w:uiPriority w:val="99"/>
    <w:rsid w:val="003F2131"/>
    <w:rPr>
      <w:sz w:val="18"/>
      <w:szCs w:val="18"/>
    </w:rPr>
  </w:style>
  <w:style w:type="character" w:customStyle="1" w:styleId="uicontrol1">
    <w:name w:val="uicontrol1"/>
    <w:basedOn w:val="a0"/>
    <w:rsid w:val="003F2131"/>
    <w:rPr>
      <w:b/>
      <w:bCs/>
      <w:sz w:val="22"/>
      <w:szCs w:val="22"/>
    </w:rPr>
  </w:style>
  <w:style w:type="paragraph" w:styleId="a5">
    <w:name w:val="Balloon Text"/>
    <w:basedOn w:val="a"/>
    <w:link w:val="Char1"/>
    <w:uiPriority w:val="99"/>
    <w:semiHidden/>
    <w:unhideWhenUsed/>
    <w:rsid w:val="003F2131"/>
    <w:rPr>
      <w:sz w:val="18"/>
      <w:szCs w:val="18"/>
    </w:rPr>
  </w:style>
  <w:style w:type="character" w:customStyle="1" w:styleId="Char1">
    <w:name w:val="批注框文本 Char"/>
    <w:basedOn w:val="a0"/>
    <w:link w:val="a5"/>
    <w:uiPriority w:val="99"/>
    <w:semiHidden/>
    <w:rsid w:val="003F21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63247">
      <w:bodyDiv w:val="1"/>
      <w:marLeft w:val="0"/>
      <w:marRight w:val="0"/>
      <w:marTop w:val="0"/>
      <w:marBottom w:val="0"/>
      <w:divBdr>
        <w:top w:val="none" w:sz="0" w:space="0" w:color="auto"/>
        <w:left w:val="none" w:sz="0" w:space="0" w:color="auto"/>
        <w:bottom w:val="none" w:sz="0" w:space="0" w:color="auto"/>
        <w:right w:val="none" w:sz="0" w:space="0" w:color="auto"/>
      </w:divBdr>
      <w:divsChild>
        <w:div w:id="1013992808">
          <w:marLeft w:val="0"/>
          <w:marRight w:val="0"/>
          <w:marTop w:val="0"/>
          <w:marBottom w:val="0"/>
          <w:divBdr>
            <w:top w:val="single" w:sz="6" w:space="0" w:color="CFCFCF"/>
            <w:left w:val="none" w:sz="0" w:space="0" w:color="auto"/>
            <w:bottom w:val="none" w:sz="0" w:space="0" w:color="auto"/>
            <w:right w:val="none" w:sz="0" w:space="0" w:color="auto"/>
          </w:divBdr>
          <w:divsChild>
            <w:div w:id="163084398">
              <w:marLeft w:val="0"/>
              <w:marRight w:val="0"/>
              <w:marTop w:val="0"/>
              <w:marBottom w:val="0"/>
              <w:divBdr>
                <w:top w:val="none" w:sz="0" w:space="0" w:color="auto"/>
                <w:left w:val="none" w:sz="0" w:space="0" w:color="auto"/>
                <w:bottom w:val="none" w:sz="0" w:space="0" w:color="auto"/>
                <w:right w:val="none" w:sz="0" w:space="0" w:color="auto"/>
              </w:divBdr>
              <w:divsChild>
                <w:div w:id="2117170778">
                  <w:marLeft w:val="0"/>
                  <w:marRight w:val="0"/>
                  <w:marTop w:val="0"/>
                  <w:marBottom w:val="0"/>
                  <w:divBdr>
                    <w:top w:val="none" w:sz="0" w:space="0" w:color="auto"/>
                    <w:left w:val="none" w:sz="0" w:space="0" w:color="auto"/>
                    <w:bottom w:val="none" w:sz="0" w:space="0" w:color="auto"/>
                    <w:right w:val="none" w:sz="0" w:space="0" w:color="auto"/>
                  </w:divBdr>
                  <w:divsChild>
                    <w:div w:id="1706783869">
                      <w:marLeft w:val="0"/>
                      <w:marRight w:val="0"/>
                      <w:marTop w:val="0"/>
                      <w:marBottom w:val="0"/>
                      <w:divBdr>
                        <w:top w:val="none" w:sz="0" w:space="0" w:color="auto"/>
                        <w:left w:val="none" w:sz="0" w:space="0" w:color="auto"/>
                        <w:bottom w:val="none" w:sz="0" w:space="0" w:color="auto"/>
                        <w:right w:val="none" w:sz="0" w:space="0" w:color="auto"/>
                      </w:divBdr>
                      <w:divsChild>
                        <w:div w:id="703136409">
                          <w:marLeft w:val="0"/>
                          <w:marRight w:val="0"/>
                          <w:marTop w:val="0"/>
                          <w:marBottom w:val="72"/>
                          <w:divBdr>
                            <w:top w:val="none" w:sz="0" w:space="0" w:color="auto"/>
                            <w:left w:val="none" w:sz="0" w:space="0" w:color="auto"/>
                            <w:bottom w:val="single" w:sz="6" w:space="0" w:color="C2C4BA"/>
                            <w:right w:val="none" w:sz="0" w:space="0" w:color="auto"/>
                          </w:divBdr>
                          <w:divsChild>
                            <w:div w:id="788400380">
                              <w:marLeft w:val="0"/>
                              <w:marRight w:val="0"/>
                              <w:marTop w:val="0"/>
                              <w:marBottom w:val="72"/>
                              <w:divBdr>
                                <w:top w:val="none" w:sz="0" w:space="0" w:color="auto"/>
                                <w:left w:val="none" w:sz="0" w:space="0" w:color="auto"/>
                                <w:bottom w:val="none" w:sz="0" w:space="0" w:color="auto"/>
                                <w:right w:val="none" w:sz="0" w:space="0" w:color="auto"/>
                              </w:divBdr>
                            </w:div>
                          </w:divsChild>
                        </w:div>
                        <w:div w:id="874663193">
                          <w:marLeft w:val="150"/>
                          <w:marRight w:val="0"/>
                          <w:marTop w:val="0"/>
                          <w:marBottom w:val="72"/>
                          <w:divBdr>
                            <w:top w:val="none" w:sz="0" w:space="0" w:color="auto"/>
                            <w:left w:val="none" w:sz="0" w:space="0" w:color="auto"/>
                            <w:bottom w:val="none" w:sz="0" w:space="0" w:color="auto"/>
                            <w:right w:val="none" w:sz="0" w:space="0" w:color="auto"/>
                          </w:divBdr>
                        </w:div>
                        <w:div w:id="552429287">
                          <w:marLeft w:val="150"/>
                          <w:marRight w:val="0"/>
                          <w:marTop w:val="0"/>
                          <w:marBottom w:val="72"/>
                          <w:divBdr>
                            <w:top w:val="none" w:sz="0" w:space="0" w:color="auto"/>
                            <w:left w:val="none" w:sz="0" w:space="0" w:color="auto"/>
                            <w:bottom w:val="none" w:sz="0" w:space="0" w:color="auto"/>
                            <w:right w:val="none" w:sz="0" w:space="0" w:color="auto"/>
                          </w:divBdr>
                          <w:divsChild>
                            <w:div w:id="1553535798">
                              <w:marLeft w:val="150"/>
                              <w:marRight w:val="0"/>
                              <w:marTop w:val="0"/>
                              <w:marBottom w:val="72"/>
                              <w:divBdr>
                                <w:top w:val="none" w:sz="0" w:space="0" w:color="auto"/>
                                <w:left w:val="none" w:sz="0" w:space="0" w:color="auto"/>
                                <w:bottom w:val="none" w:sz="0" w:space="0" w:color="auto"/>
                                <w:right w:val="none" w:sz="0" w:space="0" w:color="auto"/>
                              </w:divBdr>
                              <w:divsChild>
                                <w:div w:id="1534148934">
                                  <w:marLeft w:val="0"/>
                                  <w:marRight w:val="0"/>
                                  <w:marTop w:val="0"/>
                                  <w:marBottom w:val="72"/>
                                  <w:divBdr>
                                    <w:top w:val="none" w:sz="0" w:space="0" w:color="auto"/>
                                    <w:left w:val="none" w:sz="0" w:space="0" w:color="auto"/>
                                    <w:bottom w:val="none" w:sz="0" w:space="0" w:color="auto"/>
                                    <w:right w:val="none" w:sz="0" w:space="0" w:color="auto"/>
                                  </w:divBdr>
                                </w:div>
                              </w:divsChild>
                            </w:div>
                            <w:div w:id="91970774">
                              <w:marLeft w:val="225"/>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p.arcgis.com/zh-cn/arcgisdesktop/10.0/help/00r9/00r900000092000000.htm" TargetMode="External"/><Relationship Id="rId13" Type="http://schemas.openxmlformats.org/officeDocument/2006/relationships/hyperlink" Target="http://help.arcgis.com/zh-cn/arcgisdesktop/10.0/help/009z/009z0000000w000000.htm" TargetMode="External"/><Relationship Id="rId18" Type="http://schemas.openxmlformats.org/officeDocument/2006/relationships/hyperlink" Target="http://help.arcgis.com/zh-cn/arcgisdesktop/10.0/help/001t/001t00000008000000.htm" TargetMode="External"/><Relationship Id="rId3" Type="http://schemas.openxmlformats.org/officeDocument/2006/relationships/settings" Target="settings.xml"/><Relationship Id="rId7" Type="http://schemas.openxmlformats.org/officeDocument/2006/relationships/hyperlink" Target="http://resources.arcgis.com/zh-cn/content/arcgis-desktop" TargetMode="External"/><Relationship Id="rId12" Type="http://schemas.openxmlformats.org/officeDocument/2006/relationships/hyperlink" Target="http://help.arcgis.com/zh-cn/arcgisdesktop/10.0/help/009z/009z0000000r000000.htm" TargetMode="External"/><Relationship Id="rId17" Type="http://schemas.openxmlformats.org/officeDocument/2006/relationships/hyperlink" Target="http://help.arcgis.com/zh-cn/arcgisdesktop/10.0/help/001w/001w00000005000000.htm" TargetMode="External"/><Relationship Id="rId2" Type="http://schemas.microsoft.com/office/2007/relationships/stylesWithEffects" Target="stylesWithEffects.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help.arcgis.com/zh-cn/arcgisdesktop/10.0/help/009z/009z00000003000000.htm" TargetMode="External"/><Relationship Id="rId5" Type="http://schemas.openxmlformats.org/officeDocument/2006/relationships/footnotes" Target="footnotes.xml"/><Relationship Id="rId15" Type="http://schemas.openxmlformats.org/officeDocument/2006/relationships/hyperlink" Target="http://help.arcgis.com/zh-cn/arcgisdesktop/10.0/help/001w/001w00000005000000.htm" TargetMode="External"/><Relationship Id="rId10" Type="http://schemas.openxmlformats.org/officeDocument/2006/relationships/hyperlink" Target="http://help.arcgis.com/zh-cn/arcgisdesktop/10.0/help/00q9/00q900000070000000.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elp.arcgis.com/zh-cn/arcgisdesktop/10.0/help/002s/002s00000001000000.htm" TargetMode="External"/><Relationship Id="rId14" Type="http://schemas.openxmlformats.org/officeDocument/2006/relationships/hyperlink" Target="http://help.arcgis.com/zh-cn/arcgisdesktop/10.0/help/009z/009z0000000s000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2346</Characters>
  <Application>Microsoft Office Word</Application>
  <DocSecurity>0</DocSecurity>
  <Lines>19</Lines>
  <Paragraphs>5</Paragraphs>
  <ScaleCrop>false</ScaleCrop>
  <Company>Microsoft</Company>
  <LinksUpToDate>false</LinksUpToDate>
  <CharactersWithSpaces>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Esri</dc:creator>
  <cp:keywords/>
  <dc:description/>
  <cp:lastModifiedBy>Esri</cp:lastModifiedBy>
  <cp:revision>2</cp:revision>
  <dcterms:created xsi:type="dcterms:W3CDTF">2012-04-18T08:21:00Z</dcterms:created>
  <dcterms:modified xsi:type="dcterms:W3CDTF">2012-04-18T08:21:00Z</dcterms:modified>
</cp:coreProperties>
</file>