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640"/>
      </w:tblGrid>
      <w:tr w:rsidR="00FA087C" w:rsidRPr="00FA087C" w:rsidTr="00EE0D6B">
        <w:trPr>
          <w:trHeight w:val="225"/>
          <w:tblCellSpacing w:w="0" w:type="dxa"/>
          <w:jc w:val="center"/>
        </w:trPr>
        <w:tc>
          <w:tcPr>
            <w:tcW w:w="0" w:type="auto"/>
            <w:vAlign w:val="center"/>
            <w:hideMark/>
          </w:tcPr>
          <w:p w:rsidR="00FA087C" w:rsidRPr="00FA087C" w:rsidRDefault="00FA087C" w:rsidP="00FA087C">
            <w:pPr>
              <w:widowControl/>
              <w:spacing w:line="480" w:lineRule="atLeast"/>
              <w:jc w:val="left"/>
              <w:rPr>
                <w:rFonts w:ascii="ˎ̥" w:eastAsia="宋体" w:hAnsi="ˎ̥" w:cs="宋体" w:hint="eastAsia"/>
                <w:color w:val="333333"/>
                <w:kern w:val="0"/>
                <w:sz w:val="22"/>
                <w:szCs w:val="28"/>
              </w:rPr>
            </w:pPr>
          </w:p>
        </w:tc>
      </w:tr>
      <w:tr w:rsidR="00FA087C" w:rsidRPr="00FA087C" w:rsidTr="00EE0D6B">
        <w:trPr>
          <w:trHeight w:val="225"/>
          <w:tblCellSpacing w:w="0" w:type="dxa"/>
          <w:jc w:val="center"/>
        </w:trPr>
        <w:tc>
          <w:tcPr>
            <w:tcW w:w="0" w:type="auto"/>
            <w:vAlign w:val="center"/>
          </w:tcPr>
          <w:p w:rsidR="00FA087C" w:rsidRPr="00FA087C" w:rsidRDefault="00FA087C" w:rsidP="00FA087C">
            <w:pPr>
              <w:widowControl/>
              <w:spacing w:line="360" w:lineRule="auto"/>
              <w:jc w:val="center"/>
              <w:rPr>
                <w:rFonts w:ascii="宋体" w:eastAsia="宋体" w:hAnsi="宋体" w:cs="宋体"/>
                <w:color w:val="333333"/>
                <w:kern w:val="0"/>
                <w:sz w:val="24"/>
                <w:szCs w:val="24"/>
              </w:rPr>
            </w:pPr>
            <w:bookmarkStart w:id="0" w:name="_Toc286257522"/>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b/>
                <w:color w:val="333333"/>
                <w:kern w:val="0"/>
                <w:sz w:val="48"/>
                <w:szCs w:val="48"/>
              </w:rPr>
            </w:pPr>
            <w:r w:rsidRPr="00FA087C">
              <w:rPr>
                <w:rFonts w:ascii="宋体" w:eastAsia="宋体" w:hAnsi="宋体" w:cs="宋体" w:hint="eastAsia"/>
                <w:b/>
                <w:color w:val="333333"/>
                <w:kern w:val="0"/>
                <w:sz w:val="48"/>
                <w:szCs w:val="48"/>
              </w:rPr>
              <w:t>第一部分</w:t>
            </w:r>
          </w:p>
          <w:p w:rsidR="00FA087C" w:rsidRPr="00FA087C" w:rsidRDefault="00FA087C" w:rsidP="00FA087C">
            <w:pPr>
              <w:widowControl/>
              <w:spacing w:line="360" w:lineRule="auto"/>
              <w:jc w:val="center"/>
              <w:rPr>
                <w:rFonts w:ascii="宋体" w:eastAsia="宋体" w:hAnsi="宋体" w:cs="宋体"/>
                <w:b/>
                <w:color w:val="333333"/>
                <w:kern w:val="0"/>
                <w:sz w:val="48"/>
                <w:szCs w:val="48"/>
              </w:rPr>
            </w:pPr>
            <w:r w:rsidRPr="00FA087C">
              <w:rPr>
                <w:rFonts w:ascii="宋体" w:eastAsia="宋体" w:hAnsi="宋体" w:cs="宋体" w:hint="eastAsia"/>
                <w:b/>
                <w:color w:val="333333"/>
                <w:kern w:val="0"/>
                <w:sz w:val="48"/>
                <w:szCs w:val="48"/>
              </w:rPr>
              <w:t>黑河市2011年度土地供应计划</w:t>
            </w:r>
          </w:p>
          <w:p w:rsidR="00FA087C" w:rsidRPr="00FA087C" w:rsidRDefault="00FA087C" w:rsidP="00FA087C">
            <w:pPr>
              <w:widowControl/>
              <w:spacing w:line="360" w:lineRule="auto"/>
              <w:jc w:val="center"/>
              <w:rPr>
                <w:rFonts w:ascii="宋体" w:eastAsia="宋体" w:hAnsi="宋体" w:cs="宋体"/>
                <w:b/>
                <w:color w:val="333333"/>
                <w:kern w:val="0"/>
                <w:sz w:val="48"/>
                <w:szCs w:val="48"/>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Times New Roman"/>
                <w:b/>
                <w:color w:val="333333"/>
                <w:sz w:val="32"/>
                <w:szCs w:val="32"/>
              </w:rPr>
              <w:sectPr w:rsidR="00FA087C" w:rsidRPr="00FA087C">
                <w:pgSz w:w="12240" w:h="15840"/>
                <w:pgMar w:top="1440" w:right="1800" w:bottom="1440" w:left="1800" w:header="720" w:footer="720" w:gutter="0"/>
                <w:cols w:space="720"/>
              </w:sectPr>
            </w:pPr>
          </w:p>
          <w:bookmarkEnd w:id="0"/>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color w:val="333333"/>
                <w:kern w:val="0"/>
                <w:sz w:val="24"/>
                <w:szCs w:val="24"/>
              </w:rPr>
              <w:lastRenderedPageBreak/>
              <w:t> </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lastRenderedPageBreak/>
              <w:t>土地是人类赖以生存和发展的基础，它既是一种十分有限的自然资源，又是一项重要的资产。随着社会经济发展和人口的不断增加，人地矛盾将会日益突出，加强土地资源供需平衡研究是为了保障土地资源可持续利用，保障经济社会发展的前提和基础，编制国有建设用地供应计划将更好的落实土地节约集约利用，</w:t>
            </w:r>
            <w:r w:rsidRPr="00FA087C">
              <w:rPr>
                <w:rFonts w:ascii="宋体" w:eastAsia="宋体" w:hAnsi="宋体" w:cs="宋体" w:hint="eastAsia"/>
                <w:color w:val="000000"/>
                <w:kern w:val="0"/>
                <w:sz w:val="28"/>
                <w:szCs w:val="28"/>
              </w:rPr>
              <w:t>为构建资源节约型、环境友好型社会贡献力量</w:t>
            </w:r>
            <w:r w:rsidRPr="00FA087C">
              <w:rPr>
                <w:rFonts w:ascii="Times New Roman" w:eastAsia="宋体" w:hAnsi="Times New Roman" w:cs="宋体" w:hint="eastAsia"/>
                <w:color w:val="000000"/>
                <w:kern w:val="0"/>
                <w:sz w:val="28"/>
                <w:szCs w:val="28"/>
              </w:rPr>
              <w:t>。</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 w:name="_Toc286255651"/>
            <w:bookmarkStart w:id="2" w:name="_Toc286255782"/>
            <w:bookmarkStart w:id="3" w:name="_Toc286257523"/>
            <w:bookmarkStart w:id="4" w:name="_Toc288721555"/>
            <w:r w:rsidRPr="00FA087C">
              <w:rPr>
                <w:rFonts w:ascii="宋体" w:eastAsia="宋体" w:hAnsi="宋体" w:cs="宋体"/>
                <w:b/>
                <w:bCs/>
                <w:color w:val="333333"/>
                <w:kern w:val="0"/>
                <w:sz w:val="36"/>
                <w:szCs w:val="36"/>
              </w:rPr>
              <w:t>一、计划的目的意义和编制依据</w:t>
            </w:r>
            <w:bookmarkEnd w:id="1"/>
            <w:bookmarkEnd w:id="2"/>
            <w:bookmarkEnd w:id="3"/>
            <w:bookmarkEnd w:id="4"/>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编制国有建设用地供应计划对于客观、准确地了解实际用地需求，科学安排国有建设用地供应，提高供地的科学性、针对性和合理性，保证土地利用总体规划和年度计划的有效实施，促进土地供应的规范化、制度化、科学化，提高土地参与国家宏观调控的能力等方面具有重大的意义。</w:t>
            </w:r>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5" w:name="_Toc286257524"/>
            <w:bookmarkStart w:id="6" w:name="_Toc288721556"/>
            <w:r w:rsidRPr="00FA087C">
              <w:rPr>
                <w:rFonts w:ascii="Times New Roman" w:eastAsia="宋体" w:hAnsi="Times New Roman" w:cs="宋体" w:hint="eastAsia"/>
                <w:b/>
                <w:bCs/>
                <w:color w:val="000000"/>
                <w:kern w:val="0"/>
                <w:sz w:val="28"/>
                <w:szCs w:val="28"/>
              </w:rPr>
              <w:t>（一）计划编制的目的</w:t>
            </w:r>
            <w:bookmarkEnd w:id="5"/>
            <w:bookmarkEnd w:id="6"/>
            <w:r w:rsidRPr="00FA087C">
              <w:rPr>
                <w:rFonts w:ascii="ˎ̥" w:eastAsia="宋体" w:hAnsi="ˎ̥" w:cs="宋体"/>
                <w:b/>
                <w:bCs/>
                <w:color w:val="000000"/>
                <w:kern w:val="0"/>
                <w:sz w:val="28"/>
                <w:szCs w:val="28"/>
              </w:rPr>
              <w:t xml:space="preserve"> </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为有效实施土地利用总体规划和土地利用年度计划，科学安排国有建设用地供应，根据中华人民共和国国土资源部《国有建设用地供应计划编制规范（试行）》和《土地利用年度计划管理办法》规定，制定本年度国有建设用地供应计划。</w:t>
            </w:r>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7" w:name="_Toc286257525"/>
            <w:bookmarkStart w:id="8" w:name="_Toc288721557"/>
            <w:r w:rsidRPr="00FA087C">
              <w:rPr>
                <w:rFonts w:ascii="Times New Roman" w:eastAsia="宋体" w:hAnsi="Times New Roman" w:cs="宋体" w:hint="eastAsia"/>
                <w:b/>
                <w:bCs/>
                <w:color w:val="000000"/>
                <w:kern w:val="0"/>
                <w:sz w:val="28"/>
                <w:szCs w:val="28"/>
              </w:rPr>
              <w:t>（二）计划编制的意义</w:t>
            </w:r>
            <w:bookmarkEnd w:id="7"/>
            <w:bookmarkEnd w:id="8"/>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无论是现代经济理论还是国家的经济运行实践都表明，有了科学合理的计划，市场运行才能减少盲目性，才能有序运行。建设用地供应计划是在充分研究土地市场规律、把握土地市场发展趋势的基础上，依据有关法律法规和土地现实供需要求编制的，体现了对未来国有建设用地供应规模、时序、结构等方面的设计和谋划。有了这个计划，才能对供多少地，何时供，以什么方式供，供应结构、方向如何等做到心中有数，</w:t>
            </w:r>
            <w:r w:rsidRPr="00FA087C">
              <w:rPr>
                <w:rFonts w:ascii="Times New Roman" w:eastAsia="宋体" w:hAnsi="Times New Roman" w:cs="宋体" w:hint="eastAsia"/>
                <w:color w:val="000000"/>
                <w:kern w:val="0"/>
                <w:sz w:val="28"/>
                <w:szCs w:val="28"/>
              </w:rPr>
              <w:lastRenderedPageBreak/>
              <w:t>才能进一步提高政府供地的前瞻性、科学性、针对性和合理性。</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2004</w:t>
            </w:r>
            <w:r w:rsidRPr="00FA087C">
              <w:rPr>
                <w:rFonts w:ascii="Times New Roman" w:eastAsia="宋体" w:hAnsi="Times New Roman" w:cs="宋体" w:hint="eastAsia"/>
                <w:color w:val="000000"/>
                <w:kern w:val="0"/>
                <w:sz w:val="28"/>
                <w:szCs w:val="28"/>
              </w:rPr>
              <w:t>年以来，中央要求利用土地政策参与国民经济运行的宏观调控。而编制土地供应计划，对落实一个地区的国民经济和社会发展规划、土地利用年度计划以及城市的功能分区与布局有直接影响。特别是</w:t>
            </w:r>
            <w:r w:rsidRPr="00FA087C">
              <w:rPr>
                <w:rFonts w:ascii="宋体" w:eastAsia="宋体" w:hAnsi="宋体" w:cs="宋体"/>
                <w:color w:val="000000"/>
                <w:kern w:val="0"/>
                <w:sz w:val="28"/>
                <w:szCs w:val="28"/>
              </w:rPr>
              <w:t>09</w:t>
            </w:r>
            <w:r w:rsidRPr="00FA087C">
              <w:rPr>
                <w:rFonts w:ascii="Times New Roman" w:eastAsia="宋体" w:hAnsi="Times New Roman" w:cs="宋体" w:hint="eastAsia"/>
                <w:color w:val="000000"/>
                <w:kern w:val="0"/>
                <w:sz w:val="28"/>
                <w:szCs w:val="28"/>
              </w:rPr>
              <w:t>年以来，国土资源部多次强调土地供应计划管理在宏观调控中的重要性，指出土地计划的职能已从单一服务于土地资源管理，逐步转向管理与宏观调控并重。今年国家的房价调控，在运用金融、税收手段的同时，更加强调土地供应计划的控制作用。编制科学合理的住房供地计划，可以控制住房供地结构和时序，保证保障性住房建设用地需求，保障中低收入阶层的住房供应，有利于房地产市场回归理性。</w:t>
            </w:r>
            <w:r w:rsidRPr="00FA087C">
              <w:rPr>
                <w:rFonts w:ascii="宋体" w:eastAsia="宋体" w:hAnsi="宋体" w:cs="宋体"/>
                <w:color w:val="000000"/>
                <w:kern w:val="0"/>
                <w:sz w:val="28"/>
                <w:szCs w:val="28"/>
              </w:rPr>
              <w:t xml:space="preserve"> </w:t>
            </w:r>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9" w:name="_Toc286257526"/>
            <w:bookmarkStart w:id="10" w:name="_Toc288721558"/>
            <w:r w:rsidRPr="00FA087C">
              <w:rPr>
                <w:rFonts w:ascii="Times New Roman" w:eastAsia="宋体" w:hAnsi="Times New Roman" w:cs="宋体" w:hint="eastAsia"/>
                <w:b/>
                <w:bCs/>
                <w:color w:val="000000"/>
                <w:kern w:val="0"/>
                <w:sz w:val="28"/>
                <w:szCs w:val="28"/>
              </w:rPr>
              <w:t>（三）计划编制的依据</w:t>
            </w:r>
            <w:bookmarkEnd w:id="9"/>
            <w:bookmarkEnd w:id="10"/>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11" w:name="_Toc102031417"/>
            <w:bookmarkStart w:id="12" w:name="_Toc176667230"/>
            <w:bookmarkStart w:id="13" w:name="_Toc176668695"/>
            <w:bookmarkStart w:id="14" w:name="_Toc176689435"/>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）《中华人民共和国土地管理法》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2</w:t>
            </w:r>
            <w:r w:rsidRPr="00FA087C">
              <w:rPr>
                <w:rFonts w:ascii="Times New Roman" w:eastAsia="宋体" w:hAnsi="Times New Roman" w:cs="宋体" w:hint="eastAsia"/>
                <w:color w:val="000000"/>
                <w:kern w:val="0"/>
                <w:sz w:val="28"/>
                <w:szCs w:val="28"/>
              </w:rPr>
              <w:t>）《中华人民共和国城市房地产管理法》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3</w:t>
            </w:r>
            <w:r w:rsidRPr="00FA087C">
              <w:rPr>
                <w:rFonts w:ascii="Times New Roman" w:eastAsia="宋体" w:hAnsi="Times New Roman" w:cs="宋体" w:hint="eastAsia"/>
                <w:color w:val="000000"/>
                <w:kern w:val="0"/>
                <w:sz w:val="28"/>
                <w:szCs w:val="28"/>
              </w:rPr>
              <w:t>）《中华人民共和国城乡规划法》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4</w:t>
            </w:r>
            <w:r w:rsidRPr="00FA087C">
              <w:rPr>
                <w:rFonts w:ascii="Times New Roman" w:eastAsia="宋体" w:hAnsi="Times New Roman" w:cs="宋体" w:hint="eastAsia"/>
                <w:color w:val="000000"/>
                <w:kern w:val="0"/>
                <w:sz w:val="28"/>
                <w:szCs w:val="28"/>
              </w:rPr>
              <w:t>）《国务院关于深化改革严格土地管理的决定》（国发</w:t>
            </w:r>
            <w:r w:rsidRPr="00FA087C">
              <w:rPr>
                <w:rFonts w:ascii="宋体" w:eastAsia="宋体" w:hAnsi="宋体" w:cs="宋体"/>
                <w:color w:val="000000"/>
                <w:kern w:val="0"/>
                <w:sz w:val="28"/>
                <w:szCs w:val="28"/>
              </w:rPr>
              <w:t>[2004]28</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5</w:t>
            </w:r>
            <w:r w:rsidRPr="00FA087C">
              <w:rPr>
                <w:rFonts w:ascii="Times New Roman" w:eastAsia="宋体" w:hAnsi="Times New Roman" w:cs="宋体" w:hint="eastAsia"/>
                <w:color w:val="000000"/>
                <w:kern w:val="0"/>
                <w:sz w:val="28"/>
                <w:szCs w:val="28"/>
              </w:rPr>
              <w:t>）《国务院关于加强土地调控有关问题的通知》（国发</w:t>
            </w:r>
            <w:r w:rsidRPr="00FA087C">
              <w:rPr>
                <w:rFonts w:ascii="宋体" w:eastAsia="宋体" w:hAnsi="宋体" w:cs="宋体"/>
                <w:color w:val="000000"/>
                <w:kern w:val="0"/>
                <w:sz w:val="28"/>
                <w:szCs w:val="28"/>
              </w:rPr>
              <w:t>[2006]31</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6</w:t>
            </w:r>
            <w:r w:rsidRPr="00FA087C">
              <w:rPr>
                <w:rFonts w:ascii="Times New Roman" w:eastAsia="宋体" w:hAnsi="Times New Roman" w:cs="宋体" w:hint="eastAsia"/>
                <w:color w:val="000000"/>
                <w:kern w:val="0"/>
                <w:sz w:val="28"/>
                <w:szCs w:val="28"/>
              </w:rPr>
              <w:t>）《国务院关于促进节约集约用地的通知》（国发</w:t>
            </w:r>
            <w:r w:rsidRPr="00FA087C">
              <w:rPr>
                <w:rFonts w:ascii="宋体" w:eastAsia="宋体" w:hAnsi="宋体" w:cs="宋体"/>
                <w:color w:val="000000"/>
                <w:kern w:val="0"/>
                <w:sz w:val="28"/>
                <w:szCs w:val="28"/>
              </w:rPr>
              <w:t>[2008]3</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7</w:t>
            </w:r>
            <w:r w:rsidRPr="00FA087C">
              <w:rPr>
                <w:rFonts w:ascii="Times New Roman" w:eastAsia="宋体" w:hAnsi="Times New Roman" w:cs="宋体" w:hint="eastAsia"/>
                <w:color w:val="000000"/>
                <w:kern w:val="0"/>
                <w:sz w:val="28"/>
                <w:szCs w:val="28"/>
              </w:rPr>
              <w:t>）《国务院批转发展改革委等部门关于抑制部分行业产能过剩和重复建设引导产业健康发展若干意见的通知》（国发</w:t>
            </w:r>
            <w:r w:rsidRPr="00FA087C">
              <w:rPr>
                <w:rFonts w:ascii="宋体" w:eastAsia="宋体" w:hAnsi="宋体" w:cs="宋体"/>
                <w:color w:val="000000"/>
                <w:kern w:val="0"/>
                <w:sz w:val="28"/>
                <w:szCs w:val="28"/>
              </w:rPr>
              <w:t>[2009]38</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8</w:t>
            </w:r>
            <w:r w:rsidRPr="00FA087C">
              <w:rPr>
                <w:rFonts w:ascii="Times New Roman" w:eastAsia="宋体" w:hAnsi="Times New Roman" w:cs="宋体" w:hint="eastAsia"/>
                <w:color w:val="000000"/>
                <w:kern w:val="0"/>
                <w:sz w:val="28"/>
                <w:szCs w:val="28"/>
              </w:rPr>
              <w:t>）《国务院办公厅关于促进房地产市场平稳健康发展的通知》（国办发〔</w:t>
            </w:r>
            <w:r w:rsidRPr="00FA087C">
              <w:rPr>
                <w:rFonts w:ascii="宋体" w:eastAsia="宋体" w:hAnsi="宋体" w:cs="宋体"/>
                <w:color w:val="000000"/>
                <w:kern w:val="0"/>
                <w:sz w:val="28"/>
                <w:szCs w:val="28"/>
              </w:rPr>
              <w:t>2010</w:t>
            </w: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4</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9</w:t>
            </w:r>
            <w:r w:rsidRPr="00FA087C">
              <w:rPr>
                <w:rFonts w:ascii="Times New Roman" w:eastAsia="宋体" w:hAnsi="Times New Roman" w:cs="宋体" w:hint="eastAsia"/>
                <w:color w:val="000000"/>
                <w:kern w:val="0"/>
                <w:sz w:val="28"/>
                <w:szCs w:val="28"/>
              </w:rPr>
              <w:t>）《招标拍卖挂牌出让国有建设用地使用权规定》（国土资源</w:t>
            </w:r>
            <w:r w:rsidRPr="00FA087C">
              <w:rPr>
                <w:rFonts w:ascii="Times New Roman" w:eastAsia="宋体" w:hAnsi="Times New Roman" w:cs="宋体" w:hint="eastAsia"/>
                <w:color w:val="000000"/>
                <w:kern w:val="0"/>
                <w:sz w:val="28"/>
                <w:szCs w:val="28"/>
              </w:rPr>
              <w:lastRenderedPageBreak/>
              <w:t>部令第</w:t>
            </w:r>
            <w:r w:rsidRPr="00FA087C">
              <w:rPr>
                <w:rFonts w:ascii="宋体" w:eastAsia="宋体" w:hAnsi="宋体" w:cs="宋体"/>
                <w:color w:val="000000"/>
                <w:kern w:val="0"/>
                <w:sz w:val="28"/>
                <w:szCs w:val="28"/>
              </w:rPr>
              <w:t>39</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10</w:t>
            </w:r>
            <w:r w:rsidRPr="00FA087C">
              <w:rPr>
                <w:rFonts w:ascii="Times New Roman" w:eastAsia="宋体" w:hAnsi="Times New Roman" w:cs="宋体" w:hint="eastAsia"/>
                <w:color w:val="000000"/>
                <w:kern w:val="0"/>
                <w:sz w:val="28"/>
                <w:szCs w:val="28"/>
              </w:rPr>
              <w:t>）《协议出让国有土地使用权规定》（国土资源部令第</w:t>
            </w:r>
            <w:r w:rsidRPr="00FA087C">
              <w:rPr>
                <w:rFonts w:ascii="宋体" w:eastAsia="宋体" w:hAnsi="宋体" w:cs="宋体"/>
                <w:color w:val="000000"/>
                <w:kern w:val="0"/>
                <w:sz w:val="28"/>
                <w:szCs w:val="28"/>
              </w:rPr>
              <w:t>21</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11</w:t>
            </w:r>
            <w:r w:rsidRPr="00FA087C">
              <w:rPr>
                <w:rFonts w:ascii="Times New Roman" w:eastAsia="宋体" w:hAnsi="Times New Roman" w:cs="宋体" w:hint="eastAsia"/>
                <w:color w:val="000000"/>
                <w:kern w:val="0"/>
                <w:sz w:val="28"/>
                <w:szCs w:val="28"/>
              </w:rPr>
              <w:t>）《划拨用地目录》（国土资源部令第</w:t>
            </w:r>
            <w:r w:rsidRPr="00FA087C">
              <w:rPr>
                <w:rFonts w:ascii="宋体" w:eastAsia="宋体" w:hAnsi="宋体" w:cs="宋体"/>
                <w:color w:val="000000"/>
                <w:kern w:val="0"/>
                <w:sz w:val="28"/>
                <w:szCs w:val="28"/>
              </w:rPr>
              <w:t>9</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12</w:t>
            </w:r>
            <w:r w:rsidRPr="00FA087C">
              <w:rPr>
                <w:rFonts w:ascii="Times New Roman" w:eastAsia="宋体" w:hAnsi="Times New Roman" w:cs="宋体" w:hint="eastAsia"/>
                <w:color w:val="000000"/>
                <w:kern w:val="0"/>
                <w:sz w:val="28"/>
                <w:szCs w:val="28"/>
              </w:rPr>
              <w:t>）《限制用地项目目录（</w:t>
            </w:r>
            <w:r w:rsidRPr="00FA087C">
              <w:rPr>
                <w:rFonts w:ascii="宋体" w:eastAsia="宋体" w:hAnsi="宋体" w:cs="宋体"/>
                <w:color w:val="000000"/>
                <w:kern w:val="0"/>
                <w:sz w:val="28"/>
                <w:szCs w:val="28"/>
              </w:rPr>
              <w:t>2006</w:t>
            </w:r>
            <w:r w:rsidRPr="00FA087C">
              <w:rPr>
                <w:rFonts w:ascii="Times New Roman" w:eastAsia="宋体" w:hAnsi="Times New Roman" w:cs="宋体" w:hint="eastAsia"/>
                <w:color w:val="000000"/>
                <w:kern w:val="0"/>
                <w:sz w:val="28"/>
                <w:szCs w:val="28"/>
              </w:rPr>
              <w:t>年本）》和《禁止用地项目目录（</w:t>
            </w:r>
            <w:r w:rsidRPr="00FA087C">
              <w:rPr>
                <w:rFonts w:ascii="宋体" w:eastAsia="宋体" w:hAnsi="宋体" w:cs="宋体"/>
                <w:color w:val="000000"/>
                <w:kern w:val="0"/>
                <w:sz w:val="28"/>
                <w:szCs w:val="28"/>
              </w:rPr>
              <w:t>2006</w:t>
            </w:r>
            <w:r w:rsidRPr="00FA087C">
              <w:rPr>
                <w:rFonts w:ascii="Times New Roman" w:eastAsia="宋体" w:hAnsi="Times New Roman" w:cs="宋体" w:hint="eastAsia"/>
                <w:color w:val="000000"/>
                <w:kern w:val="0"/>
                <w:sz w:val="28"/>
                <w:szCs w:val="28"/>
              </w:rPr>
              <w:t>年本）》（国土资发</w:t>
            </w:r>
            <w:r w:rsidRPr="00FA087C">
              <w:rPr>
                <w:rFonts w:ascii="宋体" w:eastAsia="宋体" w:hAnsi="宋体" w:cs="宋体"/>
                <w:color w:val="000000"/>
                <w:kern w:val="0"/>
                <w:sz w:val="28"/>
                <w:szCs w:val="28"/>
              </w:rPr>
              <w:t>[2006]296</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13</w:t>
            </w:r>
            <w:r w:rsidRPr="00FA087C">
              <w:rPr>
                <w:rFonts w:ascii="Times New Roman" w:eastAsia="宋体" w:hAnsi="Times New Roman" w:cs="宋体" w:hint="eastAsia"/>
                <w:color w:val="000000"/>
                <w:kern w:val="0"/>
                <w:sz w:val="28"/>
                <w:szCs w:val="28"/>
              </w:rPr>
              <w:t>）《限制用地项目目录（</w:t>
            </w:r>
            <w:r w:rsidRPr="00FA087C">
              <w:rPr>
                <w:rFonts w:ascii="宋体" w:eastAsia="宋体" w:hAnsi="宋体" w:cs="宋体"/>
                <w:color w:val="000000"/>
                <w:kern w:val="0"/>
                <w:sz w:val="28"/>
                <w:szCs w:val="28"/>
              </w:rPr>
              <w:t>2006</w:t>
            </w:r>
            <w:r w:rsidRPr="00FA087C">
              <w:rPr>
                <w:rFonts w:ascii="Times New Roman" w:eastAsia="宋体" w:hAnsi="Times New Roman" w:cs="宋体" w:hint="eastAsia"/>
                <w:color w:val="000000"/>
                <w:kern w:val="0"/>
                <w:sz w:val="28"/>
                <w:szCs w:val="28"/>
              </w:rPr>
              <w:t>年增补本）》和《禁止用地项目目录（</w:t>
            </w:r>
            <w:r w:rsidRPr="00FA087C">
              <w:rPr>
                <w:rFonts w:ascii="宋体" w:eastAsia="宋体" w:hAnsi="宋体" w:cs="宋体"/>
                <w:color w:val="000000"/>
                <w:kern w:val="0"/>
                <w:sz w:val="28"/>
                <w:szCs w:val="28"/>
              </w:rPr>
              <w:t>2006</w:t>
            </w:r>
            <w:r w:rsidRPr="00FA087C">
              <w:rPr>
                <w:rFonts w:ascii="Times New Roman" w:eastAsia="宋体" w:hAnsi="Times New Roman" w:cs="宋体" w:hint="eastAsia"/>
                <w:color w:val="000000"/>
                <w:kern w:val="0"/>
                <w:sz w:val="28"/>
                <w:szCs w:val="28"/>
              </w:rPr>
              <w:t>年增补本）》（国土资发</w:t>
            </w:r>
            <w:r w:rsidRPr="00FA087C">
              <w:rPr>
                <w:rFonts w:ascii="宋体" w:eastAsia="宋体" w:hAnsi="宋体" w:cs="宋体"/>
                <w:color w:val="000000"/>
                <w:kern w:val="0"/>
                <w:sz w:val="28"/>
                <w:szCs w:val="28"/>
              </w:rPr>
              <w:t>[2009]154</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14</w:t>
            </w:r>
            <w:r w:rsidRPr="00FA087C">
              <w:rPr>
                <w:rFonts w:ascii="Times New Roman" w:eastAsia="宋体" w:hAnsi="Times New Roman" w:cs="宋体" w:hint="eastAsia"/>
                <w:color w:val="000000"/>
                <w:kern w:val="0"/>
                <w:sz w:val="28"/>
                <w:szCs w:val="28"/>
              </w:rPr>
              <w:t>）《土地储备管理办法》（国土资发</w:t>
            </w:r>
            <w:r w:rsidRPr="00FA087C">
              <w:rPr>
                <w:rFonts w:ascii="宋体" w:eastAsia="宋体" w:hAnsi="宋体" w:cs="宋体"/>
                <w:color w:val="000000"/>
                <w:kern w:val="0"/>
                <w:sz w:val="28"/>
                <w:szCs w:val="28"/>
              </w:rPr>
              <w:t>[2007]277</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15</w:t>
            </w:r>
            <w:r w:rsidRPr="00FA087C">
              <w:rPr>
                <w:rFonts w:ascii="Times New Roman" w:eastAsia="宋体" w:hAnsi="Times New Roman" w:cs="宋体" w:hint="eastAsia"/>
                <w:color w:val="000000"/>
                <w:kern w:val="0"/>
                <w:sz w:val="28"/>
                <w:szCs w:val="28"/>
              </w:rPr>
              <w:t>）《国土资源部关于认真贯彻〈国务院关于解决城市低收入家庭住房困难的若干意见〉进一步加强土地供应调控的通知》（国土资发〔</w:t>
            </w:r>
            <w:r w:rsidRPr="00FA087C">
              <w:rPr>
                <w:rFonts w:ascii="宋体" w:eastAsia="宋体" w:hAnsi="宋体" w:cs="宋体"/>
                <w:color w:val="000000"/>
                <w:kern w:val="0"/>
                <w:sz w:val="28"/>
                <w:szCs w:val="28"/>
              </w:rPr>
              <w:t>2007</w:t>
            </w: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236</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16</w:t>
            </w:r>
            <w:r w:rsidRPr="00FA087C">
              <w:rPr>
                <w:rFonts w:ascii="Times New Roman" w:eastAsia="宋体" w:hAnsi="Times New Roman" w:cs="宋体" w:hint="eastAsia"/>
                <w:color w:val="000000"/>
                <w:kern w:val="0"/>
                <w:sz w:val="28"/>
                <w:szCs w:val="28"/>
              </w:rPr>
              <w:t>）《国土资源部关于发布和实施</w:t>
            </w:r>
            <w:r w:rsidRPr="00FA087C">
              <w:rPr>
                <w:rFonts w:ascii="宋体" w:eastAsia="宋体" w:hAnsi="宋体" w:cs="宋体"/>
                <w:color w:val="000000"/>
                <w:kern w:val="0"/>
                <w:sz w:val="28"/>
                <w:szCs w:val="28"/>
              </w:rPr>
              <w:t>&lt;</w:t>
            </w:r>
            <w:r w:rsidRPr="00FA087C">
              <w:rPr>
                <w:rFonts w:ascii="Times New Roman" w:eastAsia="宋体" w:hAnsi="Times New Roman" w:cs="宋体" w:hint="eastAsia"/>
                <w:color w:val="000000"/>
                <w:kern w:val="0"/>
                <w:sz w:val="28"/>
                <w:szCs w:val="28"/>
              </w:rPr>
              <w:t>工业项目建设用地控制指标</w:t>
            </w:r>
            <w:r w:rsidRPr="00FA087C">
              <w:rPr>
                <w:rFonts w:ascii="宋体" w:eastAsia="宋体" w:hAnsi="宋体" w:cs="宋体"/>
                <w:color w:val="000000"/>
                <w:kern w:val="0"/>
                <w:sz w:val="28"/>
                <w:szCs w:val="28"/>
              </w:rPr>
              <w:t>&gt;</w:t>
            </w:r>
            <w:r w:rsidRPr="00FA087C">
              <w:rPr>
                <w:rFonts w:ascii="Times New Roman" w:eastAsia="宋体" w:hAnsi="Times New Roman" w:cs="宋体" w:hint="eastAsia"/>
                <w:color w:val="000000"/>
                <w:kern w:val="0"/>
                <w:sz w:val="28"/>
                <w:szCs w:val="28"/>
              </w:rPr>
              <w:t>的通知》（国土资发</w:t>
            </w:r>
            <w:r w:rsidRPr="00FA087C">
              <w:rPr>
                <w:rFonts w:ascii="宋体" w:eastAsia="宋体" w:hAnsi="宋体" w:cs="宋体"/>
                <w:color w:val="000000"/>
                <w:kern w:val="0"/>
                <w:sz w:val="28"/>
                <w:szCs w:val="28"/>
              </w:rPr>
              <w:t>[2008]24</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17</w:t>
            </w:r>
            <w:r w:rsidRPr="00FA087C">
              <w:rPr>
                <w:rFonts w:ascii="Times New Roman" w:eastAsia="宋体" w:hAnsi="Times New Roman" w:cs="宋体" w:hint="eastAsia"/>
                <w:color w:val="000000"/>
                <w:kern w:val="0"/>
                <w:sz w:val="28"/>
                <w:szCs w:val="28"/>
              </w:rPr>
              <w:t>）《国土资源部监察部关于进一步落实工业用地出让制度的通知》（国土资发</w:t>
            </w:r>
            <w:r w:rsidRPr="00FA087C">
              <w:rPr>
                <w:rFonts w:ascii="宋体" w:eastAsia="宋体" w:hAnsi="宋体" w:cs="宋体"/>
                <w:color w:val="000000"/>
                <w:kern w:val="0"/>
                <w:sz w:val="28"/>
                <w:szCs w:val="28"/>
              </w:rPr>
              <w:t>[2009]101</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18</w:t>
            </w:r>
            <w:r w:rsidRPr="00FA087C">
              <w:rPr>
                <w:rFonts w:ascii="Times New Roman" w:eastAsia="宋体" w:hAnsi="Times New Roman" w:cs="宋体" w:hint="eastAsia"/>
                <w:color w:val="000000"/>
                <w:kern w:val="0"/>
                <w:sz w:val="28"/>
                <w:szCs w:val="28"/>
              </w:rPr>
              <w:t>）《国土资源部关于加强房地产用地供应和监管有关问题的通知》（国土资发</w:t>
            </w:r>
            <w:r w:rsidRPr="00FA087C">
              <w:rPr>
                <w:rFonts w:ascii="宋体" w:eastAsia="宋体" w:hAnsi="宋体" w:cs="宋体"/>
                <w:color w:val="000000"/>
                <w:kern w:val="0"/>
                <w:sz w:val="28"/>
                <w:szCs w:val="28"/>
              </w:rPr>
              <w:t>[2010]34</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19</w:t>
            </w:r>
            <w:r w:rsidRPr="00FA087C">
              <w:rPr>
                <w:rFonts w:ascii="Times New Roman" w:eastAsia="宋体" w:hAnsi="Times New Roman" w:cs="宋体" w:hint="eastAsia"/>
                <w:color w:val="000000"/>
                <w:kern w:val="0"/>
                <w:sz w:val="28"/>
                <w:szCs w:val="28"/>
              </w:rPr>
              <w:t>）《国土资源部关于关于引发</w:t>
            </w:r>
            <w:r w:rsidRPr="00FA087C">
              <w:rPr>
                <w:rFonts w:ascii="宋体" w:eastAsia="宋体" w:hAnsi="宋体" w:cs="宋体"/>
                <w:color w:val="000000"/>
                <w:kern w:val="0"/>
                <w:sz w:val="28"/>
                <w:szCs w:val="28"/>
              </w:rPr>
              <w:t>&lt;</w:t>
            </w:r>
            <w:r w:rsidRPr="00FA087C">
              <w:rPr>
                <w:rFonts w:ascii="Times New Roman" w:eastAsia="宋体" w:hAnsi="Times New Roman" w:cs="宋体" w:hint="eastAsia"/>
                <w:color w:val="000000"/>
                <w:kern w:val="0"/>
                <w:sz w:val="28"/>
                <w:szCs w:val="28"/>
              </w:rPr>
              <w:t>国有建设用地供应计划编制规范</w:t>
            </w:r>
            <w:r w:rsidRPr="00FA087C">
              <w:rPr>
                <w:rFonts w:ascii="宋体" w:eastAsia="宋体" w:hAnsi="宋体" w:cs="宋体"/>
                <w:color w:val="000000"/>
                <w:kern w:val="0"/>
                <w:sz w:val="28"/>
                <w:szCs w:val="28"/>
              </w:rPr>
              <w:t>&gt;</w:t>
            </w:r>
            <w:r w:rsidRPr="00FA087C">
              <w:rPr>
                <w:rFonts w:ascii="Times New Roman" w:eastAsia="宋体" w:hAnsi="Times New Roman" w:cs="宋体" w:hint="eastAsia"/>
                <w:color w:val="000000"/>
                <w:kern w:val="0"/>
                <w:sz w:val="28"/>
                <w:szCs w:val="28"/>
              </w:rPr>
              <w:t>（试行）的通知》（国土资发</w:t>
            </w:r>
            <w:r w:rsidRPr="00FA087C">
              <w:rPr>
                <w:rFonts w:ascii="宋体" w:eastAsia="宋体" w:hAnsi="宋体" w:cs="宋体"/>
                <w:color w:val="000000"/>
                <w:kern w:val="0"/>
                <w:sz w:val="28"/>
                <w:szCs w:val="28"/>
              </w:rPr>
              <w:t>[2010]117</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20</w:t>
            </w:r>
            <w:r w:rsidRPr="00FA087C">
              <w:rPr>
                <w:rFonts w:ascii="Times New Roman" w:eastAsia="宋体" w:hAnsi="Times New Roman" w:cs="宋体" w:hint="eastAsia"/>
                <w:color w:val="000000"/>
                <w:kern w:val="0"/>
                <w:sz w:val="28"/>
                <w:szCs w:val="28"/>
              </w:rPr>
              <w:t>）《关于认真贯彻执行</w:t>
            </w:r>
            <w:r w:rsidRPr="00FA087C">
              <w:rPr>
                <w:rFonts w:ascii="宋体" w:eastAsia="宋体" w:hAnsi="宋体" w:cs="宋体"/>
                <w:color w:val="000000"/>
                <w:kern w:val="0"/>
                <w:sz w:val="28"/>
                <w:szCs w:val="28"/>
              </w:rPr>
              <w:t>&lt;</w:t>
            </w:r>
            <w:r w:rsidRPr="00FA087C">
              <w:rPr>
                <w:rFonts w:ascii="Times New Roman" w:eastAsia="宋体" w:hAnsi="Times New Roman" w:cs="宋体" w:hint="eastAsia"/>
                <w:color w:val="000000"/>
                <w:kern w:val="0"/>
                <w:sz w:val="28"/>
                <w:szCs w:val="28"/>
              </w:rPr>
              <w:t>国有建设用地供应计划编制规范（试行）</w:t>
            </w:r>
            <w:r w:rsidRPr="00FA087C">
              <w:rPr>
                <w:rFonts w:ascii="宋体" w:eastAsia="宋体" w:hAnsi="宋体" w:cs="宋体"/>
                <w:color w:val="000000"/>
                <w:kern w:val="0"/>
                <w:sz w:val="28"/>
                <w:szCs w:val="28"/>
              </w:rPr>
              <w:t>&gt;</w:t>
            </w:r>
            <w:r w:rsidRPr="00FA087C">
              <w:rPr>
                <w:rFonts w:ascii="Times New Roman" w:eastAsia="宋体" w:hAnsi="Times New Roman" w:cs="宋体" w:hint="eastAsia"/>
                <w:color w:val="000000"/>
                <w:kern w:val="0"/>
                <w:sz w:val="28"/>
                <w:szCs w:val="28"/>
              </w:rPr>
              <w:t>的通知》（湘国土资办发</w:t>
            </w:r>
            <w:r w:rsidRPr="00FA087C">
              <w:rPr>
                <w:rFonts w:ascii="宋体" w:eastAsia="宋体" w:hAnsi="宋体" w:cs="宋体"/>
                <w:color w:val="000000"/>
                <w:kern w:val="0"/>
                <w:sz w:val="28"/>
                <w:szCs w:val="28"/>
              </w:rPr>
              <w:t>[2010]180</w:t>
            </w:r>
            <w:r w:rsidRPr="00FA087C">
              <w:rPr>
                <w:rFonts w:ascii="Times New Roman" w:eastAsia="宋体" w:hAnsi="Times New Roman" w:cs="宋体" w:hint="eastAsia"/>
                <w:color w:val="000000"/>
                <w:kern w:val="0"/>
                <w:sz w:val="28"/>
                <w:szCs w:val="28"/>
              </w:rPr>
              <w:t>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21</w:t>
            </w:r>
            <w:r w:rsidRPr="00FA087C">
              <w:rPr>
                <w:rFonts w:ascii="Times New Roman" w:eastAsia="宋体" w:hAnsi="Times New Roman" w:cs="宋体" w:hint="eastAsia"/>
                <w:color w:val="000000"/>
                <w:kern w:val="0"/>
                <w:sz w:val="28"/>
                <w:szCs w:val="28"/>
              </w:rPr>
              <w:t>）黑河市国民经济与社会发展规划；</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22</w:t>
            </w:r>
            <w:r w:rsidRPr="00FA087C">
              <w:rPr>
                <w:rFonts w:ascii="Times New Roman" w:eastAsia="宋体" w:hAnsi="Times New Roman" w:cs="宋体" w:hint="eastAsia"/>
                <w:color w:val="000000"/>
                <w:kern w:val="0"/>
                <w:sz w:val="28"/>
                <w:szCs w:val="28"/>
              </w:rPr>
              <w:t>）黑河市土地利用总体规划；</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lastRenderedPageBreak/>
              <w:t>（</w:t>
            </w:r>
            <w:r w:rsidRPr="00FA087C">
              <w:rPr>
                <w:rFonts w:ascii="宋体" w:eastAsia="宋体" w:hAnsi="宋体" w:cs="宋体"/>
                <w:color w:val="000000"/>
                <w:kern w:val="0"/>
                <w:sz w:val="28"/>
                <w:szCs w:val="28"/>
              </w:rPr>
              <w:t>23</w:t>
            </w:r>
            <w:r w:rsidRPr="00FA087C">
              <w:rPr>
                <w:rFonts w:ascii="Times New Roman" w:eastAsia="宋体" w:hAnsi="Times New Roman" w:cs="宋体" w:hint="eastAsia"/>
                <w:color w:val="000000"/>
                <w:kern w:val="0"/>
                <w:sz w:val="28"/>
                <w:szCs w:val="28"/>
              </w:rPr>
              <w:t>）黑河市土地利用年度计划；</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lastRenderedPageBreak/>
              <w:t>（</w:t>
            </w:r>
            <w:r w:rsidRPr="00FA087C">
              <w:rPr>
                <w:rFonts w:ascii="宋体" w:eastAsia="宋体" w:hAnsi="宋体" w:cs="宋体"/>
                <w:color w:val="000000"/>
                <w:kern w:val="0"/>
                <w:sz w:val="28"/>
                <w:szCs w:val="28"/>
              </w:rPr>
              <w:t>24</w:t>
            </w:r>
            <w:r w:rsidRPr="00FA087C">
              <w:rPr>
                <w:rFonts w:ascii="Times New Roman" w:eastAsia="宋体" w:hAnsi="Times New Roman" w:cs="宋体" w:hint="eastAsia"/>
                <w:color w:val="000000"/>
                <w:kern w:val="0"/>
                <w:sz w:val="28"/>
                <w:szCs w:val="28"/>
              </w:rPr>
              <w:t>）黑河市住房建设规划与计划；</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25</w:t>
            </w:r>
            <w:r w:rsidRPr="00FA087C">
              <w:rPr>
                <w:rFonts w:ascii="Times New Roman" w:eastAsia="宋体" w:hAnsi="Times New Roman" w:cs="宋体" w:hint="eastAsia"/>
                <w:color w:val="000000"/>
                <w:kern w:val="0"/>
                <w:sz w:val="28"/>
                <w:szCs w:val="28"/>
              </w:rPr>
              <w:t>）黑河市年度土地储备计划；</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w:t>
            </w:r>
            <w:r w:rsidRPr="00FA087C">
              <w:rPr>
                <w:rFonts w:ascii="宋体" w:eastAsia="宋体" w:hAnsi="宋体" w:cs="宋体"/>
                <w:color w:val="000000"/>
                <w:kern w:val="0"/>
                <w:sz w:val="28"/>
                <w:szCs w:val="28"/>
              </w:rPr>
              <w:t>26</w:t>
            </w:r>
            <w:r w:rsidRPr="00FA087C">
              <w:rPr>
                <w:rFonts w:ascii="Times New Roman" w:eastAsia="宋体" w:hAnsi="Times New Roman" w:cs="宋体" w:hint="eastAsia"/>
                <w:color w:val="000000"/>
                <w:kern w:val="0"/>
                <w:sz w:val="28"/>
                <w:szCs w:val="28"/>
              </w:rPr>
              <w:t>）黑河市军用空余土地转让计划；</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5" w:name="_Toc286255652"/>
            <w:bookmarkStart w:id="16" w:name="_Toc286255783"/>
            <w:bookmarkStart w:id="17" w:name="_Toc286257527"/>
            <w:bookmarkStart w:id="18" w:name="_Toc288721559"/>
            <w:bookmarkEnd w:id="11"/>
            <w:bookmarkEnd w:id="12"/>
            <w:bookmarkEnd w:id="13"/>
            <w:bookmarkEnd w:id="14"/>
            <w:r w:rsidRPr="00FA087C">
              <w:rPr>
                <w:rFonts w:ascii="宋体" w:eastAsia="宋体" w:hAnsi="宋体" w:cs="宋体"/>
                <w:b/>
                <w:bCs/>
                <w:color w:val="333333"/>
                <w:kern w:val="0"/>
                <w:sz w:val="36"/>
                <w:szCs w:val="36"/>
              </w:rPr>
              <w:t>二、指导思想、基本原则和适用范围</w:t>
            </w:r>
            <w:bookmarkEnd w:id="15"/>
            <w:bookmarkEnd w:id="16"/>
            <w:bookmarkEnd w:id="17"/>
            <w:bookmarkEnd w:id="18"/>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19" w:name="_Toc286257528"/>
            <w:bookmarkStart w:id="20" w:name="_Toc288721560"/>
            <w:r w:rsidRPr="00FA087C">
              <w:rPr>
                <w:rFonts w:ascii="Times New Roman" w:eastAsia="宋体" w:hAnsi="Times New Roman" w:cs="宋体" w:hint="eastAsia"/>
                <w:b/>
                <w:bCs/>
                <w:color w:val="000000"/>
                <w:kern w:val="0"/>
                <w:sz w:val="28"/>
                <w:szCs w:val="28"/>
              </w:rPr>
              <w:t>（一）计划编制的指导思想</w:t>
            </w:r>
            <w:bookmarkEnd w:id="19"/>
            <w:bookmarkEnd w:id="20"/>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依据国土资源部《国有建设用地供应计划编制规范（试行）》（国土资发</w:t>
            </w:r>
            <w:r w:rsidRPr="00FA087C">
              <w:rPr>
                <w:rFonts w:ascii="宋体" w:eastAsia="宋体" w:hAnsi="宋体" w:cs="宋体"/>
                <w:color w:val="000000"/>
                <w:kern w:val="0"/>
                <w:sz w:val="28"/>
                <w:szCs w:val="28"/>
              </w:rPr>
              <w:t>[2010]117</w:t>
            </w:r>
            <w:r w:rsidRPr="00FA087C">
              <w:rPr>
                <w:rFonts w:ascii="Times New Roman" w:eastAsia="宋体" w:hAnsi="Times New Roman" w:cs="宋体" w:hint="eastAsia"/>
                <w:color w:val="000000"/>
                <w:kern w:val="0"/>
                <w:sz w:val="28"/>
                <w:szCs w:val="28"/>
              </w:rPr>
              <w:t>号），编制</w:t>
            </w:r>
            <w:r w:rsidRPr="00FA087C">
              <w:rPr>
                <w:rFonts w:ascii="宋体" w:eastAsia="宋体" w:hAnsi="宋体" w:cs="宋体"/>
                <w:color w:val="000000"/>
                <w:kern w:val="0"/>
                <w:sz w:val="28"/>
                <w:szCs w:val="28"/>
              </w:rPr>
              <w:t>2010</w:t>
            </w:r>
            <w:r w:rsidRPr="00FA087C">
              <w:rPr>
                <w:rFonts w:ascii="Times New Roman" w:eastAsia="宋体" w:hAnsi="Times New Roman" w:cs="宋体" w:hint="eastAsia"/>
                <w:color w:val="000000"/>
                <w:kern w:val="0"/>
                <w:sz w:val="28"/>
                <w:szCs w:val="28"/>
              </w:rPr>
              <w:t>年度国有建设用地供应计划。年度土地供应计划是指市（县）人民政府在计划期内对国有建设用地供应的总量、结构、布局、时序和方式做出的科学安排。</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2011</w:t>
            </w:r>
            <w:r w:rsidRPr="00FA087C">
              <w:rPr>
                <w:rFonts w:ascii="Times New Roman" w:eastAsia="宋体" w:hAnsi="Times New Roman" w:cs="宋体" w:hint="eastAsia"/>
                <w:color w:val="000000"/>
                <w:kern w:val="0"/>
                <w:sz w:val="28"/>
                <w:szCs w:val="28"/>
              </w:rPr>
              <w:t>年度土地供应计划的指导思想是：以科学发展观为统领，以促进社会和谐发展为目标，以节约集约高效利用土地为主线，立足保护资、保持发展、保障民生的基本要求，按照产业布局、结构和时序，落实差别化土地供应政策，推动产业结构调整和转型升级，加快经济发展方式转变；严格控制增量，积极盘活存量，进一步促进我县经济社会长期平稳较快发展。</w:t>
            </w:r>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21" w:name="_Toc286257529"/>
            <w:bookmarkStart w:id="22" w:name="_Toc288721561"/>
            <w:r w:rsidRPr="00FA087C">
              <w:rPr>
                <w:rFonts w:ascii="Times New Roman" w:eastAsia="宋体" w:hAnsi="Times New Roman" w:cs="宋体" w:hint="eastAsia"/>
                <w:b/>
                <w:bCs/>
                <w:color w:val="000000"/>
                <w:kern w:val="0"/>
                <w:sz w:val="28"/>
                <w:szCs w:val="28"/>
              </w:rPr>
              <w:t>（二）计划编制的基本原则</w:t>
            </w:r>
            <w:bookmarkEnd w:id="21"/>
            <w:bookmarkEnd w:id="22"/>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进一步深入贯彻落实党中央、国务院关于加强土地调控的方针政策，充分发挥市场在土地资源配置中的基础性作用，严格控制供应总量，不断优化供应结构，有保有压，促进产业结构调整和经济增长方式转变。</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、坚持土地节约集约利用原则</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节约集约用地：主要包括了三层含义，一是节约用地，就是各项建设都要尽量节省用地，千方百计地不占或少占耕地；二是集约用地，每宗建设用地必须提高投入产出的强度，提高土地利用的集约化程度；三</w:t>
            </w:r>
            <w:r w:rsidRPr="00FA087C">
              <w:rPr>
                <w:rFonts w:ascii="Times New Roman" w:eastAsia="宋体" w:hAnsi="Times New Roman" w:cs="宋体" w:hint="eastAsia"/>
                <w:color w:val="000000"/>
                <w:kern w:val="0"/>
                <w:sz w:val="28"/>
                <w:szCs w:val="28"/>
              </w:rPr>
              <w:lastRenderedPageBreak/>
              <w:t>是通过整合、置换和储备，合理安排土地投放的数量和节奏，改善建设</w:t>
            </w:r>
            <w:r w:rsidRPr="00FA087C">
              <w:rPr>
                <w:rFonts w:ascii="Times New Roman" w:eastAsia="宋体" w:hAnsi="Times New Roman" w:cs="宋体" w:hint="eastAsia"/>
                <w:color w:val="000000"/>
                <w:kern w:val="0"/>
                <w:sz w:val="28"/>
                <w:szCs w:val="28"/>
              </w:rPr>
              <w:lastRenderedPageBreak/>
              <w:t>用地结构、布局，挖掘用地潜力，提高土地配置和利用效率。充分认识到我国人多地少的基本国情，特别是黑河市面临的人口资源环境压力，严格控制增量用地供应，进一步推动土地利用方式由外延扩张向内涵挖潜、由粗放低效向集约高效转变，为构建资源节约型、环境友好型社会贡献力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w:t>
            </w:r>
            <w:r w:rsidRPr="00FA087C">
              <w:rPr>
                <w:rFonts w:ascii="Times New Roman" w:eastAsia="宋体" w:hAnsi="Times New Roman" w:cs="宋体" w:hint="eastAsia"/>
                <w:color w:val="000000"/>
                <w:kern w:val="0"/>
                <w:sz w:val="28"/>
                <w:szCs w:val="28"/>
              </w:rPr>
              <w:t>、统筹城乡和区域协调发展原则</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正确处理和合理把握中心城镇、小城镇和中心村建设之间的关系，积极推动城镇空间结构调整，落实城镇功能定位，优化土地供应空间布局，扎实推进重点城镇建设和新农村建设工作。</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3</w:t>
            </w:r>
            <w:r w:rsidRPr="00FA087C">
              <w:rPr>
                <w:rFonts w:ascii="Times New Roman" w:eastAsia="宋体" w:hAnsi="Times New Roman" w:cs="宋体" w:hint="eastAsia"/>
                <w:color w:val="000000"/>
                <w:kern w:val="0"/>
                <w:sz w:val="28"/>
                <w:szCs w:val="28"/>
              </w:rPr>
              <w:t>、有保有压原则。</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优先保障国家重点建设项目和各地基础设施建设项目用地需要，合理确定城镇村建设新增用地。落实国家产业政策，优先保障国家重点建设项目用地需求，支持有利于结构调整的项目建设用地。对不符合国家产业政策、发展规划和市场准入标准的项目，不予供地。继续加大对中小户型、中低价商品房、经济适用房和廉租房的土地供应，严格控制大户型、低密度高档住宅土地供应，停止别墅类用地土地供应。</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4</w:t>
            </w:r>
            <w:r w:rsidRPr="00FA087C">
              <w:rPr>
                <w:rFonts w:ascii="Times New Roman" w:eastAsia="宋体" w:hAnsi="Times New Roman" w:cs="宋体" w:hint="eastAsia"/>
                <w:color w:val="000000"/>
                <w:kern w:val="0"/>
                <w:sz w:val="28"/>
                <w:szCs w:val="28"/>
              </w:rPr>
              <w:t>、供需平衡原则；</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5</w:t>
            </w:r>
            <w:r w:rsidRPr="00FA087C">
              <w:rPr>
                <w:rFonts w:ascii="Times New Roman" w:eastAsia="宋体" w:hAnsi="Times New Roman" w:cs="宋体" w:hint="eastAsia"/>
                <w:color w:val="000000"/>
                <w:kern w:val="0"/>
                <w:sz w:val="28"/>
                <w:szCs w:val="28"/>
              </w:rPr>
              <w:t>、持续利用原则。土地利用不能只顾眼前而不顾长远，不能只顾经济和社会效益而不顾生态效益。同时，对土地利用结构调整更应在可持续理论的指导下遵循客观规律，实现土地类型的合理转换，做到保护与利用并重，利用服从保护，最终实现土地的可持续利用。</w:t>
            </w:r>
          </w:p>
          <w:p w:rsidR="00FA087C" w:rsidRPr="00FA087C" w:rsidRDefault="00FA087C" w:rsidP="00FA087C">
            <w:pPr>
              <w:widowControl/>
              <w:spacing w:before="10" w:after="10" w:line="360" w:lineRule="auto"/>
              <w:jc w:val="left"/>
              <w:outlineLvl w:val="2"/>
              <w:rPr>
                <w:rFonts w:ascii="ˎ̥" w:eastAsia="宋体" w:hAnsi="ˎ̥" w:cs="宋体" w:hint="eastAsia"/>
                <w:b/>
                <w:bCs/>
                <w:color w:val="000000"/>
                <w:kern w:val="0"/>
                <w:sz w:val="28"/>
                <w:szCs w:val="28"/>
              </w:rPr>
            </w:pPr>
            <w:bookmarkStart w:id="23" w:name="_Toc286257530"/>
            <w:bookmarkStart w:id="24" w:name="_Toc288721562"/>
            <w:r w:rsidRPr="00FA087C">
              <w:rPr>
                <w:rFonts w:ascii="Times New Roman" w:eastAsia="宋体" w:hAnsi="Times New Roman" w:cs="宋体" w:hint="eastAsia"/>
                <w:b/>
                <w:bCs/>
                <w:color w:val="000000"/>
                <w:kern w:val="0"/>
                <w:sz w:val="28"/>
                <w:szCs w:val="28"/>
              </w:rPr>
              <w:t>（三）计划编制的适用范围</w:t>
            </w:r>
            <w:bookmarkEnd w:id="23"/>
            <w:bookmarkEnd w:id="24"/>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黑河市</w:t>
            </w:r>
            <w:r w:rsidRPr="00FA087C">
              <w:rPr>
                <w:rFonts w:ascii="宋体" w:eastAsia="宋体" w:hAnsi="宋体" w:cs="宋体"/>
                <w:color w:val="000000"/>
                <w:kern w:val="0"/>
                <w:sz w:val="28"/>
                <w:szCs w:val="28"/>
              </w:rPr>
              <w:t>2011</w:t>
            </w:r>
            <w:r w:rsidRPr="00FA087C">
              <w:rPr>
                <w:rFonts w:ascii="Times New Roman" w:eastAsia="宋体" w:hAnsi="Times New Roman" w:cs="宋体" w:hint="eastAsia"/>
                <w:color w:val="000000"/>
                <w:kern w:val="0"/>
                <w:sz w:val="28"/>
                <w:szCs w:val="28"/>
              </w:rPr>
              <w:t>年度国有建设用地供应计划编制适用范围，黑河市行</w:t>
            </w:r>
            <w:r w:rsidRPr="00FA087C">
              <w:rPr>
                <w:rFonts w:ascii="Times New Roman" w:eastAsia="宋体" w:hAnsi="Times New Roman" w:cs="宋体" w:hint="eastAsia"/>
                <w:color w:val="000000"/>
                <w:kern w:val="0"/>
                <w:sz w:val="28"/>
                <w:szCs w:val="28"/>
              </w:rPr>
              <w:lastRenderedPageBreak/>
              <w:t>政辖区范围内计划期供应的全部国有建设用地。国有建设用地供应计划的计划期为一年。本计划年度为</w:t>
            </w:r>
            <w:r w:rsidRPr="00FA087C">
              <w:rPr>
                <w:rFonts w:ascii="宋体" w:eastAsia="宋体" w:hAnsi="宋体" w:cs="宋体"/>
                <w:color w:val="000000"/>
                <w:kern w:val="0"/>
                <w:sz w:val="28"/>
                <w:szCs w:val="28"/>
              </w:rPr>
              <w:t>2011</w:t>
            </w:r>
            <w:r w:rsidRPr="00FA087C">
              <w:rPr>
                <w:rFonts w:ascii="Times New Roman" w:eastAsia="宋体" w:hAnsi="Times New Roman" w:cs="宋体" w:hint="eastAsia"/>
                <w:color w:val="000000"/>
                <w:kern w:val="0"/>
                <w:sz w:val="28"/>
                <w:szCs w:val="28"/>
              </w:rPr>
              <w:t>年</w:t>
            </w: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月</w:t>
            </w: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日至</w:t>
            </w:r>
            <w:r w:rsidRPr="00FA087C">
              <w:rPr>
                <w:rFonts w:ascii="宋体" w:eastAsia="宋体" w:hAnsi="宋体" w:cs="宋体"/>
                <w:color w:val="000000"/>
                <w:kern w:val="0"/>
                <w:sz w:val="28"/>
                <w:szCs w:val="28"/>
              </w:rPr>
              <w:t>12</w:t>
            </w:r>
            <w:r w:rsidRPr="00FA087C">
              <w:rPr>
                <w:rFonts w:ascii="Times New Roman" w:eastAsia="宋体" w:hAnsi="Times New Roman" w:cs="宋体" w:hint="eastAsia"/>
                <w:color w:val="000000"/>
                <w:kern w:val="0"/>
                <w:sz w:val="28"/>
                <w:szCs w:val="28"/>
              </w:rPr>
              <w:t>月</w:t>
            </w:r>
            <w:r w:rsidRPr="00FA087C">
              <w:rPr>
                <w:rFonts w:ascii="宋体" w:eastAsia="宋体" w:hAnsi="宋体" w:cs="宋体"/>
                <w:color w:val="000000"/>
                <w:kern w:val="0"/>
                <w:sz w:val="28"/>
                <w:szCs w:val="28"/>
              </w:rPr>
              <w:t>31</w:t>
            </w:r>
            <w:r w:rsidRPr="00FA087C">
              <w:rPr>
                <w:rFonts w:ascii="Times New Roman" w:eastAsia="宋体" w:hAnsi="Times New Roman" w:cs="宋体" w:hint="eastAsia"/>
                <w:color w:val="000000"/>
                <w:kern w:val="0"/>
                <w:sz w:val="28"/>
                <w:szCs w:val="28"/>
              </w:rPr>
              <w:t>日。</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25" w:name="_Toc286255653"/>
            <w:bookmarkStart w:id="26" w:name="_Toc286255784"/>
            <w:bookmarkStart w:id="27" w:name="_Toc286257531"/>
            <w:bookmarkStart w:id="28" w:name="_Toc288721563"/>
            <w:r w:rsidRPr="00FA087C">
              <w:rPr>
                <w:rFonts w:ascii="宋体" w:eastAsia="宋体" w:hAnsi="宋体" w:cs="宋体"/>
                <w:b/>
                <w:bCs/>
                <w:color w:val="333333"/>
                <w:kern w:val="0"/>
                <w:sz w:val="36"/>
                <w:szCs w:val="36"/>
              </w:rPr>
              <w:t>三、计划指标</w:t>
            </w:r>
            <w:bookmarkEnd w:id="25"/>
            <w:bookmarkEnd w:id="26"/>
            <w:bookmarkEnd w:id="27"/>
            <w:bookmarkEnd w:id="28"/>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29" w:name="_Toc286257532"/>
            <w:bookmarkStart w:id="30" w:name="_Toc288721564"/>
            <w:r w:rsidRPr="00FA087C">
              <w:rPr>
                <w:rFonts w:ascii="Times New Roman" w:eastAsia="宋体" w:hAnsi="Times New Roman" w:cs="宋体" w:hint="eastAsia"/>
                <w:b/>
                <w:bCs/>
                <w:color w:val="000000"/>
                <w:kern w:val="0"/>
                <w:sz w:val="28"/>
                <w:szCs w:val="28"/>
              </w:rPr>
              <w:t>（一）国有建设用地供应总量</w:t>
            </w:r>
            <w:bookmarkEnd w:id="29"/>
            <w:bookmarkEnd w:id="30"/>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2011</w:t>
            </w:r>
            <w:r w:rsidRPr="00FA087C">
              <w:rPr>
                <w:rFonts w:ascii="Times New Roman" w:eastAsia="宋体" w:hAnsi="Times New Roman" w:cs="宋体" w:hint="eastAsia"/>
                <w:color w:val="000000"/>
                <w:kern w:val="0"/>
                <w:sz w:val="28"/>
                <w:szCs w:val="28"/>
              </w:rPr>
              <w:t>年度本县国有建设用地供应总量控制在</w:t>
            </w:r>
            <w:r w:rsidRPr="00FA087C">
              <w:rPr>
                <w:rFonts w:ascii="宋体" w:eastAsia="宋体" w:hAnsi="宋体" w:cs="宋体"/>
                <w:color w:val="000000"/>
                <w:kern w:val="0"/>
                <w:sz w:val="28"/>
                <w:szCs w:val="28"/>
              </w:rPr>
              <w:t>297.63</w:t>
            </w:r>
            <w:r w:rsidRPr="00FA087C">
              <w:rPr>
                <w:rFonts w:ascii="Times New Roman" w:eastAsia="宋体" w:hAnsi="Times New Roman" w:cs="宋体" w:hint="eastAsia"/>
                <w:color w:val="000000"/>
                <w:kern w:val="0"/>
                <w:sz w:val="28"/>
                <w:szCs w:val="28"/>
              </w:rPr>
              <w:t>公顷以内。</w:t>
            </w:r>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31" w:name="_Toc286257533"/>
            <w:bookmarkStart w:id="32" w:name="_Toc288721565"/>
            <w:r w:rsidRPr="00FA087C">
              <w:rPr>
                <w:rFonts w:ascii="Times New Roman" w:eastAsia="宋体" w:hAnsi="Times New Roman" w:cs="宋体" w:hint="eastAsia"/>
                <w:b/>
                <w:bCs/>
                <w:color w:val="000000"/>
                <w:kern w:val="0"/>
                <w:sz w:val="28"/>
                <w:szCs w:val="28"/>
              </w:rPr>
              <w:t>（二）国有建设用地供应结构</w:t>
            </w:r>
            <w:bookmarkEnd w:id="31"/>
            <w:bookmarkEnd w:id="32"/>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2011</w:t>
            </w:r>
            <w:r w:rsidRPr="00FA087C">
              <w:rPr>
                <w:rFonts w:ascii="Times New Roman" w:eastAsia="宋体" w:hAnsi="Times New Roman" w:cs="宋体" w:hint="eastAsia"/>
                <w:color w:val="000000"/>
                <w:kern w:val="0"/>
                <w:sz w:val="28"/>
                <w:szCs w:val="28"/>
              </w:rPr>
              <w:t>年度本县国有建设用地供应总量中，商服用地</w:t>
            </w:r>
            <w:r w:rsidRPr="00FA087C">
              <w:rPr>
                <w:rFonts w:ascii="宋体" w:eastAsia="宋体" w:hAnsi="宋体" w:cs="宋体"/>
                <w:color w:val="000000"/>
                <w:kern w:val="0"/>
                <w:sz w:val="28"/>
                <w:szCs w:val="28"/>
              </w:rPr>
              <w:t>18.10</w:t>
            </w:r>
            <w:r w:rsidRPr="00FA087C">
              <w:rPr>
                <w:rFonts w:ascii="Times New Roman" w:eastAsia="宋体" w:hAnsi="Times New Roman" w:cs="宋体" w:hint="eastAsia"/>
                <w:color w:val="000000"/>
                <w:kern w:val="0"/>
                <w:sz w:val="28"/>
                <w:szCs w:val="28"/>
              </w:rPr>
              <w:t>公顷，工矿仓储用地</w:t>
            </w:r>
            <w:r w:rsidRPr="00FA087C">
              <w:rPr>
                <w:rFonts w:ascii="宋体" w:eastAsia="宋体" w:hAnsi="宋体" w:cs="宋体"/>
                <w:color w:val="000000"/>
                <w:kern w:val="0"/>
                <w:sz w:val="28"/>
                <w:szCs w:val="28"/>
              </w:rPr>
              <w:t>135.46</w:t>
            </w:r>
            <w:r w:rsidRPr="00FA087C">
              <w:rPr>
                <w:rFonts w:ascii="Times New Roman" w:eastAsia="宋体" w:hAnsi="Times New Roman" w:cs="宋体" w:hint="eastAsia"/>
                <w:color w:val="000000"/>
                <w:kern w:val="0"/>
                <w:sz w:val="28"/>
                <w:szCs w:val="28"/>
              </w:rPr>
              <w:t>公顷，住宅用地</w:t>
            </w:r>
            <w:r w:rsidRPr="00FA087C">
              <w:rPr>
                <w:rFonts w:ascii="宋体" w:eastAsia="宋体" w:hAnsi="宋体" w:cs="宋体"/>
                <w:color w:val="000000"/>
                <w:kern w:val="0"/>
                <w:sz w:val="28"/>
                <w:szCs w:val="28"/>
              </w:rPr>
              <w:t>35.43</w:t>
            </w:r>
            <w:r w:rsidRPr="00FA087C">
              <w:rPr>
                <w:rFonts w:ascii="Times New Roman" w:eastAsia="宋体" w:hAnsi="Times New Roman" w:cs="宋体" w:hint="eastAsia"/>
                <w:color w:val="000000"/>
                <w:kern w:val="0"/>
                <w:sz w:val="28"/>
                <w:szCs w:val="28"/>
              </w:rPr>
              <w:t>公顷（其中：保障性住房用地</w:t>
            </w:r>
            <w:r w:rsidRPr="00FA087C">
              <w:rPr>
                <w:rFonts w:ascii="宋体" w:eastAsia="宋体" w:hAnsi="宋体" w:cs="宋体"/>
                <w:color w:val="000000"/>
                <w:kern w:val="0"/>
                <w:sz w:val="28"/>
                <w:szCs w:val="28"/>
              </w:rPr>
              <w:t>2.3</w:t>
            </w:r>
            <w:r w:rsidRPr="00FA087C">
              <w:rPr>
                <w:rFonts w:ascii="Times New Roman" w:eastAsia="宋体" w:hAnsi="Times New Roman" w:cs="宋体" w:hint="eastAsia"/>
                <w:color w:val="000000"/>
                <w:kern w:val="0"/>
                <w:sz w:val="28"/>
                <w:szCs w:val="28"/>
              </w:rPr>
              <w:t>公顷、棚户区改造用地</w:t>
            </w:r>
            <w:r w:rsidRPr="00FA087C">
              <w:rPr>
                <w:rFonts w:ascii="宋体" w:eastAsia="宋体" w:hAnsi="宋体" w:cs="宋体"/>
                <w:color w:val="000000"/>
                <w:kern w:val="0"/>
                <w:sz w:val="28"/>
                <w:szCs w:val="28"/>
              </w:rPr>
              <w:t>3.5</w:t>
            </w:r>
            <w:r w:rsidRPr="00FA087C">
              <w:rPr>
                <w:rFonts w:ascii="Times New Roman" w:eastAsia="宋体" w:hAnsi="Times New Roman" w:cs="宋体" w:hint="eastAsia"/>
                <w:color w:val="000000"/>
                <w:kern w:val="0"/>
                <w:sz w:val="28"/>
                <w:szCs w:val="28"/>
              </w:rPr>
              <w:t>公顷，中小套型商品房用地</w:t>
            </w:r>
            <w:r w:rsidRPr="00FA087C">
              <w:rPr>
                <w:rFonts w:ascii="宋体" w:eastAsia="宋体" w:hAnsi="宋体" w:cs="宋体"/>
                <w:color w:val="000000"/>
                <w:kern w:val="0"/>
                <w:sz w:val="28"/>
                <w:szCs w:val="28"/>
              </w:rPr>
              <w:t>19.76</w:t>
            </w:r>
            <w:r w:rsidRPr="00FA087C">
              <w:rPr>
                <w:rFonts w:ascii="Times New Roman" w:eastAsia="宋体" w:hAnsi="Times New Roman" w:cs="宋体" w:hint="eastAsia"/>
                <w:color w:val="000000"/>
                <w:kern w:val="0"/>
                <w:sz w:val="28"/>
                <w:szCs w:val="28"/>
              </w:rPr>
              <w:t>公顷），公共管理与公共服务用地</w:t>
            </w:r>
            <w:r w:rsidRPr="00FA087C">
              <w:rPr>
                <w:rFonts w:ascii="宋体" w:eastAsia="宋体" w:hAnsi="宋体" w:cs="宋体"/>
                <w:color w:val="000000"/>
                <w:kern w:val="0"/>
                <w:sz w:val="28"/>
                <w:szCs w:val="28"/>
              </w:rPr>
              <w:t>27</w:t>
            </w:r>
            <w:r w:rsidRPr="00FA087C">
              <w:rPr>
                <w:rFonts w:ascii="Times New Roman" w:eastAsia="宋体" w:hAnsi="Times New Roman" w:cs="宋体" w:hint="eastAsia"/>
                <w:color w:val="000000"/>
                <w:kern w:val="0"/>
                <w:sz w:val="28"/>
                <w:szCs w:val="28"/>
              </w:rPr>
              <w:t>公顷，交通运输用地</w:t>
            </w:r>
            <w:r w:rsidRPr="00FA087C">
              <w:rPr>
                <w:rFonts w:ascii="宋体" w:eastAsia="宋体" w:hAnsi="宋体" w:cs="宋体"/>
                <w:color w:val="000000"/>
                <w:kern w:val="0"/>
                <w:sz w:val="28"/>
                <w:szCs w:val="28"/>
              </w:rPr>
              <w:t>80</w:t>
            </w:r>
            <w:r w:rsidRPr="00FA087C">
              <w:rPr>
                <w:rFonts w:ascii="Times New Roman" w:eastAsia="宋体" w:hAnsi="Times New Roman" w:cs="宋体" w:hint="eastAsia"/>
                <w:color w:val="000000"/>
                <w:kern w:val="0"/>
                <w:sz w:val="28"/>
                <w:szCs w:val="28"/>
              </w:rPr>
              <w:t>公顷，水域及水利设施用地</w:t>
            </w:r>
            <w:r w:rsidRPr="00FA087C">
              <w:rPr>
                <w:rFonts w:ascii="宋体" w:eastAsia="宋体" w:hAnsi="宋体" w:cs="宋体"/>
                <w:color w:val="000000"/>
                <w:kern w:val="0"/>
                <w:sz w:val="28"/>
                <w:szCs w:val="28"/>
              </w:rPr>
              <w:t>0</w:t>
            </w:r>
            <w:r w:rsidRPr="00FA087C">
              <w:rPr>
                <w:rFonts w:ascii="Times New Roman" w:eastAsia="宋体" w:hAnsi="Times New Roman" w:cs="宋体" w:hint="eastAsia"/>
                <w:color w:val="000000"/>
                <w:kern w:val="0"/>
                <w:sz w:val="28"/>
                <w:szCs w:val="28"/>
              </w:rPr>
              <w:t>公顷，特殊用地</w:t>
            </w:r>
            <w:r w:rsidRPr="00FA087C">
              <w:rPr>
                <w:rFonts w:ascii="宋体" w:eastAsia="宋体" w:hAnsi="宋体" w:cs="宋体"/>
                <w:color w:val="000000"/>
                <w:kern w:val="0"/>
                <w:sz w:val="28"/>
                <w:szCs w:val="28"/>
              </w:rPr>
              <w:t>1.64</w:t>
            </w:r>
            <w:r w:rsidRPr="00FA087C">
              <w:rPr>
                <w:rFonts w:ascii="Times New Roman" w:eastAsia="宋体" w:hAnsi="Times New Roman" w:cs="宋体" w:hint="eastAsia"/>
                <w:color w:val="000000"/>
                <w:kern w:val="0"/>
                <w:sz w:val="28"/>
                <w:szCs w:val="28"/>
              </w:rPr>
              <w:t>公顷。</w:t>
            </w:r>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33" w:name="_Toc286257534"/>
            <w:bookmarkStart w:id="34" w:name="_Toc288721566"/>
            <w:r w:rsidRPr="00FA087C">
              <w:rPr>
                <w:rFonts w:ascii="Times New Roman" w:eastAsia="宋体" w:hAnsi="Times New Roman" w:cs="宋体" w:hint="eastAsia"/>
                <w:b/>
                <w:bCs/>
                <w:color w:val="000000"/>
                <w:kern w:val="0"/>
                <w:sz w:val="28"/>
                <w:szCs w:val="28"/>
              </w:rPr>
              <w:t>（三）国有建设用地供应布局</w:t>
            </w:r>
            <w:bookmarkEnd w:id="33"/>
            <w:bookmarkEnd w:id="34"/>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以工业园区为中心，加强基础设施建设，促进产业园区的发展，统筹城乡和区域协调发展，促进工业园区与个区域的联系，形成以黑河市为中心，向四周辐射的一个增长极，具体国的建设用地供应结构详见附表</w:t>
            </w: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35" w:name="_Toc286255654"/>
            <w:bookmarkStart w:id="36" w:name="_Toc286255785"/>
            <w:bookmarkStart w:id="37" w:name="_Toc286257535"/>
            <w:bookmarkStart w:id="38" w:name="_Toc288721567"/>
            <w:r w:rsidRPr="00FA087C">
              <w:rPr>
                <w:rFonts w:ascii="宋体" w:eastAsia="宋体" w:hAnsi="宋体" w:cs="宋体"/>
                <w:b/>
                <w:bCs/>
                <w:color w:val="333333"/>
                <w:kern w:val="0"/>
                <w:sz w:val="36"/>
                <w:szCs w:val="36"/>
              </w:rPr>
              <w:t>四、政策导向</w:t>
            </w:r>
            <w:bookmarkEnd w:id="35"/>
            <w:bookmarkEnd w:id="36"/>
            <w:bookmarkEnd w:id="37"/>
            <w:bookmarkEnd w:id="38"/>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39" w:name="_Toc286257536"/>
            <w:bookmarkStart w:id="40" w:name="_Toc288721568"/>
            <w:r w:rsidRPr="00FA087C">
              <w:rPr>
                <w:rFonts w:ascii="Times New Roman" w:eastAsia="宋体" w:hAnsi="Times New Roman" w:cs="宋体" w:hint="eastAsia"/>
                <w:b/>
                <w:bCs/>
                <w:color w:val="000000"/>
                <w:kern w:val="0"/>
                <w:sz w:val="28"/>
                <w:szCs w:val="28"/>
              </w:rPr>
              <w:t>（一）优化空间布局</w:t>
            </w:r>
            <w:bookmarkEnd w:id="39"/>
            <w:bookmarkEnd w:id="40"/>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规划黑河市空间结构为“一主一次”。其中“一主”指的是黑河市中心城区瑷珲区，“一次”指的是工业园区。</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按照统筹城乡和区域协调发展原则，加强土地供应区域分类指导。严格控制中心城土地供应规模，促进中心城人口和功能的有机疏解和调整。重点保障基础设施和公用设施的土地供应，适度供应符合中心城功能定位的产业发展用地，严格限制与中心城整体发展不协调的土地</w:t>
            </w:r>
            <w:r w:rsidRPr="00FA087C">
              <w:rPr>
                <w:rFonts w:ascii="Times New Roman" w:eastAsia="宋体" w:hAnsi="Times New Roman" w:cs="宋体" w:hint="eastAsia"/>
                <w:color w:val="000000"/>
                <w:kern w:val="0"/>
                <w:sz w:val="28"/>
                <w:szCs w:val="28"/>
              </w:rPr>
              <w:lastRenderedPageBreak/>
              <w:t>供应。中心城土地供应重点放在边缘集团和重点功能区；除必要的公用设施配套项目、必需的城市改造整治项目和国家需要的建设项目用地以外，中心城的中心地区不再新增供应土地。</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w:t>
            </w:r>
            <w:r w:rsidRPr="00FA087C">
              <w:rPr>
                <w:rFonts w:ascii="Times New Roman" w:eastAsia="宋体" w:hAnsi="Times New Roman" w:cs="宋体" w:hint="eastAsia"/>
                <w:color w:val="000000"/>
                <w:kern w:val="0"/>
                <w:sz w:val="28"/>
                <w:szCs w:val="28"/>
              </w:rPr>
              <w:t>、强化公共交通引导住宅用地供应，实现城市的空间均衡发展。加强交通基础设施在土地供应和城市发展过程中的引导作用。在轨道交通、大容量公共交通、主要公共交通走廊站点附近集中安排经济适用住房和普通商品房用地的供应；合理控制和把握轨道交通站点一定范围内住宅用地的供应时序；将居住、商业、产业、教育、卫生、文化用地等进行一定程度上的混合安排，提高土地利用效率。</w:t>
            </w:r>
          </w:p>
          <w:p w:rsidR="00FA087C" w:rsidRPr="00FA087C" w:rsidRDefault="00FA087C" w:rsidP="00FA087C">
            <w:pPr>
              <w:widowControl/>
              <w:spacing w:before="20" w:after="20" w:line="360" w:lineRule="auto"/>
              <w:jc w:val="left"/>
              <w:outlineLvl w:val="2"/>
              <w:rPr>
                <w:rFonts w:ascii="ˎ̥" w:eastAsia="宋体" w:hAnsi="ˎ̥" w:cs="宋体" w:hint="eastAsia"/>
                <w:b/>
                <w:bCs/>
                <w:color w:val="000000"/>
                <w:kern w:val="0"/>
                <w:sz w:val="28"/>
                <w:szCs w:val="28"/>
              </w:rPr>
            </w:pPr>
            <w:bookmarkStart w:id="41" w:name="_Toc286257537"/>
            <w:bookmarkStart w:id="42" w:name="_Toc288721569"/>
            <w:r w:rsidRPr="00FA087C">
              <w:rPr>
                <w:rFonts w:ascii="Times New Roman" w:eastAsia="宋体" w:hAnsi="Times New Roman" w:cs="宋体" w:hint="eastAsia"/>
                <w:b/>
                <w:bCs/>
                <w:color w:val="000000"/>
                <w:kern w:val="0"/>
                <w:sz w:val="28"/>
                <w:szCs w:val="28"/>
              </w:rPr>
              <w:t>（二）优化土地供应结构</w:t>
            </w:r>
            <w:bookmarkEnd w:id="41"/>
            <w:bookmarkEnd w:id="42"/>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、优先和适度超前安排基础设施用地，引导、保障和支撑城市健康有序发展。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w:t>
            </w:r>
            <w:r w:rsidRPr="00FA087C">
              <w:rPr>
                <w:rFonts w:ascii="Times New Roman" w:eastAsia="宋体" w:hAnsi="Times New Roman" w:cs="宋体" w:hint="eastAsia"/>
                <w:color w:val="000000"/>
                <w:kern w:val="0"/>
                <w:sz w:val="28"/>
                <w:szCs w:val="28"/>
              </w:rPr>
              <w:t>、大力支持符合城市功能定位的产业用地供应，构建合理、具有比较优势的产业结构。优先确保高新技术产业和高端、高效、高辐射力的现代制造业土地供应；优先支持金融服务、信息服务、物流服务、商务服务及教育培训等生产性服务业土地供应，支持基础服务业用地供应；保障文化创意产业土地供应。</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3</w:t>
            </w:r>
            <w:r w:rsidRPr="00FA087C">
              <w:rPr>
                <w:rFonts w:ascii="Times New Roman" w:eastAsia="宋体" w:hAnsi="Times New Roman" w:cs="宋体" w:hint="eastAsia"/>
                <w:color w:val="000000"/>
                <w:kern w:val="0"/>
                <w:sz w:val="28"/>
                <w:szCs w:val="28"/>
              </w:rPr>
              <w:t>、适度加大各类公共服务设施用地的供应，提升公共服务的水平。</w:t>
            </w:r>
          </w:p>
          <w:p w:rsidR="00FA087C" w:rsidRPr="00FA087C" w:rsidRDefault="00FA087C" w:rsidP="00FA087C">
            <w:pPr>
              <w:widowControl/>
              <w:spacing w:before="80" w:after="80"/>
              <w:jc w:val="left"/>
              <w:outlineLvl w:val="2"/>
              <w:rPr>
                <w:rFonts w:ascii="ˎ̥" w:eastAsia="宋体" w:hAnsi="ˎ̥" w:cs="宋体" w:hint="eastAsia"/>
                <w:b/>
                <w:bCs/>
                <w:color w:val="000000"/>
                <w:kern w:val="0"/>
                <w:sz w:val="28"/>
                <w:szCs w:val="28"/>
              </w:rPr>
            </w:pPr>
            <w:bookmarkStart w:id="43" w:name="_Toc286257538"/>
            <w:bookmarkStart w:id="44" w:name="_Toc288721570"/>
            <w:r w:rsidRPr="00FA087C">
              <w:rPr>
                <w:rFonts w:ascii="Times New Roman" w:eastAsia="宋体" w:hAnsi="Times New Roman" w:cs="宋体" w:hint="eastAsia"/>
                <w:b/>
                <w:bCs/>
                <w:color w:val="000000"/>
                <w:kern w:val="0"/>
                <w:sz w:val="28"/>
                <w:szCs w:val="28"/>
              </w:rPr>
              <w:t>（三）促进土地集约节约利用，发挥市场配置资源基础性作用</w:t>
            </w:r>
            <w:bookmarkEnd w:id="43"/>
            <w:bookmarkEnd w:id="44"/>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严格保护耕地，从严控制增量用地供应。严格按照国务院下达的土地利用年度计划确定的建设用地规模、农用地转用规模、耕地保有量和耕地指标，从严控制农用地转为建设用地；严格保护基本农田，除国务院批准的国家重点建设工程项目，以及本市的重点建设工程项目外，严禁其它项目建设占用基本农田。</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lastRenderedPageBreak/>
              <w:t>2</w:t>
            </w:r>
            <w:r w:rsidRPr="00FA087C">
              <w:rPr>
                <w:rFonts w:ascii="Times New Roman" w:eastAsia="宋体" w:hAnsi="Times New Roman" w:cs="宋体" w:hint="eastAsia"/>
                <w:color w:val="000000"/>
                <w:kern w:val="0"/>
                <w:sz w:val="28"/>
                <w:szCs w:val="28"/>
              </w:rPr>
              <w:t>、制订和完善用地标准，提高土地利用效益。完善并严格执行建设项目的用地标准和相关控制性指标，建立土地供应用地标准管理机制，促进基础设施、公共服务设施等项目用地的集约利用；产业用地供应与土地利用指标、投资强度、产出效益等指标挂钩，提高开发区（园区）建设项目的准入门槛；适度提高轨道交通站点周边政策性住房建筑密度、容积率，提高土地利用效益。</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3</w:t>
            </w:r>
            <w:r w:rsidRPr="00FA087C">
              <w:rPr>
                <w:rFonts w:ascii="Times New Roman" w:eastAsia="宋体" w:hAnsi="Times New Roman" w:cs="宋体" w:hint="eastAsia"/>
                <w:color w:val="000000"/>
                <w:kern w:val="0"/>
                <w:sz w:val="28"/>
                <w:szCs w:val="28"/>
              </w:rPr>
              <w:t>、继续推进土地市场建设，发挥市场配置资源的基础性作用。继续完善商业、旅游、娱乐、商品住宅项目用地招标、拍卖、挂牌方式出让的供应机制；积极实施工业用地招标、拍卖、挂牌方式出让制度；开展竞争性的基础设施和公共服务设施用地招标、拍卖、挂牌方式出让试点工作。</w:t>
            </w:r>
          </w:p>
          <w:p w:rsidR="00FA087C" w:rsidRPr="00FA087C" w:rsidRDefault="00FA087C" w:rsidP="00FA087C">
            <w:pPr>
              <w:widowControl/>
              <w:spacing w:line="400" w:lineRule="exact"/>
              <w:ind w:firstLine="641"/>
              <w:jc w:val="left"/>
              <w:rPr>
                <w:rFonts w:ascii="宋体" w:eastAsia="宋体" w:hAnsi="宋体" w:cs="宋体"/>
                <w:color w:val="000000"/>
                <w:kern w:val="0"/>
                <w:sz w:val="24"/>
                <w:szCs w:val="21"/>
              </w:rPr>
            </w:pP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45" w:name="_Toc286255655"/>
            <w:bookmarkStart w:id="46" w:name="_Toc286255786"/>
            <w:bookmarkStart w:id="47" w:name="_Toc286257539"/>
            <w:bookmarkStart w:id="48" w:name="_Toc288721571"/>
            <w:r w:rsidRPr="00FA087C">
              <w:rPr>
                <w:rFonts w:ascii="宋体" w:eastAsia="宋体" w:hAnsi="宋体" w:cs="宋体"/>
                <w:b/>
                <w:bCs/>
                <w:color w:val="333333"/>
                <w:kern w:val="0"/>
                <w:sz w:val="36"/>
                <w:szCs w:val="36"/>
              </w:rPr>
              <w:t>五、国有建设用地供应计划实施的保障措施</w:t>
            </w:r>
            <w:bookmarkEnd w:id="45"/>
            <w:bookmarkEnd w:id="46"/>
            <w:bookmarkEnd w:id="47"/>
            <w:bookmarkEnd w:id="48"/>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1</w:t>
            </w:r>
            <w:r w:rsidRPr="00FA087C">
              <w:rPr>
                <w:rFonts w:ascii="Times New Roman" w:eastAsia="宋体" w:hAnsi="Times New Roman" w:cs="宋体" w:hint="eastAsia"/>
                <w:color w:val="000000"/>
                <w:kern w:val="0"/>
                <w:sz w:val="28"/>
                <w:szCs w:val="28"/>
              </w:rPr>
              <w:t>、加大政府在土地储备开发和土地供应中的主导性作用，逐步健全市、区县共同实施土地供应计划的工作机制。一是加强基础工作。市发展改革、规划和国土资源等部门要会同区县政府，尽快做好实施土地供应中期计划涉及的产业政策、空间区域、实施时序和规划条件等基础工作，加强协同配合，简化审批程序，提高服务效率。二是完善土地储备开发运作模式，加强政府储备力度，提高对房地产市场调控能力。</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t>2</w:t>
            </w:r>
            <w:r w:rsidRPr="00FA087C">
              <w:rPr>
                <w:rFonts w:ascii="Times New Roman" w:eastAsia="宋体" w:hAnsi="Times New Roman" w:cs="宋体" w:hint="eastAsia"/>
                <w:color w:val="000000"/>
                <w:kern w:val="0"/>
                <w:sz w:val="28"/>
                <w:szCs w:val="28"/>
              </w:rPr>
              <w:t>、逐步将年度土地供应计划落实到具体地块，并向社会公布。区县政府和市有关行业主管部门要按照职责分工，积极主动做好土地供应中期计划实施工作，分阶段定期确定本行政区域和本行业拟安排的土地供应地块，由市国土局和市发展改革委汇总，并会同相关部门审查通过后，定期向社会公布。</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color w:val="000000"/>
                <w:kern w:val="0"/>
                <w:sz w:val="28"/>
                <w:szCs w:val="28"/>
              </w:rPr>
              <w:lastRenderedPageBreak/>
              <w:t>3</w:t>
            </w:r>
            <w:r w:rsidRPr="00FA087C">
              <w:rPr>
                <w:rFonts w:ascii="Times New Roman" w:eastAsia="宋体" w:hAnsi="Times New Roman" w:cs="宋体" w:hint="eastAsia"/>
                <w:color w:val="000000"/>
                <w:kern w:val="0"/>
                <w:sz w:val="28"/>
                <w:szCs w:val="28"/>
              </w:rPr>
              <w:t>、加强年度计划执行过程中的沟通、协调和监督。市国土局和市发展改革委等部门要切实加大中期计划执行过程中的协调力度，及时总结计划执行情况，定期向市政府报告并适时向区县政府通报，支持、指导区县政府做好年度计划安排和实施工作；区县政府和市有关行业主管部门要及时主动地与市国土局、市发展改革委等部门沟通，共同研究解决计划执行过程中遇到的困难和问题。对因特殊原因影响供应计划执行的，市国土局和市发展改革委要会同相关部门做好计划调整工作。市国土局和市发展改革委对区县政府年度土地供应计划的组织、工作绩效和计划实施效果进行综合评价，结合年度内违法违规用地查处情况，形成综合意见报市政府，纳入市政府对区县政府工作的考核。</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附件一：黑河市</w:t>
            </w:r>
            <w:r w:rsidRPr="00FA087C">
              <w:rPr>
                <w:rFonts w:ascii="宋体" w:eastAsia="宋体" w:hAnsi="宋体" w:cs="宋体"/>
                <w:color w:val="000000"/>
                <w:kern w:val="0"/>
                <w:sz w:val="28"/>
                <w:szCs w:val="28"/>
              </w:rPr>
              <w:t>2011</w:t>
            </w:r>
            <w:r w:rsidRPr="00FA087C">
              <w:rPr>
                <w:rFonts w:ascii="Times New Roman" w:eastAsia="宋体" w:hAnsi="Times New Roman" w:cs="宋体" w:hint="eastAsia"/>
                <w:color w:val="000000"/>
                <w:kern w:val="0"/>
                <w:sz w:val="28"/>
                <w:szCs w:val="28"/>
              </w:rPr>
              <w:t>年度国有建设用地供应计划表</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附件二：</w:t>
            </w:r>
            <w:r w:rsidRPr="00FA087C">
              <w:rPr>
                <w:rFonts w:ascii="宋体" w:eastAsia="宋体" w:hAnsi="宋体" w:cs="宋体"/>
                <w:color w:val="000000"/>
                <w:kern w:val="0"/>
                <w:sz w:val="28"/>
                <w:szCs w:val="28"/>
              </w:rPr>
              <w:t>2011</w:t>
            </w:r>
            <w:r w:rsidRPr="00FA087C">
              <w:rPr>
                <w:rFonts w:ascii="Times New Roman" w:eastAsia="宋体" w:hAnsi="Times New Roman" w:cs="宋体" w:hint="eastAsia"/>
                <w:color w:val="000000"/>
                <w:kern w:val="0"/>
                <w:sz w:val="28"/>
                <w:szCs w:val="28"/>
              </w:rPr>
              <w:t>年住房供地情况汇总表</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Times New Roman" w:eastAsia="宋体" w:hAnsi="Times New Roman" w:cs="宋体" w:hint="eastAsia"/>
                <w:color w:val="000000"/>
                <w:kern w:val="0"/>
                <w:sz w:val="28"/>
                <w:szCs w:val="28"/>
              </w:rPr>
              <w:t>附件三</w:t>
            </w:r>
            <w:r w:rsidRPr="00FA087C">
              <w:rPr>
                <w:rFonts w:ascii="宋体" w:eastAsia="宋体" w:hAnsi="宋体" w:cs="宋体"/>
                <w:color w:val="000000"/>
                <w:kern w:val="0"/>
                <w:sz w:val="28"/>
                <w:szCs w:val="28"/>
              </w:rPr>
              <w:t>: 2011</w:t>
            </w:r>
            <w:r w:rsidRPr="00FA087C">
              <w:rPr>
                <w:rFonts w:ascii="Times New Roman" w:eastAsia="宋体" w:hAnsi="Times New Roman" w:cs="宋体" w:hint="eastAsia"/>
                <w:color w:val="000000"/>
                <w:kern w:val="0"/>
                <w:sz w:val="28"/>
                <w:szCs w:val="28"/>
              </w:rPr>
              <w:t>年度国有建设用地供应宗地表</w:t>
            </w:r>
          </w:p>
          <w:p w:rsidR="00FA087C" w:rsidRPr="00FA087C" w:rsidRDefault="00FA087C" w:rsidP="00FA087C">
            <w:pPr>
              <w:widowControl/>
              <w:spacing w:line="360" w:lineRule="auto"/>
              <w:jc w:val="center"/>
              <w:rPr>
                <w:rFonts w:ascii="Times New Roman" w:eastAsia="宋体" w:hAnsi="Times New Roman" w:cs="Times New Roman"/>
                <w:color w:val="000000"/>
                <w:sz w:val="28"/>
                <w:szCs w:val="28"/>
              </w:rPr>
              <w:sectPr w:rsidR="00FA087C" w:rsidRPr="00FA087C">
                <w:pgSz w:w="12240" w:h="15840"/>
                <w:pgMar w:top="1440" w:right="1800" w:bottom="1440" w:left="1800" w:header="720" w:footer="720" w:gutter="0"/>
                <w:cols w:space="720"/>
              </w:sectPr>
            </w:pPr>
          </w:p>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color w:val="333333"/>
                <w:kern w:val="0"/>
                <w:sz w:val="24"/>
                <w:szCs w:val="24"/>
              </w:rPr>
              <w:t> </w:t>
            </w:r>
          </w:p>
          <w:p w:rsidR="00FA087C" w:rsidRPr="00FA087C" w:rsidRDefault="00FA087C" w:rsidP="00FA087C">
            <w:pPr>
              <w:widowControl/>
              <w:spacing w:line="480" w:lineRule="atLeast"/>
              <w:jc w:val="left"/>
              <w:rPr>
                <w:rFonts w:ascii="黑体" w:eastAsia="黑体" w:hAnsi="宋体" w:cs="宋体"/>
                <w:b/>
                <w:color w:val="333333"/>
                <w:kern w:val="0"/>
                <w:sz w:val="28"/>
                <w:szCs w:val="28"/>
              </w:rPr>
            </w:pPr>
            <w:bookmarkStart w:id="49" w:name="_Toc287422289"/>
          </w:p>
          <w:p w:rsidR="00FA087C" w:rsidRPr="00FA087C" w:rsidRDefault="00FA087C" w:rsidP="00FA087C">
            <w:pPr>
              <w:widowControl/>
              <w:spacing w:line="480" w:lineRule="atLeast"/>
              <w:jc w:val="left"/>
              <w:rPr>
                <w:rFonts w:ascii="黑体" w:eastAsia="黑体" w:hAnsi="宋体" w:cs="宋体"/>
                <w:b/>
                <w:color w:val="333333"/>
                <w:kern w:val="0"/>
                <w:sz w:val="28"/>
                <w:szCs w:val="28"/>
              </w:rPr>
            </w:pPr>
            <w:r w:rsidRPr="00FA087C">
              <w:rPr>
                <w:rFonts w:ascii="黑体" w:eastAsia="黑体" w:hAnsi="宋体" w:cs="宋体" w:hint="eastAsia"/>
                <w:b/>
                <w:color w:val="333333"/>
                <w:kern w:val="0"/>
                <w:sz w:val="28"/>
                <w:szCs w:val="28"/>
              </w:rPr>
              <w:t>附件一 :</w:t>
            </w:r>
            <w:bookmarkEnd w:id="49"/>
            <w:r w:rsidRPr="00FA087C">
              <w:rPr>
                <w:rFonts w:ascii="黑体" w:eastAsia="黑体" w:hAnsi="宋体" w:cs="宋体" w:hint="eastAsia"/>
                <w:b/>
                <w:color w:val="333333"/>
                <w:kern w:val="0"/>
                <w:sz w:val="28"/>
                <w:szCs w:val="28"/>
              </w:rPr>
              <w:t xml:space="preserve"> 2011年度国有建设用地供应计划表</w:t>
            </w:r>
          </w:p>
          <w:p w:rsidR="00FA087C" w:rsidRPr="00FA087C" w:rsidRDefault="00FA087C" w:rsidP="00FA087C">
            <w:pPr>
              <w:widowControl/>
              <w:spacing w:line="480" w:lineRule="atLeast"/>
              <w:jc w:val="center"/>
              <w:rPr>
                <w:rFonts w:ascii="黑体" w:eastAsia="黑体" w:hAnsi="宋体" w:cs="宋体"/>
                <w:b/>
                <w:color w:val="333333"/>
                <w:kern w:val="0"/>
                <w:sz w:val="28"/>
                <w:szCs w:val="28"/>
              </w:rPr>
            </w:pPr>
            <w:r w:rsidRPr="00FA087C">
              <w:rPr>
                <w:rFonts w:ascii="黑体" w:eastAsia="黑体" w:hAnsi="宋体" w:cs="宋体" w:hint="eastAsia"/>
                <w:b/>
                <w:color w:val="333333"/>
                <w:kern w:val="0"/>
                <w:sz w:val="28"/>
                <w:szCs w:val="28"/>
              </w:rPr>
              <w:t>黑河市2011年度国有建设用地供应计划表</w:t>
            </w:r>
          </w:p>
          <w:p w:rsidR="00FA087C" w:rsidRPr="00FA087C" w:rsidRDefault="00FA087C" w:rsidP="00FA087C">
            <w:pPr>
              <w:widowControl/>
              <w:spacing w:line="480" w:lineRule="atLeast"/>
              <w:jc w:val="right"/>
              <w:rPr>
                <w:rFonts w:ascii="黑体" w:eastAsia="黑体" w:hAnsi="宋体" w:cs="宋体"/>
                <w:color w:val="333333"/>
                <w:kern w:val="0"/>
                <w:sz w:val="24"/>
                <w:szCs w:val="21"/>
              </w:rPr>
            </w:pPr>
            <w:r w:rsidRPr="00FA087C">
              <w:rPr>
                <w:rFonts w:ascii="黑体" w:eastAsia="黑体" w:hAnsi="宋体" w:cs="宋体" w:hint="eastAsia"/>
                <w:color w:val="333333"/>
                <w:kern w:val="0"/>
                <w:sz w:val="24"/>
                <w:szCs w:val="21"/>
              </w:rPr>
              <w:t>单位：公顷</w:t>
            </w:r>
          </w:p>
          <w:tbl>
            <w:tblPr>
              <w:tblW w:w="13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726"/>
              <w:gridCol w:w="1055"/>
              <w:gridCol w:w="950"/>
              <w:gridCol w:w="1096"/>
              <w:gridCol w:w="937"/>
              <w:gridCol w:w="1385"/>
              <w:gridCol w:w="1212"/>
              <w:gridCol w:w="1458"/>
              <w:gridCol w:w="1272"/>
              <w:gridCol w:w="1459"/>
              <w:gridCol w:w="1052"/>
              <w:gridCol w:w="696"/>
            </w:tblGrid>
            <w:tr w:rsidR="00FA087C" w:rsidRPr="00FA087C" w:rsidTr="00FA087C">
              <w:trPr>
                <w:trHeight w:val="45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 xml:space="preserve">  用途</w:t>
                  </w:r>
                </w:p>
                <w:p w:rsidR="00FA087C" w:rsidRPr="00FA087C" w:rsidRDefault="00FA087C" w:rsidP="00FA087C">
                  <w:pPr>
                    <w:widowControl/>
                    <w:spacing w:line="480" w:lineRule="atLeast"/>
                    <w:jc w:val="left"/>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区县</w:t>
                  </w:r>
                </w:p>
              </w:tc>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合计</w:t>
                  </w:r>
                </w:p>
              </w:tc>
              <w:tc>
                <w:tcPr>
                  <w:tcW w:w="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商服用地</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工矿仓储用地</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住宅用地</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公共管理与公共服务用地</w:t>
                  </w:r>
                </w:p>
              </w:tc>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交通运输用地</w:t>
                  </w:r>
                </w:p>
              </w:tc>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特殊用地</w:t>
                  </w:r>
                </w:p>
              </w:tc>
            </w:tr>
            <w:tr w:rsidR="00FA087C" w:rsidRPr="00FA087C" w:rsidTr="00FA087C">
              <w:trPr>
                <w:trHeight w:val="4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小计</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廉租房用地</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经济适用房用地</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商品房用地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其他用地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r>
            <w:tr w:rsidR="00FA087C" w:rsidRPr="00FA087C" w:rsidTr="00FA087C">
              <w:trPr>
                <w:trHeight w:val="1283"/>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黑河</w:t>
                  </w:r>
                  <w:r w:rsidRPr="00FA087C">
                    <w:rPr>
                      <w:rFonts w:ascii="宋体" w:eastAsia="宋体" w:hAnsi="宋体" w:cs="宋体" w:hint="eastAsia"/>
                      <w:color w:val="333333"/>
                      <w:kern w:val="0"/>
                      <w:sz w:val="24"/>
                      <w:szCs w:val="21"/>
                    </w:rPr>
                    <w:lastRenderedPageBreak/>
                    <w:t>市</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lastRenderedPageBreak/>
                    <w:t>瑷珲区</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208.63</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18.1</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81.46</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35.43</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2.3</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28.23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4.9</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24</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48</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1.64</w:t>
                  </w:r>
                </w:p>
              </w:tc>
            </w:tr>
            <w:tr w:rsidR="00FA087C" w:rsidRPr="00FA087C" w:rsidTr="00FA087C">
              <w:trPr>
                <w:trHeight w:val="1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24"/>
                      <w:szCs w:val="2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工业园区</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89</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54.00</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3</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32</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r>
            <w:tr w:rsidR="00FA087C" w:rsidRPr="00FA087C" w:rsidTr="00FA087C">
              <w:trPr>
                <w:trHeight w:val="892"/>
              </w:trPr>
              <w:tc>
                <w:tcPr>
                  <w:tcW w:w="11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lastRenderedPageBreak/>
                    <w:t>总  计</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297.63</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18.10</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135.46</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35.43</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2.3</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28.23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4.9</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27</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80</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1.64</w:t>
                  </w:r>
                </w:p>
              </w:tc>
            </w:tr>
          </w:tbl>
          <w:p w:rsidR="00FA087C" w:rsidRPr="00FA087C" w:rsidRDefault="00FA087C" w:rsidP="00FA087C">
            <w:pPr>
              <w:widowControl/>
              <w:spacing w:line="480" w:lineRule="atLeast"/>
              <w:jc w:val="center"/>
              <w:rPr>
                <w:rFonts w:ascii="宋体" w:eastAsia="宋体" w:hAnsi="宋体" w:cs="宋体"/>
                <w:b/>
                <w:color w:val="333333"/>
                <w:kern w:val="0"/>
                <w:sz w:val="30"/>
                <w:szCs w:val="30"/>
              </w:rPr>
            </w:pPr>
          </w:p>
          <w:p w:rsidR="00FA087C" w:rsidRPr="00FA087C" w:rsidRDefault="00FA087C" w:rsidP="00FA087C">
            <w:pPr>
              <w:widowControl/>
              <w:spacing w:line="480" w:lineRule="atLeast"/>
              <w:jc w:val="center"/>
              <w:rPr>
                <w:rFonts w:ascii="宋体" w:eastAsia="宋体" w:hAnsi="宋体" w:cs="宋体"/>
                <w:b/>
                <w:color w:val="333333"/>
                <w:kern w:val="0"/>
                <w:sz w:val="30"/>
                <w:szCs w:val="30"/>
              </w:rPr>
            </w:pPr>
          </w:p>
          <w:p w:rsidR="00FA087C" w:rsidRPr="00FA087C" w:rsidRDefault="00FA087C" w:rsidP="00FA087C">
            <w:pPr>
              <w:widowControl/>
              <w:spacing w:line="480" w:lineRule="atLeast"/>
              <w:jc w:val="center"/>
              <w:rPr>
                <w:rFonts w:ascii="宋体" w:eastAsia="宋体" w:hAnsi="宋体" w:cs="宋体"/>
                <w:b/>
                <w:color w:val="333333"/>
                <w:kern w:val="0"/>
                <w:sz w:val="30"/>
                <w:szCs w:val="30"/>
              </w:rPr>
            </w:pPr>
          </w:p>
          <w:p w:rsidR="00FA087C" w:rsidRPr="00FA087C" w:rsidRDefault="00FA087C" w:rsidP="00FA087C">
            <w:pPr>
              <w:widowControl/>
              <w:spacing w:line="480" w:lineRule="atLeast"/>
              <w:jc w:val="center"/>
              <w:rPr>
                <w:rFonts w:ascii="宋体" w:eastAsia="宋体" w:hAnsi="宋体" w:cs="宋体"/>
                <w:b/>
                <w:color w:val="333333"/>
                <w:kern w:val="0"/>
                <w:sz w:val="30"/>
                <w:szCs w:val="30"/>
              </w:rPr>
            </w:pPr>
          </w:p>
          <w:p w:rsidR="00FA087C" w:rsidRPr="00FA087C" w:rsidRDefault="00FA087C" w:rsidP="00FA087C">
            <w:pPr>
              <w:widowControl/>
              <w:spacing w:line="480" w:lineRule="atLeast"/>
              <w:jc w:val="center"/>
              <w:rPr>
                <w:rFonts w:ascii="宋体" w:eastAsia="宋体" w:hAnsi="宋体" w:cs="宋体"/>
                <w:b/>
                <w:color w:val="333333"/>
                <w:kern w:val="0"/>
                <w:sz w:val="30"/>
                <w:szCs w:val="30"/>
              </w:rPr>
            </w:pPr>
          </w:p>
          <w:p w:rsidR="00FA087C" w:rsidRPr="00FA087C" w:rsidRDefault="00FA087C" w:rsidP="00FA087C">
            <w:pPr>
              <w:widowControl/>
              <w:spacing w:line="480" w:lineRule="atLeast"/>
              <w:jc w:val="center"/>
              <w:rPr>
                <w:rFonts w:ascii="宋体" w:eastAsia="宋体" w:hAnsi="宋体" w:cs="宋体"/>
                <w:b/>
                <w:color w:val="333333"/>
                <w:kern w:val="0"/>
                <w:sz w:val="30"/>
                <w:szCs w:val="30"/>
              </w:rPr>
            </w:pPr>
          </w:p>
          <w:p w:rsidR="00FA087C" w:rsidRPr="00FA087C" w:rsidRDefault="00FA087C" w:rsidP="00FA087C">
            <w:pPr>
              <w:widowControl/>
              <w:spacing w:line="480" w:lineRule="atLeast"/>
              <w:jc w:val="left"/>
              <w:rPr>
                <w:rFonts w:ascii="黑体" w:eastAsia="黑体" w:hAnsi="宋体" w:cs="宋体"/>
                <w:b/>
                <w:color w:val="333333"/>
                <w:kern w:val="0"/>
                <w:sz w:val="28"/>
                <w:szCs w:val="28"/>
              </w:rPr>
            </w:pPr>
            <w:r w:rsidRPr="00FA087C">
              <w:rPr>
                <w:rFonts w:ascii="黑体" w:eastAsia="黑体" w:hAnsi="宋体" w:cs="宋体" w:hint="eastAsia"/>
                <w:b/>
                <w:color w:val="333333"/>
                <w:kern w:val="0"/>
                <w:sz w:val="28"/>
                <w:szCs w:val="28"/>
              </w:rPr>
              <w:t>附件二：2011年住房供地情况汇总表</w:t>
            </w:r>
          </w:p>
          <w:p w:rsidR="00FA087C" w:rsidRPr="00FA087C" w:rsidRDefault="00FA087C" w:rsidP="00FA087C">
            <w:pPr>
              <w:widowControl/>
              <w:tabs>
                <w:tab w:val="left" w:pos="9811"/>
                <w:tab w:val="left" w:pos="10891"/>
                <w:tab w:val="left" w:pos="11971"/>
                <w:tab w:val="left" w:pos="13971"/>
              </w:tabs>
              <w:spacing w:line="480" w:lineRule="atLeast"/>
              <w:ind w:left="91"/>
              <w:jc w:val="right"/>
              <w:rPr>
                <w:rFonts w:ascii="宋体" w:eastAsia="黑体" w:hAnsi="宋体" w:cs="宋体"/>
                <w:color w:val="000000"/>
                <w:kern w:val="0"/>
                <w:sz w:val="40"/>
                <w:szCs w:val="40"/>
              </w:rPr>
            </w:pPr>
            <w:r w:rsidRPr="00FA087C">
              <w:rPr>
                <w:rFonts w:ascii="黑体" w:eastAsia="黑体" w:hAnsi="宋体" w:cs="宋体" w:hint="eastAsia"/>
                <w:b/>
                <w:color w:val="333333"/>
                <w:kern w:val="0"/>
                <w:sz w:val="28"/>
                <w:szCs w:val="28"/>
              </w:rPr>
              <w:t>2011年 黑河（区、市）住房用地供应计划汇总表</w:t>
            </w:r>
            <w:r w:rsidRPr="00FA087C">
              <w:rPr>
                <w:rFonts w:ascii="宋体" w:eastAsia="黑体" w:hAnsi="宋体" w:cs="宋体"/>
                <w:color w:val="000000"/>
                <w:kern w:val="0"/>
                <w:sz w:val="40"/>
                <w:szCs w:val="40"/>
              </w:rPr>
              <w:t xml:space="preserve">          </w:t>
            </w:r>
            <w:r w:rsidRPr="00FA087C">
              <w:rPr>
                <w:rFonts w:ascii="Times New Roman" w:eastAsia="黑体" w:hAnsi="宋体" w:cs="宋体" w:hint="eastAsia"/>
                <w:color w:val="000000"/>
                <w:kern w:val="0"/>
                <w:sz w:val="24"/>
                <w:szCs w:val="24"/>
              </w:rPr>
              <w:t>单位：公顷、</w:t>
            </w:r>
            <w:r w:rsidRPr="00FA087C">
              <w:rPr>
                <w:rFonts w:ascii="宋体" w:eastAsia="黑体" w:hAnsi="宋体" w:cs="宋体"/>
                <w:color w:val="000000"/>
                <w:kern w:val="0"/>
                <w:sz w:val="24"/>
                <w:szCs w:val="24"/>
              </w:rPr>
              <w:t>%</w:t>
            </w:r>
          </w:p>
          <w:tbl>
            <w:tblPr>
              <w:tblW w:w="0" w:type="auto"/>
              <w:tblLook w:val="04A0"/>
            </w:tblPr>
            <w:tblGrid>
              <w:gridCol w:w="583"/>
              <w:gridCol w:w="678"/>
              <w:gridCol w:w="493"/>
              <w:gridCol w:w="679"/>
              <w:gridCol w:w="494"/>
              <w:gridCol w:w="400"/>
              <w:gridCol w:w="494"/>
              <w:gridCol w:w="400"/>
              <w:gridCol w:w="400"/>
              <w:gridCol w:w="494"/>
              <w:gridCol w:w="494"/>
              <w:gridCol w:w="409"/>
              <w:gridCol w:w="409"/>
              <w:gridCol w:w="699"/>
              <w:gridCol w:w="699"/>
              <w:gridCol w:w="795"/>
            </w:tblGrid>
            <w:tr w:rsidR="00FA087C" w:rsidRPr="00FA087C" w:rsidTr="00FA087C">
              <w:trPr>
                <w:trHeight w:val="773"/>
              </w:trPr>
              <w:tc>
                <w:tcPr>
                  <w:tcW w:w="911" w:type="dxa"/>
                  <w:vMerge w:val="restart"/>
                  <w:tcBorders>
                    <w:top w:val="single" w:sz="8" w:space="0" w:color="000000"/>
                    <w:left w:val="single" w:sz="8" w:space="0" w:color="000000"/>
                    <w:bottom w:val="nil"/>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县、市</w:t>
                  </w:r>
                </w:p>
              </w:tc>
              <w:tc>
                <w:tcPr>
                  <w:tcW w:w="2469"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供地总量</w:t>
                  </w:r>
                </w:p>
              </w:tc>
              <w:tc>
                <w:tcPr>
                  <w:tcW w:w="7504" w:type="dxa"/>
                  <w:gridSpan w:val="9"/>
                  <w:tcBorders>
                    <w:top w:val="single" w:sz="8" w:space="0" w:color="000000"/>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保障性安居工程用地</w:t>
                  </w:r>
                </w:p>
              </w:tc>
              <w:tc>
                <w:tcPr>
                  <w:tcW w:w="1896" w:type="dxa"/>
                  <w:gridSpan w:val="2"/>
                  <w:tcBorders>
                    <w:top w:val="single" w:sz="8" w:space="0" w:color="000000"/>
                    <w:left w:val="nil"/>
                    <w:bottom w:val="nil"/>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2"/>
                    </w:rPr>
                  </w:pPr>
                  <w:r w:rsidRPr="00FA087C">
                    <w:rPr>
                      <w:rFonts w:ascii="Times New Roman" w:eastAsia="宋体" w:hAnsi="宋体" w:cs="宋体" w:hint="eastAsia"/>
                      <w:b/>
                      <w:color w:val="333333"/>
                      <w:kern w:val="0"/>
                      <w:sz w:val="22"/>
                    </w:rPr>
                    <w:t>商品住房用地</w:t>
                  </w:r>
                </w:p>
              </w:tc>
              <w:tc>
                <w:tcPr>
                  <w:tcW w:w="1105" w:type="dxa"/>
                  <w:vMerge w:val="restart"/>
                  <w:tcBorders>
                    <w:top w:val="single" w:sz="8" w:space="0" w:color="000000"/>
                    <w:left w:val="single" w:sz="8" w:space="0" w:color="000000"/>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2"/>
                    </w:rPr>
                  </w:pPr>
                  <w:r w:rsidRPr="00FA087C">
                    <w:rPr>
                      <w:rFonts w:ascii="Times New Roman" w:eastAsia="宋体" w:hAnsi="宋体" w:cs="宋体" w:hint="eastAsia"/>
                      <w:b/>
                      <w:color w:val="333333"/>
                      <w:kern w:val="0"/>
                      <w:sz w:val="22"/>
                    </w:rPr>
                    <w:t>保障性安居工程和中小套型商品房用地占比（</w:t>
                  </w:r>
                  <w:r w:rsidRPr="00FA087C">
                    <w:rPr>
                      <w:rFonts w:ascii="宋体" w:eastAsia="宋体" w:hAnsi="宋体" w:cs="宋体"/>
                      <w:b/>
                      <w:color w:val="333333"/>
                      <w:kern w:val="0"/>
                      <w:sz w:val="22"/>
                    </w:rPr>
                    <w:t>%</w:t>
                  </w:r>
                  <w:r w:rsidRPr="00FA087C">
                    <w:rPr>
                      <w:rFonts w:ascii="Times New Roman" w:eastAsia="宋体" w:hAnsi="宋体" w:cs="宋体" w:hint="eastAsia"/>
                      <w:b/>
                      <w:color w:val="333333"/>
                      <w:kern w:val="0"/>
                      <w:sz w:val="22"/>
                    </w:rPr>
                    <w:t>）</w:t>
                  </w:r>
                </w:p>
              </w:tc>
            </w:tr>
            <w:tr w:rsidR="00FA087C" w:rsidRPr="00FA087C" w:rsidTr="00FA087C">
              <w:trPr>
                <w:trHeight w:val="746"/>
              </w:trPr>
              <w:tc>
                <w:tcPr>
                  <w:tcW w:w="0" w:type="auto"/>
                  <w:vMerge/>
                  <w:tcBorders>
                    <w:top w:val="single" w:sz="8" w:space="0" w:color="000000"/>
                    <w:left w:val="single" w:sz="8" w:space="0" w:color="000000"/>
                    <w:bottom w:val="nil"/>
                    <w:right w:val="single" w:sz="8" w:space="0" w:color="000000"/>
                  </w:tcBorders>
                  <w:vAlign w:val="center"/>
                  <w:hideMark/>
                </w:tcPr>
                <w:p w:rsidR="00FA087C" w:rsidRPr="00FA087C" w:rsidRDefault="00FA087C" w:rsidP="00FA087C">
                  <w:pPr>
                    <w:widowControl/>
                    <w:jc w:val="left"/>
                    <w:rPr>
                      <w:rFonts w:ascii="宋体" w:eastAsia="宋体" w:hAnsi="宋体" w:cs="宋体"/>
                      <w:b/>
                      <w:color w:val="000000"/>
                      <w:kern w:val="0"/>
                      <w:sz w:val="23"/>
                      <w:szCs w:val="23"/>
                    </w:rPr>
                  </w:pPr>
                </w:p>
              </w:tc>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FA087C" w:rsidRPr="00FA087C" w:rsidRDefault="00FA087C" w:rsidP="00FA087C">
                  <w:pPr>
                    <w:widowControl/>
                    <w:jc w:val="left"/>
                    <w:rPr>
                      <w:rFonts w:ascii="宋体" w:eastAsia="宋体" w:hAnsi="宋体" w:cs="宋体"/>
                      <w:b/>
                      <w:color w:val="000000"/>
                      <w:kern w:val="0"/>
                      <w:sz w:val="23"/>
                      <w:szCs w:val="23"/>
                    </w:rPr>
                  </w:pPr>
                </w:p>
              </w:tc>
              <w:tc>
                <w:tcPr>
                  <w:tcW w:w="2174" w:type="dxa"/>
                  <w:gridSpan w:val="2"/>
                  <w:tcBorders>
                    <w:top w:val="single" w:sz="8" w:space="0" w:color="000000"/>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保障性住房用地</w:t>
                  </w:r>
                </w:p>
              </w:tc>
              <w:tc>
                <w:tcPr>
                  <w:tcW w:w="2939" w:type="dxa"/>
                  <w:gridSpan w:val="4"/>
                  <w:tcBorders>
                    <w:top w:val="single" w:sz="8" w:space="0" w:color="000000"/>
                    <w:left w:val="nil"/>
                    <w:bottom w:val="nil"/>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各类棚户区改造用地</w:t>
                  </w:r>
                </w:p>
              </w:tc>
              <w:tc>
                <w:tcPr>
                  <w:tcW w:w="1472" w:type="dxa"/>
                  <w:gridSpan w:val="2"/>
                  <w:tcBorders>
                    <w:top w:val="single" w:sz="8" w:space="0" w:color="000000"/>
                    <w:left w:val="nil"/>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公共租赁房</w:t>
                  </w:r>
                </w:p>
              </w:tc>
              <w:tc>
                <w:tcPr>
                  <w:tcW w:w="919" w:type="dxa"/>
                  <w:vMerge w:val="restart"/>
                  <w:tcBorders>
                    <w:top w:val="single" w:sz="8" w:space="0" w:color="000000"/>
                    <w:left w:val="single" w:sz="4" w:space="0" w:color="auto"/>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限价商品房</w:t>
                  </w:r>
                </w:p>
              </w:tc>
              <w:tc>
                <w:tcPr>
                  <w:tcW w:w="793" w:type="dxa"/>
                  <w:vMerge w:val="restart"/>
                  <w:tcBorders>
                    <w:top w:val="nil"/>
                    <w:left w:val="single" w:sz="8" w:space="0" w:color="000000"/>
                    <w:bottom w:val="single" w:sz="4" w:space="0" w:color="auto"/>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2"/>
                    </w:rPr>
                  </w:pPr>
                </w:p>
              </w:tc>
              <w:tc>
                <w:tcPr>
                  <w:tcW w:w="1103" w:type="dxa"/>
                  <w:vMerge w:val="restart"/>
                  <w:tcBorders>
                    <w:top w:val="single" w:sz="8" w:space="0" w:color="000000"/>
                    <w:left w:val="single" w:sz="8" w:space="0" w:color="000000"/>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2"/>
                    </w:rPr>
                  </w:pPr>
                  <w:r w:rsidRPr="00FA087C">
                    <w:rPr>
                      <w:rFonts w:ascii="Times New Roman" w:eastAsia="宋体" w:hAnsi="宋体" w:cs="宋体" w:hint="eastAsia"/>
                      <w:b/>
                      <w:color w:val="333333"/>
                      <w:kern w:val="0"/>
                      <w:sz w:val="22"/>
                    </w:rPr>
                    <w:t>中小套型商品住房</w:t>
                  </w:r>
                </w:p>
              </w:tc>
              <w:tc>
                <w:tcPr>
                  <w:tcW w:w="0" w:type="auto"/>
                  <w:vMerge/>
                  <w:tcBorders>
                    <w:top w:val="single" w:sz="8" w:space="0" w:color="000000"/>
                    <w:left w:val="single" w:sz="8" w:space="0" w:color="000000"/>
                    <w:bottom w:val="single" w:sz="4" w:space="0" w:color="auto"/>
                    <w:right w:val="single" w:sz="8" w:space="0" w:color="000000"/>
                  </w:tcBorders>
                  <w:vAlign w:val="center"/>
                  <w:hideMark/>
                </w:tcPr>
                <w:p w:rsidR="00FA087C" w:rsidRPr="00FA087C" w:rsidRDefault="00FA087C" w:rsidP="00FA087C">
                  <w:pPr>
                    <w:widowControl/>
                    <w:jc w:val="left"/>
                    <w:rPr>
                      <w:rFonts w:ascii="宋体" w:eastAsia="宋体" w:hAnsi="宋体" w:cs="宋体"/>
                      <w:b/>
                      <w:color w:val="333333"/>
                      <w:kern w:val="0"/>
                      <w:sz w:val="22"/>
                    </w:rPr>
                  </w:pPr>
                </w:p>
              </w:tc>
            </w:tr>
            <w:tr w:rsidR="001B2C72" w:rsidRPr="00FA087C" w:rsidTr="00FA087C">
              <w:trPr>
                <w:trHeight w:val="1168"/>
              </w:trPr>
              <w:tc>
                <w:tcPr>
                  <w:tcW w:w="0" w:type="auto"/>
                  <w:vMerge/>
                  <w:tcBorders>
                    <w:top w:val="single" w:sz="8" w:space="0" w:color="000000"/>
                    <w:left w:val="single" w:sz="8" w:space="0" w:color="000000"/>
                    <w:bottom w:val="nil"/>
                    <w:right w:val="single" w:sz="8" w:space="0" w:color="000000"/>
                  </w:tcBorders>
                  <w:vAlign w:val="center"/>
                  <w:hideMark/>
                </w:tcPr>
                <w:p w:rsidR="00FA087C" w:rsidRPr="00FA087C" w:rsidRDefault="00FA087C" w:rsidP="00FA087C">
                  <w:pPr>
                    <w:widowControl/>
                    <w:jc w:val="left"/>
                    <w:rPr>
                      <w:rFonts w:ascii="宋体" w:eastAsia="宋体" w:hAnsi="宋体" w:cs="宋体"/>
                      <w:b/>
                      <w:color w:val="000000"/>
                      <w:kern w:val="0"/>
                      <w:sz w:val="23"/>
                      <w:szCs w:val="23"/>
                    </w:rPr>
                  </w:pPr>
                </w:p>
              </w:tc>
              <w:tc>
                <w:tcPr>
                  <w:tcW w:w="872"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合计</w:t>
                  </w:r>
                </w:p>
              </w:tc>
              <w:tc>
                <w:tcPr>
                  <w:tcW w:w="725"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存量</w:t>
                  </w:r>
                </w:p>
              </w:tc>
              <w:tc>
                <w:tcPr>
                  <w:tcW w:w="872"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增量</w:t>
                  </w:r>
                </w:p>
              </w:tc>
              <w:tc>
                <w:tcPr>
                  <w:tcW w:w="1016"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廉租房</w:t>
                  </w:r>
                </w:p>
              </w:tc>
              <w:tc>
                <w:tcPr>
                  <w:tcW w:w="1158"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经济适用房</w:t>
                  </w:r>
                </w:p>
              </w:tc>
              <w:tc>
                <w:tcPr>
                  <w:tcW w:w="736"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21" w:type="dxa"/>
                  <w:tcBorders>
                    <w:top w:val="single" w:sz="8" w:space="0" w:color="000000"/>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廉租房</w:t>
                  </w:r>
                </w:p>
              </w:tc>
              <w:tc>
                <w:tcPr>
                  <w:tcW w:w="725" w:type="dxa"/>
                  <w:tcBorders>
                    <w:top w:val="single" w:sz="8" w:space="0" w:color="000000"/>
                    <w:left w:val="nil"/>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经济适用房</w:t>
                  </w:r>
                </w:p>
              </w:tc>
              <w:tc>
                <w:tcPr>
                  <w:tcW w:w="757" w:type="dxa"/>
                  <w:tcBorders>
                    <w:top w:val="single" w:sz="8" w:space="0" w:color="000000"/>
                    <w:left w:val="single" w:sz="4" w:space="0" w:color="auto"/>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中小套型住房</w:t>
                  </w:r>
                </w:p>
              </w:tc>
              <w:tc>
                <w:tcPr>
                  <w:tcW w:w="736" w:type="dxa"/>
                  <w:tcBorders>
                    <w:top w:val="single" w:sz="4" w:space="0" w:color="auto"/>
                    <w:left w:val="nil"/>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划拨</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出让</w:t>
                  </w:r>
                </w:p>
              </w:tc>
              <w:tc>
                <w:tcPr>
                  <w:tcW w:w="0" w:type="auto"/>
                  <w:vMerge/>
                  <w:tcBorders>
                    <w:top w:val="single" w:sz="8" w:space="0" w:color="000000"/>
                    <w:left w:val="single" w:sz="4" w:space="0" w:color="auto"/>
                    <w:bottom w:val="single" w:sz="4" w:space="0" w:color="auto"/>
                    <w:right w:val="single" w:sz="8" w:space="0" w:color="000000"/>
                  </w:tcBorders>
                  <w:vAlign w:val="center"/>
                  <w:hideMark/>
                </w:tcPr>
                <w:p w:rsidR="00FA087C" w:rsidRPr="00FA087C" w:rsidRDefault="00FA087C" w:rsidP="00FA087C">
                  <w:pPr>
                    <w:widowControl/>
                    <w:jc w:val="left"/>
                    <w:rPr>
                      <w:rFonts w:ascii="宋体" w:eastAsia="宋体" w:hAnsi="宋体" w:cs="宋体"/>
                      <w:b/>
                      <w:color w:val="000000"/>
                      <w:kern w:val="0"/>
                      <w:sz w:val="23"/>
                      <w:szCs w:val="23"/>
                    </w:rPr>
                  </w:pPr>
                </w:p>
              </w:tc>
              <w:tc>
                <w:tcPr>
                  <w:tcW w:w="0" w:type="auto"/>
                  <w:vMerge/>
                  <w:tcBorders>
                    <w:top w:val="nil"/>
                    <w:left w:val="single" w:sz="8" w:space="0" w:color="000000"/>
                    <w:bottom w:val="single" w:sz="4" w:space="0" w:color="auto"/>
                    <w:right w:val="single" w:sz="8" w:space="0" w:color="000000"/>
                  </w:tcBorders>
                  <w:vAlign w:val="center"/>
                  <w:hideMark/>
                </w:tcPr>
                <w:p w:rsidR="00FA087C" w:rsidRPr="00FA087C" w:rsidRDefault="00FA087C" w:rsidP="00FA087C">
                  <w:pPr>
                    <w:widowControl/>
                    <w:jc w:val="left"/>
                    <w:rPr>
                      <w:rFonts w:ascii="宋体" w:eastAsia="宋体" w:hAnsi="宋体" w:cs="宋体"/>
                      <w:b/>
                      <w:color w:val="333333"/>
                      <w:kern w:val="0"/>
                      <w:sz w:val="22"/>
                    </w:rPr>
                  </w:pPr>
                </w:p>
              </w:tc>
              <w:tc>
                <w:tcPr>
                  <w:tcW w:w="0" w:type="auto"/>
                  <w:vMerge/>
                  <w:tcBorders>
                    <w:top w:val="single" w:sz="8" w:space="0" w:color="000000"/>
                    <w:left w:val="single" w:sz="8" w:space="0" w:color="000000"/>
                    <w:bottom w:val="single" w:sz="4" w:space="0" w:color="auto"/>
                    <w:right w:val="single" w:sz="8" w:space="0" w:color="000000"/>
                  </w:tcBorders>
                  <w:vAlign w:val="center"/>
                  <w:hideMark/>
                </w:tcPr>
                <w:p w:rsidR="00FA087C" w:rsidRPr="00FA087C" w:rsidRDefault="00FA087C" w:rsidP="00FA087C">
                  <w:pPr>
                    <w:widowControl/>
                    <w:jc w:val="left"/>
                    <w:rPr>
                      <w:rFonts w:ascii="宋体" w:eastAsia="宋体" w:hAnsi="宋体" w:cs="宋体"/>
                      <w:b/>
                      <w:color w:val="333333"/>
                      <w:kern w:val="0"/>
                      <w:sz w:val="22"/>
                    </w:rPr>
                  </w:pPr>
                </w:p>
              </w:tc>
              <w:tc>
                <w:tcPr>
                  <w:tcW w:w="0" w:type="auto"/>
                  <w:vMerge/>
                  <w:tcBorders>
                    <w:top w:val="single" w:sz="8" w:space="0" w:color="000000"/>
                    <w:left w:val="single" w:sz="8" w:space="0" w:color="000000"/>
                    <w:bottom w:val="single" w:sz="4" w:space="0" w:color="auto"/>
                    <w:right w:val="single" w:sz="8" w:space="0" w:color="000000"/>
                  </w:tcBorders>
                  <w:vAlign w:val="center"/>
                  <w:hideMark/>
                </w:tcPr>
                <w:p w:rsidR="00FA087C" w:rsidRPr="00FA087C" w:rsidRDefault="00FA087C" w:rsidP="00FA087C">
                  <w:pPr>
                    <w:widowControl/>
                    <w:jc w:val="left"/>
                    <w:rPr>
                      <w:rFonts w:ascii="宋体" w:eastAsia="宋体" w:hAnsi="宋体" w:cs="宋体"/>
                      <w:b/>
                      <w:color w:val="333333"/>
                      <w:kern w:val="0"/>
                      <w:sz w:val="22"/>
                    </w:rPr>
                  </w:pPr>
                </w:p>
              </w:tc>
            </w:tr>
            <w:tr w:rsidR="001B2C72" w:rsidRPr="00FA087C" w:rsidTr="00FA087C">
              <w:trPr>
                <w:trHeight w:val="380"/>
              </w:trPr>
              <w:tc>
                <w:tcPr>
                  <w:tcW w:w="911" w:type="dxa"/>
                  <w:tcBorders>
                    <w:top w:val="nil"/>
                    <w:left w:val="single" w:sz="8" w:space="0" w:color="000000"/>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872"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1</w:t>
                  </w:r>
                </w:p>
              </w:tc>
              <w:tc>
                <w:tcPr>
                  <w:tcW w:w="725"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2</w:t>
                  </w:r>
                </w:p>
              </w:tc>
              <w:tc>
                <w:tcPr>
                  <w:tcW w:w="872"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3</w:t>
                  </w:r>
                </w:p>
              </w:tc>
              <w:tc>
                <w:tcPr>
                  <w:tcW w:w="1016"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4</w:t>
                  </w:r>
                </w:p>
              </w:tc>
              <w:tc>
                <w:tcPr>
                  <w:tcW w:w="1158"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5</w:t>
                  </w:r>
                </w:p>
              </w:tc>
              <w:tc>
                <w:tcPr>
                  <w:tcW w:w="736"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6</w:t>
                  </w:r>
                </w:p>
              </w:tc>
              <w:tc>
                <w:tcPr>
                  <w:tcW w:w="721"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7</w:t>
                  </w:r>
                </w:p>
              </w:tc>
              <w:tc>
                <w:tcPr>
                  <w:tcW w:w="725" w:type="dxa"/>
                  <w:tcBorders>
                    <w:top w:val="single" w:sz="4" w:space="0" w:color="auto"/>
                    <w:left w:val="nil"/>
                    <w:bottom w:val="single" w:sz="8" w:space="0" w:color="000000"/>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8</w:t>
                  </w:r>
                </w:p>
              </w:tc>
              <w:tc>
                <w:tcPr>
                  <w:tcW w:w="757" w:type="dxa"/>
                  <w:tcBorders>
                    <w:top w:val="single" w:sz="4" w:space="0" w:color="auto"/>
                    <w:left w:val="single" w:sz="4" w:space="0" w:color="auto"/>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9</w:t>
                  </w:r>
                </w:p>
              </w:tc>
              <w:tc>
                <w:tcPr>
                  <w:tcW w:w="736"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10</w:t>
                  </w:r>
                </w:p>
              </w:tc>
              <w:tc>
                <w:tcPr>
                  <w:tcW w:w="737"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1</w:t>
                  </w:r>
                  <w:r w:rsidRPr="00FA087C">
                    <w:rPr>
                      <w:rFonts w:ascii="宋体" w:eastAsia="宋体" w:hAnsi="宋体" w:cs="宋体"/>
                      <w:b/>
                      <w:color w:val="333333"/>
                      <w:kern w:val="0"/>
                      <w:sz w:val="24"/>
                      <w:szCs w:val="24"/>
                    </w:rPr>
                    <w:lastRenderedPageBreak/>
                    <w:t>1</w:t>
                  </w:r>
                </w:p>
              </w:tc>
              <w:tc>
                <w:tcPr>
                  <w:tcW w:w="919"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lastRenderedPageBreak/>
                    <w:t>1</w:t>
                  </w:r>
                  <w:r w:rsidRPr="00FA087C">
                    <w:rPr>
                      <w:rFonts w:ascii="宋体" w:eastAsia="宋体" w:hAnsi="宋体" w:cs="宋体"/>
                      <w:b/>
                      <w:color w:val="333333"/>
                      <w:kern w:val="0"/>
                      <w:sz w:val="24"/>
                      <w:szCs w:val="24"/>
                    </w:rPr>
                    <w:lastRenderedPageBreak/>
                    <w:t>2</w:t>
                  </w:r>
                </w:p>
              </w:tc>
              <w:tc>
                <w:tcPr>
                  <w:tcW w:w="793"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lastRenderedPageBreak/>
                    <w:t>13</w:t>
                  </w:r>
                </w:p>
              </w:tc>
              <w:tc>
                <w:tcPr>
                  <w:tcW w:w="1103"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14</w:t>
                  </w:r>
                </w:p>
              </w:tc>
              <w:tc>
                <w:tcPr>
                  <w:tcW w:w="1105" w:type="dxa"/>
                  <w:tcBorders>
                    <w:top w:val="single" w:sz="4" w:space="0" w:color="auto"/>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15</w:t>
                  </w:r>
                </w:p>
              </w:tc>
            </w:tr>
            <w:tr w:rsidR="001B2C72" w:rsidRPr="00FA087C" w:rsidTr="00FA087C">
              <w:trPr>
                <w:trHeight w:val="380"/>
              </w:trPr>
              <w:tc>
                <w:tcPr>
                  <w:tcW w:w="911" w:type="dxa"/>
                  <w:tcBorders>
                    <w:top w:val="nil"/>
                    <w:left w:val="single" w:sz="8" w:space="0" w:color="000000"/>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lastRenderedPageBreak/>
                    <w:t>黑河市本级</w:t>
                  </w:r>
                </w:p>
              </w:tc>
              <w:tc>
                <w:tcPr>
                  <w:tcW w:w="872"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35.43</w:t>
                  </w:r>
                </w:p>
              </w:tc>
              <w:tc>
                <w:tcPr>
                  <w:tcW w:w="725"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8.5</w:t>
                  </w:r>
                </w:p>
              </w:tc>
              <w:tc>
                <w:tcPr>
                  <w:tcW w:w="872"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26.93</w:t>
                  </w:r>
                </w:p>
              </w:tc>
              <w:tc>
                <w:tcPr>
                  <w:tcW w:w="1016"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2.3</w:t>
                  </w:r>
                </w:p>
              </w:tc>
              <w:tc>
                <w:tcPr>
                  <w:tcW w:w="1158"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6"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3.5</w:t>
                  </w:r>
                </w:p>
              </w:tc>
              <w:tc>
                <w:tcPr>
                  <w:tcW w:w="721"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25" w:type="dxa"/>
                  <w:tcBorders>
                    <w:top w:val="nil"/>
                    <w:left w:val="nil"/>
                    <w:bottom w:val="single" w:sz="8" w:space="0" w:color="000000"/>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57" w:type="dxa"/>
                  <w:tcBorders>
                    <w:top w:val="nil"/>
                    <w:left w:val="single" w:sz="4" w:space="0" w:color="auto"/>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3.5</w:t>
                  </w:r>
                </w:p>
              </w:tc>
              <w:tc>
                <w:tcPr>
                  <w:tcW w:w="736" w:type="dxa"/>
                  <w:tcBorders>
                    <w:top w:val="nil"/>
                    <w:left w:val="nil"/>
                    <w:bottom w:val="single" w:sz="8" w:space="0" w:color="000000"/>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1.4</w:t>
                  </w:r>
                </w:p>
              </w:tc>
              <w:tc>
                <w:tcPr>
                  <w:tcW w:w="737" w:type="dxa"/>
                  <w:tcBorders>
                    <w:top w:val="nil"/>
                    <w:left w:val="single" w:sz="4" w:space="0" w:color="auto"/>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919"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c>
                <w:tcPr>
                  <w:tcW w:w="793"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28.23</w:t>
                  </w:r>
                </w:p>
              </w:tc>
              <w:tc>
                <w:tcPr>
                  <w:tcW w:w="1103"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19.76</w:t>
                  </w:r>
                </w:p>
              </w:tc>
              <w:tc>
                <w:tcPr>
                  <w:tcW w:w="1105"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76.09%</w:t>
                  </w:r>
                </w:p>
              </w:tc>
            </w:tr>
            <w:tr w:rsidR="001B2C72" w:rsidRPr="00FA087C" w:rsidTr="00FA087C">
              <w:trPr>
                <w:trHeight w:val="380"/>
              </w:trPr>
              <w:tc>
                <w:tcPr>
                  <w:tcW w:w="911" w:type="dxa"/>
                  <w:tcBorders>
                    <w:top w:val="nil"/>
                    <w:left w:val="single" w:sz="8" w:space="0" w:color="000000"/>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872"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25"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872"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1016"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1158"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6"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21"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25" w:type="dxa"/>
                  <w:tcBorders>
                    <w:top w:val="nil"/>
                    <w:left w:val="nil"/>
                    <w:bottom w:val="single" w:sz="8" w:space="0" w:color="000000"/>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57" w:type="dxa"/>
                  <w:tcBorders>
                    <w:top w:val="nil"/>
                    <w:left w:val="single" w:sz="4" w:space="0" w:color="auto"/>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6" w:type="dxa"/>
                  <w:tcBorders>
                    <w:top w:val="nil"/>
                    <w:left w:val="nil"/>
                    <w:bottom w:val="single" w:sz="8" w:space="0" w:color="000000"/>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7" w:type="dxa"/>
                  <w:tcBorders>
                    <w:top w:val="nil"/>
                    <w:left w:val="single" w:sz="4" w:space="0" w:color="auto"/>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919"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c>
                <w:tcPr>
                  <w:tcW w:w="793"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c>
                <w:tcPr>
                  <w:tcW w:w="1103"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c>
                <w:tcPr>
                  <w:tcW w:w="1105"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r>
            <w:tr w:rsidR="001B2C72" w:rsidRPr="00FA087C" w:rsidTr="00FA087C">
              <w:trPr>
                <w:trHeight w:val="380"/>
              </w:trPr>
              <w:tc>
                <w:tcPr>
                  <w:tcW w:w="911" w:type="dxa"/>
                  <w:tcBorders>
                    <w:top w:val="nil"/>
                    <w:left w:val="single" w:sz="8" w:space="0" w:color="000000"/>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872"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25"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872"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1016"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1158"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6"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21"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25" w:type="dxa"/>
                  <w:tcBorders>
                    <w:top w:val="nil"/>
                    <w:left w:val="nil"/>
                    <w:bottom w:val="single" w:sz="8" w:space="0" w:color="000000"/>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57" w:type="dxa"/>
                  <w:tcBorders>
                    <w:top w:val="nil"/>
                    <w:left w:val="single" w:sz="4" w:space="0" w:color="auto"/>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6" w:type="dxa"/>
                  <w:tcBorders>
                    <w:top w:val="nil"/>
                    <w:left w:val="nil"/>
                    <w:bottom w:val="single" w:sz="8" w:space="0" w:color="000000"/>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7" w:type="dxa"/>
                  <w:tcBorders>
                    <w:top w:val="nil"/>
                    <w:left w:val="single" w:sz="4" w:space="0" w:color="auto"/>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919"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c>
                <w:tcPr>
                  <w:tcW w:w="793"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c>
                <w:tcPr>
                  <w:tcW w:w="1103"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c>
                <w:tcPr>
                  <w:tcW w:w="1105" w:type="dxa"/>
                  <w:tcBorders>
                    <w:top w:val="nil"/>
                    <w:left w:val="nil"/>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jc w:val="left"/>
                    <w:rPr>
                      <w:rFonts w:ascii="宋体" w:eastAsia="宋体" w:hAnsi="宋体" w:cs="宋体"/>
                      <w:b/>
                      <w:color w:val="333333"/>
                      <w:kern w:val="0"/>
                      <w:sz w:val="24"/>
                      <w:szCs w:val="24"/>
                    </w:rPr>
                  </w:pPr>
                </w:p>
              </w:tc>
            </w:tr>
            <w:tr w:rsidR="001B2C72" w:rsidRPr="00FA087C" w:rsidTr="00FA087C">
              <w:trPr>
                <w:trHeight w:val="380"/>
              </w:trPr>
              <w:tc>
                <w:tcPr>
                  <w:tcW w:w="911" w:type="dxa"/>
                  <w:tcBorders>
                    <w:top w:val="nil"/>
                    <w:left w:val="single" w:sz="8" w:space="0" w:color="000000"/>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872"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25"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872"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1016"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1158"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36"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21"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25" w:type="dxa"/>
                  <w:tcBorders>
                    <w:top w:val="nil"/>
                    <w:left w:val="nil"/>
                    <w:bottom w:val="single" w:sz="8" w:space="0" w:color="000000"/>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57" w:type="dxa"/>
                  <w:tcBorders>
                    <w:top w:val="nil"/>
                    <w:left w:val="single" w:sz="4" w:space="0" w:color="auto"/>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36" w:type="dxa"/>
                  <w:tcBorders>
                    <w:top w:val="nil"/>
                    <w:left w:val="nil"/>
                    <w:bottom w:val="single" w:sz="8" w:space="0" w:color="000000"/>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37" w:type="dxa"/>
                  <w:tcBorders>
                    <w:top w:val="nil"/>
                    <w:left w:val="single" w:sz="4" w:space="0" w:color="auto"/>
                    <w:bottom w:val="single" w:sz="8" w:space="0" w:color="000000"/>
                    <w:right w:val="single" w:sz="8" w:space="0" w:color="000000"/>
                  </w:tcBorders>
                  <w:shd w:val="clear" w:color="auto" w:fill="auto"/>
                  <w:vAlign w:val="center"/>
                </w:tcPr>
                <w:p w:rsidR="00FA087C" w:rsidRPr="00FA087C" w:rsidRDefault="00FA087C" w:rsidP="00FA087C">
                  <w:pPr>
                    <w:widowControl/>
                    <w:spacing w:line="480" w:lineRule="atLeast"/>
                    <w:ind w:left="143"/>
                    <w:jc w:val="center"/>
                    <w:rPr>
                      <w:rFonts w:ascii="宋体" w:eastAsia="宋体" w:hAnsi="宋体" w:cs="宋体"/>
                      <w:b/>
                      <w:color w:val="000000"/>
                      <w:kern w:val="0"/>
                      <w:sz w:val="23"/>
                      <w:szCs w:val="23"/>
                    </w:rPr>
                  </w:pPr>
                </w:p>
              </w:tc>
              <w:tc>
                <w:tcPr>
                  <w:tcW w:w="919"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Times New Roman" w:eastAsia="宋体" w:hAnsi="宋体" w:cs="宋体" w:hint="eastAsia"/>
                      <w:b/>
                      <w:color w:val="333333"/>
                      <w:kern w:val="0"/>
                      <w:sz w:val="24"/>
                      <w:szCs w:val="24"/>
                    </w:rPr>
                    <w:t xml:space="preserve">　</w:t>
                  </w:r>
                </w:p>
              </w:tc>
              <w:tc>
                <w:tcPr>
                  <w:tcW w:w="793"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Times New Roman" w:eastAsia="宋体" w:hAnsi="宋体" w:cs="宋体" w:hint="eastAsia"/>
                      <w:b/>
                      <w:color w:val="333333"/>
                      <w:kern w:val="0"/>
                      <w:sz w:val="24"/>
                      <w:szCs w:val="24"/>
                    </w:rPr>
                    <w:t xml:space="preserve">　</w:t>
                  </w:r>
                </w:p>
              </w:tc>
              <w:tc>
                <w:tcPr>
                  <w:tcW w:w="1103"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Times New Roman" w:eastAsia="宋体" w:hAnsi="宋体" w:cs="宋体" w:hint="eastAsia"/>
                      <w:b/>
                      <w:color w:val="333333"/>
                      <w:kern w:val="0"/>
                      <w:sz w:val="24"/>
                      <w:szCs w:val="24"/>
                    </w:rPr>
                    <w:t xml:space="preserve">　</w:t>
                  </w:r>
                </w:p>
              </w:tc>
              <w:tc>
                <w:tcPr>
                  <w:tcW w:w="1105" w:type="dxa"/>
                  <w:tcBorders>
                    <w:top w:val="nil"/>
                    <w:left w:val="nil"/>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Times New Roman" w:eastAsia="宋体" w:hAnsi="宋体" w:cs="宋体" w:hint="eastAsia"/>
                      <w:b/>
                      <w:color w:val="333333"/>
                      <w:kern w:val="0"/>
                      <w:sz w:val="24"/>
                      <w:szCs w:val="24"/>
                    </w:rPr>
                    <w:t xml:space="preserve">　</w:t>
                  </w:r>
                </w:p>
              </w:tc>
            </w:tr>
            <w:tr w:rsidR="001B2C72" w:rsidRPr="00FA087C" w:rsidTr="00FA087C">
              <w:trPr>
                <w:trHeight w:val="380"/>
              </w:trPr>
              <w:tc>
                <w:tcPr>
                  <w:tcW w:w="911" w:type="dxa"/>
                  <w:tcBorders>
                    <w:top w:val="nil"/>
                    <w:left w:val="single" w:sz="8" w:space="0" w:color="000000"/>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合计</w:t>
                  </w:r>
                </w:p>
              </w:tc>
              <w:tc>
                <w:tcPr>
                  <w:tcW w:w="872"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35.43</w:t>
                  </w:r>
                  <w:r w:rsidRPr="00FA087C">
                    <w:rPr>
                      <w:rFonts w:ascii="Times New Roman" w:eastAsia="宋体" w:hAnsi="宋体" w:cs="宋体" w:hint="eastAsia"/>
                      <w:b/>
                      <w:color w:val="000000"/>
                      <w:kern w:val="0"/>
                      <w:sz w:val="23"/>
                      <w:szCs w:val="23"/>
                    </w:rPr>
                    <w:t xml:space="preserve">　</w:t>
                  </w:r>
                </w:p>
              </w:tc>
              <w:tc>
                <w:tcPr>
                  <w:tcW w:w="725"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8.5</w:t>
                  </w:r>
                  <w:r w:rsidRPr="00FA087C">
                    <w:rPr>
                      <w:rFonts w:ascii="Times New Roman" w:eastAsia="宋体" w:hAnsi="宋体" w:cs="宋体" w:hint="eastAsia"/>
                      <w:b/>
                      <w:color w:val="000000"/>
                      <w:kern w:val="0"/>
                      <w:sz w:val="23"/>
                      <w:szCs w:val="23"/>
                    </w:rPr>
                    <w:t xml:space="preserve">　</w:t>
                  </w:r>
                </w:p>
              </w:tc>
              <w:tc>
                <w:tcPr>
                  <w:tcW w:w="872"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26.93</w:t>
                  </w:r>
                  <w:r w:rsidRPr="00FA087C">
                    <w:rPr>
                      <w:rFonts w:ascii="Times New Roman" w:eastAsia="宋体" w:hAnsi="宋体" w:cs="宋体" w:hint="eastAsia"/>
                      <w:b/>
                      <w:color w:val="000000"/>
                      <w:kern w:val="0"/>
                      <w:sz w:val="23"/>
                      <w:szCs w:val="23"/>
                    </w:rPr>
                    <w:t xml:space="preserve">　</w:t>
                  </w:r>
                </w:p>
              </w:tc>
              <w:tc>
                <w:tcPr>
                  <w:tcW w:w="1016"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2.3</w:t>
                  </w:r>
                  <w:r w:rsidRPr="00FA087C">
                    <w:rPr>
                      <w:rFonts w:ascii="Times New Roman" w:eastAsia="宋体" w:hAnsi="宋体" w:cs="宋体" w:hint="eastAsia"/>
                      <w:b/>
                      <w:color w:val="000000"/>
                      <w:kern w:val="0"/>
                      <w:sz w:val="23"/>
                      <w:szCs w:val="23"/>
                    </w:rPr>
                    <w:t xml:space="preserve">　</w:t>
                  </w:r>
                </w:p>
              </w:tc>
              <w:tc>
                <w:tcPr>
                  <w:tcW w:w="1158"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36"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3.5</w:t>
                  </w:r>
                  <w:r w:rsidRPr="00FA087C">
                    <w:rPr>
                      <w:rFonts w:ascii="Times New Roman" w:eastAsia="宋体" w:hAnsi="宋体" w:cs="宋体" w:hint="eastAsia"/>
                      <w:b/>
                      <w:color w:val="000000"/>
                      <w:kern w:val="0"/>
                      <w:sz w:val="23"/>
                      <w:szCs w:val="23"/>
                    </w:rPr>
                    <w:t xml:space="preserve">　</w:t>
                  </w:r>
                </w:p>
              </w:tc>
              <w:tc>
                <w:tcPr>
                  <w:tcW w:w="721"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Times New Roman" w:eastAsia="宋体" w:hAnsi="宋体" w:cs="宋体" w:hint="eastAsia"/>
                      <w:b/>
                      <w:color w:val="000000"/>
                      <w:kern w:val="0"/>
                      <w:sz w:val="23"/>
                      <w:szCs w:val="23"/>
                    </w:rPr>
                    <w:t xml:space="preserve">　</w:t>
                  </w:r>
                </w:p>
              </w:tc>
              <w:tc>
                <w:tcPr>
                  <w:tcW w:w="725" w:type="dxa"/>
                  <w:tcBorders>
                    <w:top w:val="nil"/>
                    <w:left w:val="nil"/>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p>
              </w:tc>
              <w:tc>
                <w:tcPr>
                  <w:tcW w:w="757" w:type="dxa"/>
                  <w:tcBorders>
                    <w:top w:val="nil"/>
                    <w:left w:val="single" w:sz="4" w:space="0" w:color="auto"/>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3.5</w:t>
                  </w:r>
                </w:p>
              </w:tc>
              <w:tc>
                <w:tcPr>
                  <w:tcW w:w="736" w:type="dxa"/>
                  <w:tcBorders>
                    <w:top w:val="nil"/>
                    <w:left w:val="nil"/>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
                      <w:color w:val="000000"/>
                      <w:kern w:val="0"/>
                      <w:sz w:val="23"/>
                      <w:szCs w:val="23"/>
                    </w:rPr>
                  </w:pPr>
                  <w:r w:rsidRPr="00FA087C">
                    <w:rPr>
                      <w:rFonts w:ascii="宋体" w:eastAsia="宋体" w:hAnsi="宋体" w:cs="宋体"/>
                      <w:b/>
                      <w:color w:val="000000"/>
                      <w:kern w:val="0"/>
                      <w:sz w:val="23"/>
                      <w:szCs w:val="23"/>
                    </w:rPr>
                    <w:t>1.4</w:t>
                  </w:r>
                </w:p>
              </w:tc>
              <w:tc>
                <w:tcPr>
                  <w:tcW w:w="737" w:type="dxa"/>
                  <w:tcBorders>
                    <w:top w:val="nil"/>
                    <w:left w:val="single" w:sz="4" w:space="0" w:color="auto"/>
                    <w:bottom w:val="single" w:sz="4" w:space="0" w:color="auto"/>
                    <w:right w:val="single" w:sz="8" w:space="0" w:color="000000"/>
                  </w:tcBorders>
                  <w:shd w:val="clear" w:color="auto" w:fill="auto"/>
                  <w:vAlign w:val="center"/>
                </w:tcPr>
                <w:p w:rsidR="00FA087C" w:rsidRPr="00FA087C" w:rsidRDefault="00FA087C" w:rsidP="00FA087C">
                  <w:pPr>
                    <w:widowControl/>
                    <w:spacing w:line="480" w:lineRule="atLeast"/>
                    <w:ind w:left="143"/>
                    <w:jc w:val="center"/>
                    <w:rPr>
                      <w:rFonts w:ascii="宋体" w:eastAsia="宋体" w:hAnsi="宋体" w:cs="宋体"/>
                      <w:b/>
                      <w:color w:val="000000"/>
                      <w:kern w:val="0"/>
                      <w:sz w:val="23"/>
                      <w:szCs w:val="23"/>
                    </w:rPr>
                  </w:pPr>
                </w:p>
              </w:tc>
              <w:tc>
                <w:tcPr>
                  <w:tcW w:w="919"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Times New Roman" w:eastAsia="宋体" w:hAnsi="宋体" w:cs="宋体" w:hint="eastAsia"/>
                      <w:b/>
                      <w:color w:val="333333"/>
                      <w:kern w:val="0"/>
                      <w:sz w:val="24"/>
                      <w:szCs w:val="24"/>
                    </w:rPr>
                    <w:t xml:space="preserve">　</w:t>
                  </w:r>
                </w:p>
              </w:tc>
              <w:tc>
                <w:tcPr>
                  <w:tcW w:w="793"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28.23</w:t>
                  </w:r>
                  <w:r w:rsidRPr="00FA087C">
                    <w:rPr>
                      <w:rFonts w:ascii="Times New Roman" w:eastAsia="宋体" w:hAnsi="宋体" w:cs="宋体" w:hint="eastAsia"/>
                      <w:b/>
                      <w:color w:val="333333"/>
                      <w:kern w:val="0"/>
                      <w:sz w:val="24"/>
                      <w:szCs w:val="24"/>
                    </w:rPr>
                    <w:t xml:space="preserve">　</w:t>
                  </w:r>
                </w:p>
              </w:tc>
              <w:tc>
                <w:tcPr>
                  <w:tcW w:w="1103"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19.76</w:t>
                  </w:r>
                  <w:r w:rsidRPr="00FA087C">
                    <w:rPr>
                      <w:rFonts w:ascii="Times New Roman" w:eastAsia="宋体" w:hAnsi="宋体" w:cs="宋体" w:hint="eastAsia"/>
                      <w:b/>
                      <w:color w:val="333333"/>
                      <w:kern w:val="0"/>
                      <w:sz w:val="24"/>
                      <w:szCs w:val="24"/>
                    </w:rPr>
                    <w:t xml:space="preserve">　</w:t>
                  </w:r>
                </w:p>
              </w:tc>
              <w:tc>
                <w:tcPr>
                  <w:tcW w:w="1105" w:type="dxa"/>
                  <w:tcBorders>
                    <w:top w:val="nil"/>
                    <w:left w:val="nil"/>
                    <w:bottom w:val="single" w:sz="4" w:space="0" w:color="auto"/>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b/>
                      <w:color w:val="333333"/>
                      <w:kern w:val="0"/>
                      <w:sz w:val="24"/>
                      <w:szCs w:val="24"/>
                    </w:rPr>
                  </w:pPr>
                  <w:r w:rsidRPr="00FA087C">
                    <w:rPr>
                      <w:rFonts w:ascii="宋体" w:eastAsia="宋体" w:hAnsi="宋体" w:cs="宋体"/>
                      <w:b/>
                      <w:color w:val="333333"/>
                      <w:kern w:val="0"/>
                      <w:sz w:val="24"/>
                      <w:szCs w:val="24"/>
                    </w:rPr>
                    <w:t>76.09%</w:t>
                  </w:r>
                  <w:r w:rsidRPr="00FA087C">
                    <w:rPr>
                      <w:rFonts w:ascii="Times New Roman" w:eastAsia="宋体" w:hAnsi="宋体" w:cs="宋体" w:hint="eastAsia"/>
                      <w:b/>
                      <w:color w:val="333333"/>
                      <w:kern w:val="0"/>
                      <w:sz w:val="24"/>
                      <w:szCs w:val="24"/>
                    </w:rPr>
                    <w:t xml:space="preserve">　</w:t>
                  </w:r>
                </w:p>
              </w:tc>
            </w:tr>
            <w:tr w:rsidR="00FA087C" w:rsidRPr="00FA087C" w:rsidTr="00FA087C">
              <w:trPr>
                <w:trHeight w:val="380"/>
              </w:trPr>
              <w:tc>
                <w:tcPr>
                  <w:tcW w:w="13885" w:type="dxa"/>
                  <w:gridSpan w:val="16"/>
                  <w:tcBorders>
                    <w:top w:val="single" w:sz="4" w:space="0" w:color="auto"/>
                    <w:left w:val="single" w:sz="8" w:space="0" w:color="000000"/>
                    <w:bottom w:val="single" w:sz="8" w:space="0" w:color="000000"/>
                    <w:right w:val="single" w:sz="8" w:space="0" w:color="000000"/>
                  </w:tcBorders>
                  <w:shd w:val="clear" w:color="auto" w:fill="auto"/>
                  <w:vAlign w:val="center"/>
                  <w:hideMark/>
                </w:tcPr>
                <w:p w:rsidR="00FA087C" w:rsidRPr="00FA087C" w:rsidRDefault="00FA087C" w:rsidP="00FA087C">
                  <w:pPr>
                    <w:widowControl/>
                    <w:spacing w:line="480" w:lineRule="atLeast"/>
                    <w:jc w:val="left"/>
                    <w:rPr>
                      <w:rFonts w:ascii="宋体" w:eastAsia="仿宋_GB2312" w:hAnsi="宋体" w:cs="宋体"/>
                      <w:color w:val="333333"/>
                      <w:kern w:val="0"/>
                      <w:sz w:val="24"/>
                      <w:szCs w:val="21"/>
                    </w:rPr>
                  </w:pPr>
                  <w:r w:rsidRPr="00FA087C">
                    <w:rPr>
                      <w:rFonts w:ascii="Times New Roman" w:eastAsia="仿宋_GB2312" w:hAnsi="宋体" w:cs="宋体" w:hint="eastAsia"/>
                      <w:color w:val="333333"/>
                      <w:kern w:val="0"/>
                      <w:sz w:val="24"/>
                      <w:szCs w:val="21"/>
                    </w:rPr>
                    <w:t>填表日期：</w:t>
                  </w:r>
                  <w:r w:rsidRPr="00FA087C">
                    <w:rPr>
                      <w:rFonts w:ascii="宋体" w:eastAsia="仿宋_GB2312" w:hAnsi="宋体" w:cs="宋体"/>
                      <w:color w:val="333333"/>
                      <w:kern w:val="0"/>
                      <w:sz w:val="24"/>
                      <w:szCs w:val="21"/>
                    </w:rPr>
                    <w:t xml:space="preserve">                                           </w:t>
                  </w:r>
                  <w:r w:rsidRPr="00FA087C">
                    <w:rPr>
                      <w:rFonts w:ascii="Times New Roman" w:eastAsia="仿宋_GB2312" w:hAnsi="宋体" w:cs="宋体" w:hint="eastAsia"/>
                      <w:color w:val="333333"/>
                      <w:kern w:val="0"/>
                      <w:sz w:val="24"/>
                      <w:szCs w:val="21"/>
                    </w:rPr>
                    <w:t>联系人：</w:t>
                  </w:r>
                  <w:r w:rsidRPr="00FA087C">
                    <w:rPr>
                      <w:rFonts w:ascii="宋体" w:eastAsia="仿宋_GB2312" w:hAnsi="宋体" w:cs="宋体"/>
                      <w:color w:val="333333"/>
                      <w:kern w:val="0"/>
                      <w:sz w:val="24"/>
                      <w:szCs w:val="21"/>
                    </w:rPr>
                    <w:t xml:space="preserve">                                  </w:t>
                  </w:r>
                  <w:r w:rsidRPr="00FA087C">
                    <w:rPr>
                      <w:rFonts w:ascii="Times New Roman" w:eastAsia="仿宋_GB2312" w:hAnsi="宋体" w:cs="宋体" w:hint="eastAsia"/>
                      <w:color w:val="333333"/>
                      <w:kern w:val="0"/>
                      <w:sz w:val="24"/>
                      <w:szCs w:val="21"/>
                    </w:rPr>
                    <w:t>联系方式：</w:t>
                  </w:r>
                </w:p>
              </w:tc>
            </w:tr>
          </w:tbl>
          <w:p w:rsidR="00FA087C" w:rsidRPr="00FA087C" w:rsidRDefault="00FA087C" w:rsidP="00FA087C">
            <w:pPr>
              <w:widowControl/>
              <w:spacing w:line="480" w:lineRule="atLeast"/>
              <w:jc w:val="center"/>
              <w:rPr>
                <w:rFonts w:ascii="宋体" w:eastAsia="仿宋_GB2312" w:hAnsi="宋体" w:cs="宋体"/>
                <w:b/>
                <w:color w:val="333333"/>
                <w:kern w:val="0"/>
                <w:sz w:val="24"/>
                <w:szCs w:val="21"/>
              </w:rPr>
            </w:pPr>
          </w:p>
          <w:p w:rsidR="00FA087C" w:rsidRPr="00FA087C" w:rsidRDefault="00FA087C" w:rsidP="00FA087C">
            <w:pPr>
              <w:widowControl/>
              <w:spacing w:line="480" w:lineRule="atLeast"/>
              <w:jc w:val="center"/>
              <w:rPr>
                <w:rFonts w:ascii="宋体" w:eastAsia="仿宋_GB2312" w:hAnsi="宋体" w:cs="宋体"/>
                <w:b/>
                <w:color w:val="333333"/>
                <w:kern w:val="0"/>
                <w:sz w:val="24"/>
                <w:szCs w:val="21"/>
              </w:rPr>
            </w:pPr>
          </w:p>
          <w:p w:rsidR="00FA087C" w:rsidRPr="00FA087C" w:rsidRDefault="00FA087C" w:rsidP="00FA087C">
            <w:pPr>
              <w:widowControl/>
              <w:spacing w:line="480" w:lineRule="atLeast"/>
              <w:jc w:val="center"/>
              <w:rPr>
                <w:rFonts w:ascii="宋体" w:eastAsia="仿宋_GB2312" w:hAnsi="宋体" w:cs="宋体"/>
                <w:b/>
                <w:color w:val="333333"/>
                <w:kern w:val="0"/>
                <w:sz w:val="24"/>
                <w:szCs w:val="21"/>
              </w:rPr>
            </w:pPr>
          </w:p>
          <w:p w:rsidR="00FA087C" w:rsidRPr="00FA087C" w:rsidRDefault="00FA087C" w:rsidP="00FA087C">
            <w:pPr>
              <w:widowControl/>
              <w:spacing w:line="480" w:lineRule="atLeast"/>
              <w:jc w:val="center"/>
              <w:rPr>
                <w:rFonts w:ascii="宋体" w:eastAsia="仿宋_GB2312" w:hAnsi="宋体" w:cs="宋体"/>
                <w:b/>
                <w:color w:val="333333"/>
                <w:kern w:val="0"/>
                <w:sz w:val="24"/>
                <w:szCs w:val="21"/>
              </w:rPr>
            </w:pPr>
          </w:p>
          <w:p w:rsidR="00FA087C" w:rsidRPr="00FA087C" w:rsidRDefault="00FA087C" w:rsidP="00FA087C">
            <w:pPr>
              <w:widowControl/>
              <w:spacing w:line="480" w:lineRule="atLeast"/>
              <w:jc w:val="center"/>
              <w:rPr>
                <w:rFonts w:ascii="宋体" w:eastAsia="仿宋_GB2312" w:hAnsi="宋体" w:cs="宋体"/>
                <w:b/>
                <w:color w:val="333333"/>
                <w:kern w:val="0"/>
                <w:sz w:val="24"/>
                <w:szCs w:val="21"/>
              </w:rPr>
            </w:pPr>
          </w:p>
          <w:p w:rsidR="00FA087C" w:rsidRPr="00FA087C" w:rsidRDefault="00FA087C" w:rsidP="00FA087C">
            <w:pPr>
              <w:widowControl/>
              <w:spacing w:line="480" w:lineRule="atLeast"/>
              <w:jc w:val="center"/>
              <w:rPr>
                <w:rFonts w:ascii="宋体" w:eastAsia="仿宋_GB2312" w:hAnsi="宋体" w:cs="宋体"/>
                <w:b/>
                <w:color w:val="333333"/>
                <w:kern w:val="0"/>
                <w:sz w:val="24"/>
                <w:szCs w:val="21"/>
              </w:rPr>
            </w:pPr>
          </w:p>
          <w:p w:rsidR="00FA087C" w:rsidRPr="00FA087C" w:rsidRDefault="00FA087C" w:rsidP="00FA087C">
            <w:pPr>
              <w:widowControl/>
              <w:spacing w:line="480" w:lineRule="atLeast"/>
              <w:jc w:val="left"/>
              <w:rPr>
                <w:rFonts w:ascii="宋体" w:eastAsia="宋体" w:hAnsi="宋体" w:cs="宋体"/>
                <w:b/>
                <w:color w:val="333333"/>
                <w:kern w:val="0"/>
                <w:sz w:val="30"/>
                <w:szCs w:val="30"/>
              </w:rPr>
            </w:pPr>
          </w:p>
          <w:p w:rsidR="00FA087C" w:rsidRPr="00FA087C" w:rsidRDefault="00FA087C" w:rsidP="00FA087C">
            <w:pPr>
              <w:widowControl/>
              <w:spacing w:line="480" w:lineRule="atLeast"/>
              <w:jc w:val="left"/>
              <w:rPr>
                <w:rFonts w:ascii="黑体" w:eastAsia="黑体" w:hAnsi="宋体" w:cs="宋体"/>
                <w:b/>
                <w:color w:val="333333"/>
                <w:kern w:val="0"/>
                <w:sz w:val="28"/>
                <w:szCs w:val="28"/>
              </w:rPr>
            </w:pPr>
            <w:r w:rsidRPr="00FA087C">
              <w:rPr>
                <w:rFonts w:ascii="黑体" w:eastAsia="黑体" w:hAnsi="宋体" w:cs="宋体" w:hint="eastAsia"/>
                <w:b/>
                <w:color w:val="333333"/>
                <w:kern w:val="0"/>
                <w:sz w:val="28"/>
                <w:szCs w:val="28"/>
              </w:rPr>
              <w:t>附件三: 2011年度国有建设用地供应宗地表</w:t>
            </w:r>
          </w:p>
          <w:p w:rsidR="00FA087C" w:rsidRPr="00FA087C" w:rsidRDefault="00FA087C" w:rsidP="00FA087C">
            <w:pPr>
              <w:widowControl/>
              <w:spacing w:line="480" w:lineRule="atLeast"/>
              <w:jc w:val="center"/>
              <w:rPr>
                <w:rFonts w:ascii="黑体" w:eastAsia="黑体" w:hAnsi="宋体" w:cs="宋体"/>
                <w:b/>
                <w:color w:val="333333"/>
                <w:kern w:val="0"/>
                <w:sz w:val="28"/>
                <w:szCs w:val="28"/>
              </w:rPr>
            </w:pPr>
            <w:r w:rsidRPr="00FA087C">
              <w:rPr>
                <w:rFonts w:ascii="黑体" w:eastAsia="黑体" w:hAnsi="宋体" w:cs="宋体" w:hint="eastAsia"/>
                <w:b/>
                <w:color w:val="333333"/>
                <w:kern w:val="0"/>
                <w:sz w:val="28"/>
                <w:szCs w:val="28"/>
              </w:rPr>
              <w:t>黑河市2011年度国有建设用地供应宗地表</w:t>
            </w:r>
          </w:p>
          <w:p w:rsidR="00FA087C" w:rsidRPr="00FA087C" w:rsidRDefault="00FA087C" w:rsidP="00FA087C">
            <w:pPr>
              <w:widowControl/>
              <w:spacing w:line="480" w:lineRule="atLeast"/>
              <w:jc w:val="right"/>
              <w:rPr>
                <w:rFonts w:ascii="黑体" w:eastAsia="黑体" w:hAnsi="宋体" w:cs="宋体"/>
                <w:color w:val="333333"/>
                <w:kern w:val="0"/>
                <w:sz w:val="24"/>
                <w:szCs w:val="21"/>
              </w:rPr>
            </w:pPr>
            <w:r w:rsidRPr="00FA087C">
              <w:rPr>
                <w:rFonts w:ascii="黑体" w:eastAsia="黑体" w:hAnsi="宋体" w:cs="宋体" w:hint="eastAsia"/>
                <w:color w:val="333333"/>
                <w:kern w:val="0"/>
                <w:sz w:val="24"/>
                <w:szCs w:val="21"/>
              </w:rPr>
              <w:t>单位：平方米</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5"/>
              <w:gridCol w:w="800"/>
              <w:gridCol w:w="2557"/>
              <w:gridCol w:w="1144"/>
              <w:gridCol w:w="1071"/>
              <w:gridCol w:w="642"/>
              <w:gridCol w:w="800"/>
              <w:gridCol w:w="874"/>
            </w:tblGrid>
            <w:tr w:rsidR="00FA087C" w:rsidRPr="00FA087C" w:rsidTr="00FA087C">
              <w:trPr>
                <w:trHeight w:val="692"/>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序号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宗地位置</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项目名称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宗地面积</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宗地用途</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供地方</w:t>
                  </w:r>
                  <w:r w:rsidRPr="00FA087C">
                    <w:rPr>
                      <w:rFonts w:ascii="宋体" w:eastAsia="宋体" w:hAnsi="宋体" w:cs="宋体" w:hint="eastAsia"/>
                      <w:color w:val="333333"/>
                      <w:kern w:val="0"/>
                      <w:sz w:val="24"/>
                      <w:szCs w:val="24"/>
                    </w:rPr>
                    <w:lastRenderedPageBreak/>
                    <w:t>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供地时间</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备注</w:t>
                  </w:r>
                </w:p>
              </w:tc>
            </w:tr>
            <w:tr w:rsidR="00FA087C" w:rsidRPr="00FA087C" w:rsidTr="00FA087C">
              <w:trPr>
                <w:trHeight w:val="93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瑷珲对俄进出口加工基地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130000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80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瑷珲对俄进出口加工基地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192600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823"/>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瑷珲对俄进出口加工基地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24500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92"/>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瑷珲对俄进出口加工基地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35000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598"/>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瑷珲对俄进出口加工基地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55000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598"/>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瑷珲对俄进出口加工基地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75000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598"/>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瑷珲对俄进出口加工基地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302500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598"/>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工业园区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合作区</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50000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598"/>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工业</w:t>
                  </w:r>
                  <w:r w:rsidRPr="00FA087C">
                    <w:rPr>
                      <w:rFonts w:ascii="宋体" w:eastAsia="宋体" w:hAnsi="宋体" w:cs="宋体" w:hint="eastAsia"/>
                      <w:color w:val="333333"/>
                      <w:kern w:val="0"/>
                      <w:sz w:val="24"/>
                      <w:szCs w:val="24"/>
                    </w:rPr>
                    <w:lastRenderedPageBreak/>
                    <w:t>园区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合作区</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100000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w:t>
                  </w:r>
                  <w:r w:rsidRPr="00FA087C">
                    <w:rPr>
                      <w:rFonts w:ascii="宋体" w:eastAsia="宋体" w:hAnsi="宋体" w:cs="宋体" w:hint="eastAsia"/>
                      <w:color w:val="333333"/>
                      <w:kern w:val="0"/>
                      <w:sz w:val="24"/>
                      <w:szCs w:val="24"/>
                    </w:rPr>
                    <w:lastRenderedPageBreak/>
                    <w:t>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划</w:t>
                  </w:r>
                  <w:r w:rsidRPr="00FA087C">
                    <w:rPr>
                      <w:rFonts w:ascii="宋体" w:eastAsia="宋体" w:hAnsi="宋体" w:cs="宋体" w:hint="eastAsia"/>
                      <w:color w:val="333333"/>
                      <w:kern w:val="0"/>
                      <w:sz w:val="24"/>
                      <w:szCs w:val="24"/>
                    </w:rPr>
                    <w:lastRenderedPageBreak/>
                    <w:t>拨</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工业园区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合作区</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20000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工业园区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合作区</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20000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工业园区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合作区</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350000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工矿仓储</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黑河市龙江路东侧、站前二道街南侧A地块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56705</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黑河市龙江路东侧、站前二道街南侧B地块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16128</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黑河市龙江路东侧、站前二道街南侧c地块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13851</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黑河市龙江路东侧、站前二道街南侧D地块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11902</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624"/>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黑河市开发路西侧、电业街北侧A地块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50012</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黑河市龙江路东侧、站前二道街北侧B地块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7724</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黑河市开发路西侧、站前二道街北侧A地块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29095</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w:t>
                  </w:r>
                  <w:r w:rsidRPr="00FA087C">
                    <w:rPr>
                      <w:rFonts w:ascii="宋体" w:eastAsia="宋体" w:hAnsi="宋体" w:cs="宋体" w:hint="eastAsia"/>
                      <w:color w:val="333333"/>
                      <w:kern w:val="0"/>
                      <w:sz w:val="24"/>
                      <w:szCs w:val="24"/>
                    </w:rPr>
                    <w:lastRenderedPageBreak/>
                    <w:t>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黑河市龙江路东侧、电</w:t>
                  </w:r>
                  <w:r w:rsidRPr="00FA087C">
                    <w:rPr>
                      <w:rFonts w:ascii="宋体" w:eastAsia="宋体" w:hAnsi="宋体" w:cs="宋体" w:hint="eastAsia"/>
                      <w:color w:val="333333"/>
                      <w:kern w:val="0"/>
                      <w:sz w:val="24"/>
                      <w:szCs w:val="24"/>
                    </w:rPr>
                    <w:lastRenderedPageBreak/>
                    <w:t>业街北侧A地块。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20764</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w:t>
                  </w:r>
                  <w:r w:rsidRPr="00FA087C">
                    <w:rPr>
                      <w:rFonts w:ascii="宋体" w:eastAsia="宋体" w:hAnsi="宋体" w:cs="宋体" w:hint="eastAsia"/>
                      <w:color w:val="333333"/>
                      <w:kern w:val="0"/>
                      <w:sz w:val="24"/>
                      <w:szCs w:val="24"/>
                    </w:rPr>
                    <w:lastRenderedPageBreak/>
                    <w:t>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黑河市202国道北侧、龙江路西侧A地块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19372</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黑河市西兴路南侧、老通江街西侧A地块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10059</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黑河市环城路南侧、铁路街东侧A地块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6831</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黑河市铁路局职工住宅地块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35360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开发路东侧、长发大街北侧A地块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9729</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黑河市开发路东侧、长发大街北侧B地块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29048</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黑河市开发路东侧、长发大街北侧C地块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8375</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黑河市龙滨路地区（B）地块3#、6#楼</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10513</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黑河市西兴路南侧B地块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19795</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徐金春等17户农民泥草房改造工程</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4250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黑河市水产局地块2</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523</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住宅用地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黑河市202国道北侧、龙江路西侧A地块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6510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公共管理与公共服务</w:t>
                  </w:r>
                  <w:r w:rsidRPr="00FA087C">
                    <w:rPr>
                      <w:rFonts w:ascii="宋体" w:eastAsia="宋体" w:hAnsi="宋体" w:cs="宋体" w:hint="eastAsia"/>
                      <w:color w:val="333333"/>
                      <w:kern w:val="0"/>
                      <w:sz w:val="24"/>
                      <w:szCs w:val="24"/>
                    </w:rPr>
                    <w:lastRenderedPageBreak/>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划拨</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黑河市飞机扑火基地指挥平台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12032</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特殊用地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黑河市消防支队三中队营房</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4392</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特殊用地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划拨</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瑷珲区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黑河市环卫处西侧A地块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交通运输</w:t>
                  </w: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开发路东侧、长发大街北侧D地块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56760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商住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开发路东侧、长发大街北侧E地块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3126</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商住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开发路东侧、长发大街北侧F地块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3126</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商住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FF0000"/>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黑河市公安局经济合作区分局业务用房地块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公共管理与公共服务用地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划拨</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FF0000"/>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黑河日报社综合楼用地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5100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公共管理与公共服务用地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划拨</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FF0000"/>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黑河市爱辉区地方税务局服务综合楼</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10000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公共管理与公共服务用地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划拨</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FF0000"/>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lastRenderedPageBreak/>
                    <w:t>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黑河市第五小学西侧地块</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1964</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商住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出让</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FF0000"/>
                      <w:kern w:val="0"/>
                      <w:sz w:val="24"/>
                      <w:szCs w:val="24"/>
                    </w:rPr>
                  </w:pPr>
                </w:p>
              </w:tc>
            </w:tr>
            <w:tr w:rsidR="00FA087C" w:rsidRPr="00FA087C" w:rsidTr="00FA087C">
              <w:trPr>
                <w:trHeight w:val="78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黑河市公安交通警察支队业务用房用地</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7780</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公共管理与公共服务用地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划拨</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4"/>
                    </w:rP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FF0000"/>
                      <w:kern w:val="0"/>
                      <w:sz w:val="24"/>
                      <w:szCs w:val="24"/>
                    </w:rPr>
                  </w:pPr>
                </w:p>
              </w:tc>
            </w:tr>
          </w:tbl>
          <w:p w:rsidR="00FA087C" w:rsidRPr="00FA087C" w:rsidRDefault="00FA087C" w:rsidP="00FA087C">
            <w:pPr>
              <w:widowControl/>
              <w:spacing w:line="480" w:lineRule="atLeast"/>
              <w:jc w:val="left"/>
              <w:rPr>
                <w:rFonts w:ascii="宋体" w:eastAsia="宋体" w:hAnsi="宋体" w:cs="宋体"/>
                <w:b/>
                <w:color w:val="333333"/>
                <w:kern w:val="0"/>
                <w:sz w:val="30"/>
                <w:szCs w:val="30"/>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Times New Roman"/>
                <w:color w:val="333333"/>
                <w:sz w:val="24"/>
                <w:szCs w:val="24"/>
              </w:rPr>
              <w:sectPr w:rsidR="00FA087C" w:rsidRPr="00FA087C">
                <w:pgSz w:w="12240" w:h="15840"/>
                <w:pgMar w:top="1440" w:right="1800" w:bottom="1440" w:left="1800" w:header="720" w:footer="720" w:gutter="0"/>
                <w:cols w:space="720"/>
              </w:sectPr>
            </w:pPr>
          </w:p>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color w:val="333333"/>
                <w:kern w:val="0"/>
                <w:sz w:val="24"/>
                <w:szCs w:val="24"/>
              </w:rPr>
              <w:t> </w:t>
            </w: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b/>
                <w:color w:val="333333"/>
                <w:kern w:val="0"/>
                <w:sz w:val="48"/>
                <w:szCs w:val="48"/>
              </w:rPr>
            </w:pPr>
            <w:r w:rsidRPr="00FA087C">
              <w:rPr>
                <w:rFonts w:ascii="宋体" w:eastAsia="宋体" w:hAnsi="宋体" w:cs="宋体" w:hint="eastAsia"/>
                <w:b/>
                <w:color w:val="333333"/>
                <w:kern w:val="0"/>
                <w:sz w:val="48"/>
                <w:szCs w:val="48"/>
              </w:rPr>
              <w:t>第二部分</w:t>
            </w: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宋体"/>
                <w:b/>
                <w:color w:val="333333"/>
                <w:kern w:val="0"/>
                <w:sz w:val="48"/>
                <w:szCs w:val="48"/>
              </w:rPr>
            </w:pPr>
            <w:r w:rsidRPr="00FA087C">
              <w:rPr>
                <w:rFonts w:ascii="宋体" w:eastAsia="宋体" w:hAnsi="宋体" w:cs="宋体" w:hint="eastAsia"/>
                <w:b/>
                <w:color w:val="333333"/>
                <w:kern w:val="0"/>
                <w:sz w:val="48"/>
                <w:szCs w:val="48"/>
              </w:rPr>
              <w:t>黑河市2011年度土地供应计划</w:t>
            </w:r>
          </w:p>
          <w:p w:rsidR="00FA087C" w:rsidRPr="00FA087C" w:rsidRDefault="00FA087C" w:rsidP="00FA087C">
            <w:pPr>
              <w:widowControl/>
              <w:spacing w:line="360" w:lineRule="auto"/>
              <w:jc w:val="center"/>
              <w:rPr>
                <w:rFonts w:ascii="宋体" w:eastAsia="宋体" w:hAnsi="宋体" w:cs="宋体"/>
                <w:b/>
                <w:color w:val="333333"/>
                <w:kern w:val="0"/>
                <w:sz w:val="48"/>
                <w:szCs w:val="48"/>
              </w:rPr>
            </w:pPr>
            <w:r w:rsidRPr="00FA087C">
              <w:rPr>
                <w:rFonts w:ascii="宋体" w:eastAsia="宋体" w:hAnsi="宋体" w:cs="宋体" w:hint="eastAsia"/>
                <w:b/>
                <w:color w:val="333333"/>
                <w:kern w:val="0"/>
                <w:sz w:val="48"/>
                <w:szCs w:val="48"/>
              </w:rPr>
              <w:t>编制说明</w:t>
            </w:r>
          </w:p>
          <w:p w:rsidR="00FA087C" w:rsidRPr="00FA087C" w:rsidRDefault="00FA087C" w:rsidP="00FA087C">
            <w:pPr>
              <w:widowControl/>
              <w:spacing w:line="360" w:lineRule="auto"/>
              <w:jc w:val="center"/>
              <w:rPr>
                <w:rFonts w:ascii="宋体" w:eastAsia="宋体" w:hAnsi="宋体" w:cs="宋体"/>
                <w:b/>
                <w:color w:val="333333"/>
                <w:kern w:val="0"/>
                <w:sz w:val="48"/>
                <w:szCs w:val="48"/>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Times New Roman"/>
                <w:color w:val="333333"/>
                <w:sz w:val="24"/>
                <w:szCs w:val="24"/>
              </w:rPr>
              <w:sectPr w:rsidR="00FA087C" w:rsidRPr="00FA087C">
                <w:pgSz w:w="12240" w:h="15840"/>
                <w:pgMar w:top="1440" w:right="1800" w:bottom="1440" w:left="1800" w:header="720" w:footer="720" w:gutter="0"/>
                <w:cols w:space="720"/>
              </w:sectPr>
            </w:pPr>
          </w:p>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color w:val="333333"/>
                <w:kern w:val="0"/>
                <w:sz w:val="24"/>
                <w:szCs w:val="24"/>
              </w:rPr>
              <w:t> </w:t>
            </w:r>
          </w:p>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目　录</w:t>
            </w:r>
          </w:p>
          <w:p w:rsidR="00FA087C" w:rsidRPr="00FA087C" w:rsidRDefault="00FA087C" w:rsidP="00FA087C">
            <w:pPr>
              <w:widowControl/>
              <w:spacing w:line="480" w:lineRule="atLeast"/>
              <w:ind w:left="420"/>
              <w:jc w:val="left"/>
              <w:rPr>
                <w:rFonts w:ascii="Calibri" w:eastAsia="宋体" w:hAnsi="Calibri" w:cs="宋体"/>
                <w:color w:val="333333"/>
                <w:kern w:val="0"/>
                <w:sz w:val="28"/>
              </w:rPr>
            </w:pPr>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6" w:anchor="_Toc288721572" w:history="1">
              <w:r w:rsidR="00FA087C" w:rsidRPr="00FA087C">
                <w:rPr>
                  <w:rFonts w:ascii="宋体" w:eastAsia="宋体" w:hAnsi="宋体" w:cs="宋体" w:hint="eastAsia"/>
                  <w:noProof/>
                  <w:color w:val="333333"/>
                  <w:kern w:val="0"/>
                  <w:sz w:val="28"/>
                </w:rPr>
                <w:t>一  引　言</w:t>
              </w:r>
              <w:r w:rsidR="00FA087C" w:rsidRPr="00FA087C">
                <w:rPr>
                  <w:rFonts w:ascii="ˎ̥" w:eastAsia="宋体" w:hAnsi="ˎ̥" w:cs="宋体"/>
                  <w:noProof/>
                  <w:webHidden/>
                  <w:kern w:val="0"/>
                  <w:sz w:val="28"/>
                </w:rPr>
                <w:tab/>
                <w:t>1</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7" w:anchor="_Toc288721573" w:history="1">
              <w:r w:rsidR="00FA087C" w:rsidRPr="00FA087C">
                <w:rPr>
                  <w:rFonts w:ascii="宋体" w:eastAsia="宋体" w:hAnsi="宋体" w:cs="宋体"/>
                  <w:color w:val="333333"/>
                  <w:kern w:val="0"/>
                  <w:sz w:val="28"/>
                </w:rPr>
                <w:t>(一)黑河市2011年度土地供应计划编制宏观经济政策背景分析</w:t>
              </w:r>
              <w:r w:rsidR="00FA087C" w:rsidRPr="00FA087C">
                <w:rPr>
                  <w:rFonts w:ascii="宋体" w:eastAsia="宋体" w:hAnsi="宋体" w:cs="宋体"/>
                  <w:webHidden/>
                  <w:kern w:val="0"/>
                  <w:sz w:val="28"/>
                </w:rPr>
                <w:tab/>
                <w:t>1</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8" w:anchor="_Toc288721574" w:history="1">
              <w:r w:rsidR="00FA087C" w:rsidRPr="00FA087C">
                <w:rPr>
                  <w:rFonts w:ascii="宋体" w:eastAsia="宋体" w:hAnsi="宋体" w:cs="宋体"/>
                  <w:color w:val="333333"/>
                  <w:kern w:val="0"/>
                  <w:sz w:val="28"/>
                </w:rPr>
                <w:t>(二)黑河市历年土地供应计划及编制原则</w:t>
              </w:r>
              <w:r w:rsidR="00FA087C" w:rsidRPr="00FA087C">
                <w:rPr>
                  <w:rFonts w:ascii="宋体" w:eastAsia="宋体" w:hAnsi="宋体" w:cs="宋体"/>
                  <w:webHidden/>
                  <w:kern w:val="0"/>
                  <w:sz w:val="28"/>
                </w:rPr>
                <w:tab/>
                <w:t>1</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9" w:anchor="_Toc288721575" w:history="1">
              <w:r w:rsidR="00FA087C" w:rsidRPr="00FA087C">
                <w:rPr>
                  <w:rFonts w:ascii="宋体" w:eastAsia="宋体" w:hAnsi="宋体" w:cs="宋体" w:hint="eastAsia"/>
                  <w:noProof/>
                  <w:color w:val="333333"/>
                  <w:kern w:val="0"/>
                  <w:sz w:val="28"/>
                </w:rPr>
                <w:t>1.以前年度土地供应计划编制和实施情况</w:t>
              </w:r>
              <w:r w:rsidR="00FA087C" w:rsidRPr="00FA087C">
                <w:rPr>
                  <w:rFonts w:ascii="ˎ̥" w:eastAsia="宋体" w:hAnsi="ˎ̥" w:cs="宋体"/>
                  <w:noProof/>
                  <w:webHidden/>
                  <w:kern w:val="0"/>
                  <w:sz w:val="28"/>
                </w:rPr>
                <w:tab/>
                <w:t>1</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10" w:anchor="_Toc288721576" w:history="1">
              <w:r w:rsidR="00FA087C" w:rsidRPr="00FA087C">
                <w:rPr>
                  <w:rFonts w:ascii="宋体" w:eastAsia="宋体" w:hAnsi="宋体" w:cs="宋体" w:hint="eastAsia"/>
                  <w:noProof/>
                  <w:color w:val="333333"/>
                  <w:kern w:val="0"/>
                  <w:sz w:val="28"/>
                </w:rPr>
                <w:t>2.确立2011年土地供应计划编制的指导思想</w:t>
              </w:r>
              <w:r w:rsidR="00FA087C" w:rsidRPr="00FA087C">
                <w:rPr>
                  <w:rFonts w:ascii="ˎ̥" w:eastAsia="宋体" w:hAnsi="ˎ̥" w:cs="宋体"/>
                  <w:noProof/>
                  <w:webHidden/>
                  <w:kern w:val="0"/>
                  <w:sz w:val="28"/>
                </w:rPr>
                <w:tab/>
                <w:t>2</w:t>
              </w:r>
            </w:hyperlink>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11" w:anchor="_Toc288721577" w:history="1">
              <w:r w:rsidR="00FA087C" w:rsidRPr="00FA087C">
                <w:rPr>
                  <w:rFonts w:ascii="宋体" w:eastAsia="宋体" w:hAnsi="宋体" w:cs="宋体" w:hint="eastAsia"/>
                  <w:noProof/>
                  <w:color w:val="333333"/>
                  <w:kern w:val="0"/>
                  <w:sz w:val="28"/>
                </w:rPr>
                <w:t>二  总则</w:t>
              </w:r>
              <w:r w:rsidR="00FA087C" w:rsidRPr="00FA087C">
                <w:rPr>
                  <w:rFonts w:ascii="ˎ̥" w:eastAsia="宋体" w:hAnsi="ˎ̥" w:cs="宋体"/>
                  <w:noProof/>
                  <w:webHidden/>
                  <w:kern w:val="0"/>
                  <w:sz w:val="28"/>
                </w:rPr>
                <w:tab/>
                <w:t>3</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12" w:anchor="_Toc288721578" w:history="1">
              <w:r w:rsidR="00FA087C" w:rsidRPr="00FA087C">
                <w:rPr>
                  <w:rFonts w:ascii="宋体" w:eastAsia="宋体" w:hAnsi="宋体" w:cs="宋体"/>
                  <w:color w:val="333333"/>
                  <w:kern w:val="0"/>
                  <w:sz w:val="28"/>
                </w:rPr>
                <w:t>(一)概念界定</w:t>
              </w:r>
              <w:r w:rsidR="00FA087C" w:rsidRPr="00FA087C">
                <w:rPr>
                  <w:rFonts w:ascii="宋体" w:eastAsia="宋体" w:hAnsi="宋体" w:cs="宋体"/>
                  <w:webHidden/>
                  <w:kern w:val="0"/>
                  <w:sz w:val="28"/>
                </w:rPr>
                <w:tab/>
                <w:t>3</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13" w:anchor="_Toc288721579" w:history="1">
              <w:r w:rsidR="00FA087C" w:rsidRPr="00FA087C">
                <w:rPr>
                  <w:rFonts w:ascii="宋体" w:eastAsia="宋体" w:hAnsi="宋体" w:cs="宋体"/>
                  <w:color w:val="333333"/>
                  <w:kern w:val="0"/>
                  <w:sz w:val="28"/>
                </w:rPr>
                <w:t>(二)土地供应计划编制的涵盖范围和用地分类体系</w:t>
              </w:r>
              <w:r w:rsidR="00FA087C" w:rsidRPr="00FA087C">
                <w:rPr>
                  <w:rFonts w:ascii="宋体" w:eastAsia="宋体" w:hAnsi="宋体" w:cs="宋体"/>
                  <w:webHidden/>
                  <w:kern w:val="0"/>
                  <w:sz w:val="28"/>
                </w:rPr>
                <w:tab/>
                <w:t>3</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14" w:anchor="_Toc288721580" w:history="1">
              <w:r w:rsidR="00FA087C" w:rsidRPr="00FA087C">
                <w:rPr>
                  <w:rFonts w:ascii="宋体" w:eastAsia="宋体" w:hAnsi="宋体" w:cs="宋体"/>
                  <w:color w:val="333333"/>
                  <w:kern w:val="0"/>
                  <w:sz w:val="28"/>
                </w:rPr>
                <w:t>(三)2011年土地供应计划遵循原则</w:t>
              </w:r>
              <w:r w:rsidR="00FA087C" w:rsidRPr="00FA087C">
                <w:rPr>
                  <w:rFonts w:ascii="宋体" w:eastAsia="宋体" w:hAnsi="宋体" w:cs="宋体"/>
                  <w:webHidden/>
                  <w:kern w:val="0"/>
                  <w:sz w:val="28"/>
                </w:rPr>
                <w:tab/>
                <w:t>3</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15" w:anchor="_Toc288721581" w:history="1">
              <w:r w:rsidR="00FA087C" w:rsidRPr="00FA087C">
                <w:rPr>
                  <w:rFonts w:ascii="宋体" w:eastAsia="宋体" w:hAnsi="宋体" w:cs="宋体"/>
                  <w:color w:val="333333"/>
                  <w:kern w:val="0"/>
                  <w:sz w:val="28"/>
                </w:rPr>
                <w:t>(四)编制目标</w:t>
              </w:r>
              <w:r w:rsidR="00FA087C" w:rsidRPr="00FA087C">
                <w:rPr>
                  <w:rFonts w:ascii="宋体" w:eastAsia="宋体" w:hAnsi="宋体" w:cs="宋体"/>
                  <w:webHidden/>
                  <w:kern w:val="0"/>
                  <w:sz w:val="28"/>
                </w:rPr>
                <w:tab/>
                <w:t>4</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16" w:anchor="_Toc288721582" w:history="1">
              <w:r w:rsidR="00FA087C" w:rsidRPr="00FA087C">
                <w:rPr>
                  <w:rFonts w:ascii="宋体" w:eastAsia="宋体" w:hAnsi="宋体" w:cs="宋体"/>
                  <w:color w:val="333333"/>
                  <w:kern w:val="0"/>
                  <w:sz w:val="28"/>
                </w:rPr>
                <w:t>(五)编制依据</w:t>
              </w:r>
              <w:r w:rsidR="00FA087C" w:rsidRPr="00FA087C">
                <w:rPr>
                  <w:rFonts w:ascii="宋体" w:eastAsia="宋体" w:hAnsi="宋体" w:cs="宋体"/>
                  <w:webHidden/>
                  <w:kern w:val="0"/>
                  <w:sz w:val="28"/>
                </w:rPr>
                <w:tab/>
                <w:t>4</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17" w:anchor="_Toc288721583" w:history="1">
              <w:r w:rsidR="00FA087C" w:rsidRPr="00FA087C">
                <w:rPr>
                  <w:rFonts w:ascii="宋体" w:eastAsia="宋体" w:hAnsi="宋体" w:cs="宋体"/>
                  <w:color w:val="333333"/>
                  <w:kern w:val="0"/>
                  <w:sz w:val="28"/>
                </w:rPr>
                <w:t>(六)编制总体思路</w:t>
              </w:r>
              <w:r w:rsidR="00FA087C" w:rsidRPr="00FA087C">
                <w:rPr>
                  <w:rFonts w:ascii="宋体" w:eastAsia="宋体" w:hAnsi="宋体" w:cs="宋体"/>
                  <w:webHidden/>
                  <w:kern w:val="0"/>
                  <w:sz w:val="28"/>
                </w:rPr>
                <w:tab/>
                <w:t>6</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18" w:anchor="_Toc288721584" w:history="1">
              <w:r w:rsidR="00FA087C" w:rsidRPr="00FA087C">
                <w:rPr>
                  <w:rFonts w:ascii="宋体" w:eastAsia="宋体" w:hAnsi="宋体" w:cs="宋体" w:hint="eastAsia"/>
                  <w:noProof/>
                  <w:color w:val="333333"/>
                  <w:kern w:val="0"/>
                  <w:sz w:val="28"/>
                </w:rPr>
                <w:t>1.初步确定编制计划流程</w:t>
              </w:r>
              <w:r w:rsidR="00FA087C" w:rsidRPr="00FA087C">
                <w:rPr>
                  <w:rFonts w:ascii="ˎ̥" w:eastAsia="宋体" w:hAnsi="ˎ̥" w:cs="宋体"/>
                  <w:noProof/>
                  <w:webHidden/>
                  <w:kern w:val="0"/>
                  <w:sz w:val="28"/>
                </w:rPr>
                <w:tab/>
                <w:t>6</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19" w:anchor="_Toc288721585" w:history="1">
              <w:r w:rsidR="00FA087C" w:rsidRPr="00FA087C">
                <w:rPr>
                  <w:rFonts w:ascii="宋体" w:eastAsia="宋体" w:hAnsi="宋体" w:cs="宋体" w:hint="eastAsia"/>
                  <w:noProof/>
                  <w:color w:val="333333"/>
                  <w:kern w:val="0"/>
                  <w:sz w:val="28"/>
                </w:rPr>
                <w:t>2.确定土地供应计划的技术路线</w:t>
              </w:r>
              <w:r w:rsidR="00FA087C" w:rsidRPr="00FA087C">
                <w:rPr>
                  <w:rFonts w:ascii="ˎ̥" w:eastAsia="宋体" w:hAnsi="ˎ̥" w:cs="宋体"/>
                  <w:noProof/>
                  <w:webHidden/>
                  <w:kern w:val="0"/>
                  <w:sz w:val="28"/>
                </w:rPr>
                <w:tab/>
                <w:t>6</w:t>
              </w:r>
            </w:hyperlink>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20" w:anchor="_Toc288721586" w:history="1">
              <w:r w:rsidR="00FA087C" w:rsidRPr="00FA087C">
                <w:rPr>
                  <w:rFonts w:ascii="宋体" w:eastAsia="宋体" w:hAnsi="宋体" w:cs="宋体" w:hint="eastAsia"/>
                  <w:noProof/>
                  <w:color w:val="333333"/>
                  <w:kern w:val="0"/>
                  <w:sz w:val="28"/>
                </w:rPr>
                <w:t>三  黑河市土地供应现状和近期土地供应政策</w:t>
              </w:r>
              <w:r w:rsidR="00FA087C" w:rsidRPr="00FA087C">
                <w:rPr>
                  <w:rFonts w:ascii="ˎ̥" w:eastAsia="宋体" w:hAnsi="ˎ̥" w:cs="宋体"/>
                  <w:noProof/>
                  <w:webHidden/>
                  <w:kern w:val="0"/>
                  <w:sz w:val="28"/>
                </w:rPr>
                <w:tab/>
                <w:t>7</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21" w:anchor="_Toc288721587" w:history="1">
              <w:r w:rsidR="00FA087C" w:rsidRPr="00FA087C">
                <w:rPr>
                  <w:rFonts w:ascii="宋体" w:eastAsia="宋体" w:hAnsi="宋体" w:cs="宋体"/>
                  <w:color w:val="333333"/>
                  <w:kern w:val="0"/>
                  <w:sz w:val="28"/>
                </w:rPr>
                <w:t>(一)黑河市近几年土地供应分析</w:t>
              </w:r>
              <w:r w:rsidR="00FA087C" w:rsidRPr="00FA087C">
                <w:rPr>
                  <w:rFonts w:ascii="宋体" w:eastAsia="宋体" w:hAnsi="宋体" w:cs="宋体"/>
                  <w:webHidden/>
                  <w:kern w:val="0"/>
                  <w:sz w:val="28"/>
                </w:rPr>
                <w:tab/>
                <w:t>7</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22" w:anchor="_Toc288721588" w:history="1">
              <w:r w:rsidR="00FA087C" w:rsidRPr="00FA087C">
                <w:rPr>
                  <w:rFonts w:ascii="宋体" w:eastAsia="宋体" w:hAnsi="宋体" w:cs="宋体" w:hint="eastAsia"/>
                  <w:noProof/>
                  <w:color w:val="333333"/>
                  <w:kern w:val="0"/>
                  <w:sz w:val="28"/>
                </w:rPr>
                <w:t>1.2007-2010年土地供应总量分析</w:t>
              </w:r>
              <w:r w:rsidR="00FA087C" w:rsidRPr="00FA087C">
                <w:rPr>
                  <w:rFonts w:ascii="ˎ̥" w:eastAsia="宋体" w:hAnsi="ˎ̥" w:cs="宋体"/>
                  <w:noProof/>
                  <w:webHidden/>
                  <w:kern w:val="0"/>
                  <w:sz w:val="28"/>
                </w:rPr>
                <w:tab/>
                <w:t>7</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23" w:anchor="_Toc288721589" w:history="1">
              <w:r w:rsidR="00FA087C" w:rsidRPr="00FA087C">
                <w:rPr>
                  <w:rFonts w:ascii="宋体" w:eastAsia="宋体" w:hAnsi="宋体" w:cs="宋体" w:hint="eastAsia"/>
                  <w:noProof/>
                  <w:color w:val="333333"/>
                  <w:kern w:val="0"/>
                  <w:sz w:val="28"/>
                </w:rPr>
                <w:t>2.2007-2010年有偿土地供应量分析</w:t>
              </w:r>
              <w:r w:rsidR="00FA087C" w:rsidRPr="00FA087C">
                <w:rPr>
                  <w:rFonts w:ascii="ˎ̥" w:eastAsia="宋体" w:hAnsi="ˎ̥" w:cs="宋体"/>
                  <w:noProof/>
                  <w:webHidden/>
                  <w:kern w:val="0"/>
                  <w:sz w:val="28"/>
                </w:rPr>
                <w:tab/>
                <w:t>8</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24" w:anchor="_Toc288721590" w:history="1">
              <w:r w:rsidR="00FA087C" w:rsidRPr="00FA087C">
                <w:rPr>
                  <w:rFonts w:ascii="宋体" w:eastAsia="宋体" w:hAnsi="宋体" w:cs="宋体" w:hint="eastAsia"/>
                  <w:noProof/>
                  <w:color w:val="333333"/>
                  <w:kern w:val="0"/>
                  <w:sz w:val="28"/>
                </w:rPr>
                <w:t>3.2007-2010年划拨土地供应分析</w:t>
              </w:r>
              <w:r w:rsidR="00FA087C" w:rsidRPr="00FA087C">
                <w:rPr>
                  <w:rFonts w:ascii="ˎ̥" w:eastAsia="宋体" w:hAnsi="ˎ̥" w:cs="宋体"/>
                  <w:noProof/>
                  <w:webHidden/>
                  <w:kern w:val="0"/>
                  <w:sz w:val="28"/>
                </w:rPr>
                <w:tab/>
                <w:t>11</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25" w:anchor="_Toc288721591" w:history="1">
              <w:r w:rsidR="00FA087C" w:rsidRPr="00FA087C">
                <w:rPr>
                  <w:rFonts w:ascii="宋体" w:eastAsia="宋体" w:hAnsi="宋体" w:cs="宋体" w:hint="eastAsia"/>
                  <w:noProof/>
                  <w:color w:val="333333"/>
                  <w:kern w:val="0"/>
                  <w:sz w:val="28"/>
                </w:rPr>
                <w:t>4.黑河市土地供应存在的问题</w:t>
              </w:r>
              <w:r w:rsidR="00FA087C" w:rsidRPr="00FA087C">
                <w:rPr>
                  <w:rFonts w:ascii="ˎ̥" w:eastAsia="宋体" w:hAnsi="ˎ̥" w:cs="宋体"/>
                  <w:noProof/>
                  <w:webHidden/>
                  <w:kern w:val="0"/>
                  <w:sz w:val="28"/>
                </w:rPr>
                <w:tab/>
                <w:t>12</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26" w:anchor="_Toc288721592" w:history="1">
              <w:r w:rsidR="00FA087C" w:rsidRPr="00FA087C">
                <w:rPr>
                  <w:rFonts w:ascii="宋体" w:eastAsia="宋体" w:hAnsi="宋体" w:cs="宋体"/>
                  <w:color w:val="333333"/>
                  <w:kern w:val="0"/>
                  <w:sz w:val="28"/>
                </w:rPr>
                <w:t>(二)近期土地供应政策的趋向</w:t>
              </w:r>
              <w:r w:rsidR="00FA087C" w:rsidRPr="00FA087C">
                <w:rPr>
                  <w:rFonts w:ascii="宋体" w:eastAsia="宋体" w:hAnsi="宋体" w:cs="宋体"/>
                  <w:webHidden/>
                  <w:kern w:val="0"/>
                  <w:sz w:val="28"/>
                </w:rPr>
                <w:tab/>
                <w:t>13</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27" w:anchor="_Toc288721593" w:history="1">
              <w:r w:rsidR="00FA087C" w:rsidRPr="00FA087C">
                <w:rPr>
                  <w:rFonts w:ascii="宋体" w:eastAsia="宋体" w:hAnsi="宋体" w:cs="宋体" w:hint="eastAsia"/>
                  <w:noProof/>
                  <w:color w:val="333333"/>
                  <w:kern w:val="0"/>
                  <w:sz w:val="28"/>
                </w:rPr>
                <w:t>1.针对不同的土地利用方向，制定不同的土地供应政策</w:t>
              </w:r>
              <w:r w:rsidR="00FA087C" w:rsidRPr="00FA087C">
                <w:rPr>
                  <w:rFonts w:ascii="ˎ̥" w:eastAsia="宋体" w:hAnsi="ˎ̥" w:cs="宋体"/>
                  <w:noProof/>
                  <w:webHidden/>
                  <w:kern w:val="0"/>
                  <w:sz w:val="28"/>
                </w:rPr>
                <w:tab/>
                <w:t>13</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28" w:anchor="_Toc288721594" w:history="1">
              <w:r w:rsidR="00FA087C" w:rsidRPr="00FA087C">
                <w:rPr>
                  <w:rFonts w:ascii="宋体" w:eastAsia="宋体" w:hAnsi="宋体" w:cs="宋体" w:hint="eastAsia"/>
                  <w:noProof/>
                  <w:color w:val="333333"/>
                  <w:kern w:val="0"/>
                  <w:sz w:val="28"/>
                </w:rPr>
                <w:t>2.优先供应存量土地，其次考虑增量土地供给</w:t>
              </w:r>
              <w:r w:rsidR="00FA087C" w:rsidRPr="00FA087C">
                <w:rPr>
                  <w:rFonts w:ascii="ˎ̥" w:eastAsia="宋体" w:hAnsi="ˎ̥" w:cs="宋体"/>
                  <w:noProof/>
                  <w:webHidden/>
                  <w:kern w:val="0"/>
                  <w:sz w:val="28"/>
                </w:rPr>
                <w:tab/>
                <w:t>14</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29" w:anchor="_Toc288721595" w:history="1">
              <w:r w:rsidR="00FA087C" w:rsidRPr="00FA087C">
                <w:rPr>
                  <w:rFonts w:ascii="宋体" w:eastAsia="宋体" w:hAnsi="宋体" w:cs="宋体" w:hint="eastAsia"/>
                  <w:noProof/>
                  <w:color w:val="333333"/>
                  <w:kern w:val="0"/>
                  <w:sz w:val="28"/>
                </w:rPr>
                <w:t>3.优先保证国家重点建设项目和基础设施项目用地</w:t>
              </w:r>
              <w:r w:rsidR="00FA087C" w:rsidRPr="00FA087C">
                <w:rPr>
                  <w:rFonts w:ascii="ˎ̥" w:eastAsia="宋体" w:hAnsi="ˎ̥" w:cs="宋体"/>
                  <w:noProof/>
                  <w:webHidden/>
                  <w:kern w:val="0"/>
                  <w:sz w:val="28"/>
                </w:rPr>
                <w:tab/>
                <w:t>14</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30" w:anchor="_Toc288721596" w:history="1">
              <w:r w:rsidR="00FA087C" w:rsidRPr="00FA087C">
                <w:rPr>
                  <w:rFonts w:ascii="宋体" w:eastAsia="宋体" w:hAnsi="宋体" w:cs="宋体" w:hint="eastAsia"/>
                  <w:noProof/>
                  <w:color w:val="333333"/>
                  <w:kern w:val="0"/>
                  <w:sz w:val="28"/>
                </w:rPr>
                <w:t>4.调整土地供应结构，促进经济健康持续增长</w:t>
              </w:r>
              <w:r w:rsidR="00FA087C" w:rsidRPr="00FA087C">
                <w:rPr>
                  <w:rFonts w:ascii="ˎ̥" w:eastAsia="宋体" w:hAnsi="ˎ̥" w:cs="宋体"/>
                  <w:noProof/>
                  <w:webHidden/>
                  <w:kern w:val="0"/>
                  <w:sz w:val="28"/>
                </w:rPr>
                <w:tab/>
                <w:t>14</w:t>
              </w:r>
            </w:hyperlink>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31" w:anchor="_Toc288721597" w:history="1">
              <w:r w:rsidR="00FA087C" w:rsidRPr="00FA087C">
                <w:rPr>
                  <w:rFonts w:ascii="宋体" w:eastAsia="宋体" w:hAnsi="宋体" w:cs="宋体" w:hint="eastAsia"/>
                  <w:noProof/>
                  <w:color w:val="333333"/>
                  <w:kern w:val="0"/>
                  <w:sz w:val="28"/>
                </w:rPr>
                <w:t>四  2011年黑河市土地供需分析</w:t>
              </w:r>
              <w:r w:rsidR="00FA087C" w:rsidRPr="00FA087C">
                <w:rPr>
                  <w:rFonts w:ascii="ˎ̥" w:eastAsia="宋体" w:hAnsi="ˎ̥" w:cs="宋体"/>
                  <w:noProof/>
                  <w:webHidden/>
                  <w:kern w:val="0"/>
                  <w:sz w:val="28"/>
                </w:rPr>
                <w:tab/>
                <w:t>15</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32" w:anchor="_Toc288721598" w:history="1">
              <w:r w:rsidR="00FA087C" w:rsidRPr="00FA087C">
                <w:rPr>
                  <w:rFonts w:ascii="宋体" w:eastAsia="宋体" w:hAnsi="宋体" w:cs="宋体"/>
                  <w:color w:val="333333"/>
                  <w:kern w:val="0"/>
                  <w:sz w:val="28"/>
                </w:rPr>
                <w:t>（一）2011年黑河市土地需求分析</w:t>
              </w:r>
              <w:r w:rsidR="00FA087C" w:rsidRPr="00FA087C">
                <w:rPr>
                  <w:rFonts w:ascii="宋体" w:eastAsia="宋体" w:hAnsi="宋体" w:cs="宋体"/>
                  <w:webHidden/>
                  <w:kern w:val="0"/>
                  <w:sz w:val="28"/>
                </w:rPr>
                <w:tab/>
                <w:t>15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33" w:anchor="_Toc288721599" w:history="1">
              <w:r w:rsidR="00FA087C" w:rsidRPr="00FA087C">
                <w:rPr>
                  <w:rFonts w:ascii="宋体" w:eastAsia="宋体" w:hAnsi="宋体" w:cs="宋体" w:hint="eastAsia"/>
                  <w:noProof/>
                  <w:color w:val="333333"/>
                  <w:kern w:val="0"/>
                  <w:sz w:val="28"/>
                </w:rPr>
                <w:t>1.住宅用地市场需求</w:t>
              </w:r>
              <w:r w:rsidR="00FA087C" w:rsidRPr="00FA087C">
                <w:rPr>
                  <w:rFonts w:ascii="ˎ̥" w:eastAsia="宋体" w:hAnsi="ˎ̥" w:cs="宋体"/>
                  <w:noProof/>
                  <w:webHidden/>
                  <w:kern w:val="0"/>
                  <w:sz w:val="28"/>
                </w:rPr>
                <w:tab/>
                <w:t>15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34" w:anchor="_Toc288721600" w:history="1">
              <w:r w:rsidR="00FA087C" w:rsidRPr="00FA087C">
                <w:rPr>
                  <w:rFonts w:ascii="宋体" w:eastAsia="宋体" w:hAnsi="宋体" w:cs="宋体" w:hint="eastAsia"/>
                  <w:noProof/>
                  <w:color w:val="333333"/>
                  <w:kern w:val="0"/>
                  <w:sz w:val="28"/>
                </w:rPr>
                <w:t>2.工矿仓储用地需求分析</w:t>
              </w:r>
              <w:r w:rsidR="00FA087C" w:rsidRPr="00FA087C">
                <w:rPr>
                  <w:rFonts w:ascii="ˎ̥" w:eastAsia="宋体" w:hAnsi="ˎ̥" w:cs="宋体"/>
                  <w:noProof/>
                  <w:webHidden/>
                  <w:kern w:val="0"/>
                  <w:sz w:val="28"/>
                </w:rPr>
                <w:tab/>
                <w:t>21</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35" w:anchor="_Toc288721601" w:history="1">
              <w:r w:rsidR="00FA087C" w:rsidRPr="00FA087C">
                <w:rPr>
                  <w:rFonts w:ascii="宋体" w:eastAsia="宋体" w:hAnsi="宋体" w:cs="宋体" w:hint="eastAsia"/>
                  <w:noProof/>
                  <w:color w:val="333333"/>
                  <w:kern w:val="0"/>
                  <w:sz w:val="28"/>
                </w:rPr>
                <w:t>3.公共管理与公共服务用地需求分析</w:t>
              </w:r>
              <w:r w:rsidR="00FA087C" w:rsidRPr="00FA087C">
                <w:rPr>
                  <w:rFonts w:ascii="ˎ̥" w:eastAsia="宋体" w:hAnsi="ˎ̥" w:cs="宋体"/>
                  <w:noProof/>
                  <w:webHidden/>
                  <w:kern w:val="0"/>
                  <w:sz w:val="28"/>
                </w:rPr>
                <w:tab/>
                <w:t>22</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36" w:anchor="_Toc288721602" w:history="1">
              <w:r w:rsidR="00FA087C" w:rsidRPr="00FA087C">
                <w:rPr>
                  <w:rFonts w:ascii="宋体" w:eastAsia="宋体" w:hAnsi="宋体" w:cs="宋体" w:hint="eastAsia"/>
                  <w:noProof/>
                  <w:color w:val="333333"/>
                  <w:kern w:val="0"/>
                  <w:sz w:val="28"/>
                </w:rPr>
                <w:t>4.交通运输用地需求分析</w:t>
              </w:r>
              <w:r w:rsidR="00FA087C" w:rsidRPr="00FA087C">
                <w:rPr>
                  <w:rFonts w:ascii="ˎ̥" w:eastAsia="宋体" w:hAnsi="ˎ̥" w:cs="宋体"/>
                  <w:noProof/>
                  <w:webHidden/>
                  <w:kern w:val="0"/>
                  <w:sz w:val="28"/>
                </w:rPr>
                <w:tab/>
                <w:t>22</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37" w:anchor="_Toc288721603" w:history="1">
              <w:r w:rsidR="00FA087C" w:rsidRPr="00FA087C">
                <w:rPr>
                  <w:rFonts w:ascii="宋体" w:eastAsia="宋体" w:hAnsi="宋体" w:cs="宋体" w:hint="eastAsia"/>
                  <w:noProof/>
                  <w:color w:val="333333"/>
                  <w:kern w:val="0"/>
                  <w:sz w:val="28"/>
                </w:rPr>
                <w:t>5.2011年土地需求总量</w:t>
              </w:r>
              <w:r w:rsidR="00FA087C" w:rsidRPr="00FA087C">
                <w:rPr>
                  <w:rFonts w:ascii="ˎ̥" w:eastAsia="宋体" w:hAnsi="ˎ̥" w:cs="宋体"/>
                  <w:noProof/>
                  <w:webHidden/>
                  <w:kern w:val="0"/>
                  <w:sz w:val="28"/>
                </w:rPr>
                <w:tab/>
                <w:t>23</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38" w:anchor="_Toc288721604" w:history="1">
              <w:r w:rsidR="00FA087C" w:rsidRPr="00FA087C">
                <w:rPr>
                  <w:rFonts w:ascii="宋体" w:eastAsia="宋体" w:hAnsi="宋体" w:cs="宋体"/>
                  <w:color w:val="333333"/>
                  <w:kern w:val="0"/>
                  <w:sz w:val="28"/>
                </w:rPr>
                <w:t>（二）2011年土地供应分析</w:t>
              </w:r>
              <w:r w:rsidR="00FA087C" w:rsidRPr="00FA087C">
                <w:rPr>
                  <w:rFonts w:ascii="宋体" w:eastAsia="宋体" w:hAnsi="宋体" w:cs="宋体"/>
                  <w:webHidden/>
                  <w:kern w:val="0"/>
                  <w:sz w:val="28"/>
                </w:rPr>
                <w:tab/>
                <w:t>23</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39" w:anchor="_Toc288721605" w:history="1">
              <w:r w:rsidR="00FA087C" w:rsidRPr="00FA087C">
                <w:rPr>
                  <w:rFonts w:ascii="宋体" w:eastAsia="宋体" w:hAnsi="宋体" w:cs="宋体" w:hint="eastAsia"/>
                  <w:noProof/>
                  <w:color w:val="333333"/>
                  <w:kern w:val="0"/>
                  <w:sz w:val="28"/>
                </w:rPr>
                <w:t>1.国有建设用地供应总量的确定</w:t>
              </w:r>
              <w:r w:rsidR="00FA087C" w:rsidRPr="00FA087C">
                <w:rPr>
                  <w:rFonts w:ascii="ˎ̥" w:eastAsia="宋体" w:hAnsi="ˎ̥" w:cs="宋体"/>
                  <w:noProof/>
                  <w:webHidden/>
                  <w:kern w:val="0"/>
                  <w:sz w:val="28"/>
                </w:rPr>
                <w:tab/>
                <w:t>23</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40" w:anchor="_Toc288721606" w:history="1">
              <w:r w:rsidR="00FA087C" w:rsidRPr="00FA087C">
                <w:rPr>
                  <w:rFonts w:ascii="宋体" w:eastAsia="宋体" w:hAnsi="宋体" w:cs="宋体" w:hint="eastAsia"/>
                  <w:noProof/>
                  <w:color w:val="333333"/>
                  <w:kern w:val="0"/>
                  <w:sz w:val="28"/>
                </w:rPr>
                <w:t>2.国有建设用地供应量分项指标的确定</w:t>
              </w:r>
              <w:r w:rsidR="00FA087C" w:rsidRPr="00FA087C">
                <w:rPr>
                  <w:rFonts w:ascii="ˎ̥" w:eastAsia="宋体" w:hAnsi="ˎ̥" w:cs="宋体"/>
                  <w:noProof/>
                  <w:webHidden/>
                  <w:kern w:val="0"/>
                  <w:sz w:val="28"/>
                </w:rPr>
                <w:tab/>
                <w:t>25</w:t>
              </w:r>
            </w:hyperlink>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41" w:anchor="_Toc288721607" w:history="1">
              <w:r w:rsidR="00FA087C" w:rsidRPr="00FA087C">
                <w:rPr>
                  <w:rFonts w:ascii="宋体" w:eastAsia="宋体" w:hAnsi="宋体" w:cs="宋体" w:hint="eastAsia"/>
                  <w:noProof/>
                  <w:color w:val="333333"/>
                  <w:kern w:val="0"/>
                  <w:sz w:val="28"/>
                </w:rPr>
                <w:t>五  2011年土地供需平衡分析</w:t>
              </w:r>
              <w:r w:rsidR="00FA087C" w:rsidRPr="00FA087C">
                <w:rPr>
                  <w:rFonts w:ascii="ˎ̥" w:eastAsia="宋体" w:hAnsi="ˎ̥" w:cs="宋体"/>
                  <w:noProof/>
                  <w:webHidden/>
                  <w:kern w:val="0"/>
                  <w:sz w:val="28"/>
                </w:rPr>
                <w:tab/>
                <w:t>31</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42" w:anchor="_Toc288721608" w:history="1">
              <w:r w:rsidR="00FA087C" w:rsidRPr="00FA087C">
                <w:rPr>
                  <w:rFonts w:ascii="宋体" w:eastAsia="宋体" w:hAnsi="宋体" w:cs="宋体"/>
                  <w:color w:val="333333"/>
                  <w:kern w:val="0"/>
                  <w:sz w:val="28"/>
                </w:rPr>
                <w:t>（一）2011年黑河市用地需求情况</w:t>
              </w:r>
              <w:r w:rsidR="00FA087C" w:rsidRPr="00FA087C">
                <w:rPr>
                  <w:rFonts w:ascii="宋体" w:eastAsia="宋体" w:hAnsi="宋体" w:cs="宋体"/>
                  <w:webHidden/>
                  <w:kern w:val="0"/>
                  <w:sz w:val="28"/>
                </w:rPr>
                <w:tab/>
                <w:t>31</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43" w:anchor="_Toc288721609" w:history="1">
              <w:r w:rsidR="00FA087C" w:rsidRPr="00FA087C">
                <w:rPr>
                  <w:rFonts w:ascii="宋体" w:eastAsia="宋体" w:hAnsi="宋体" w:cs="宋体"/>
                  <w:color w:val="333333"/>
                  <w:kern w:val="0"/>
                  <w:sz w:val="28"/>
                </w:rPr>
                <w:t>（二）2011年黑河市土地供给情况</w:t>
              </w:r>
              <w:r w:rsidR="00FA087C" w:rsidRPr="00FA087C">
                <w:rPr>
                  <w:rFonts w:ascii="宋体" w:eastAsia="宋体" w:hAnsi="宋体" w:cs="宋体"/>
                  <w:webHidden/>
                  <w:kern w:val="0"/>
                  <w:sz w:val="28"/>
                </w:rPr>
                <w:tab/>
                <w:t>31</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44" w:anchor="_Toc288721610" w:history="1">
              <w:r w:rsidR="00FA087C" w:rsidRPr="00FA087C">
                <w:rPr>
                  <w:rFonts w:ascii="宋体" w:eastAsia="宋体" w:hAnsi="宋体" w:cs="宋体"/>
                  <w:color w:val="333333"/>
                  <w:kern w:val="0"/>
                  <w:sz w:val="28"/>
                </w:rPr>
                <w:t>（三）2011年度土地供需综合平衡分析</w:t>
              </w:r>
              <w:r w:rsidR="00FA087C" w:rsidRPr="00FA087C">
                <w:rPr>
                  <w:rFonts w:ascii="宋体" w:eastAsia="宋体" w:hAnsi="宋体" w:cs="宋体"/>
                  <w:webHidden/>
                  <w:kern w:val="0"/>
                  <w:sz w:val="28"/>
                </w:rPr>
                <w:tab/>
                <w:t>31</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45" w:anchor="_Toc288721611" w:history="1">
              <w:r w:rsidR="00FA087C" w:rsidRPr="00FA087C">
                <w:rPr>
                  <w:rFonts w:ascii="宋体" w:eastAsia="宋体" w:hAnsi="宋体" w:cs="宋体" w:hint="eastAsia"/>
                  <w:noProof/>
                  <w:color w:val="333333"/>
                  <w:kern w:val="0"/>
                  <w:sz w:val="28"/>
                </w:rPr>
                <w:t>1.确定2011年度土地供应计划内容框架</w:t>
              </w:r>
              <w:r w:rsidR="00FA087C" w:rsidRPr="00FA087C">
                <w:rPr>
                  <w:rFonts w:ascii="ˎ̥" w:eastAsia="宋体" w:hAnsi="ˎ̥" w:cs="宋体"/>
                  <w:noProof/>
                  <w:webHidden/>
                  <w:kern w:val="0"/>
                  <w:sz w:val="28"/>
                </w:rPr>
                <w:tab/>
                <w:t>31</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46" w:anchor="_Toc288721612" w:history="1">
              <w:r w:rsidR="00FA087C" w:rsidRPr="00FA087C">
                <w:rPr>
                  <w:rFonts w:ascii="宋体" w:eastAsia="宋体" w:hAnsi="宋体" w:cs="宋体" w:hint="eastAsia"/>
                  <w:noProof/>
                  <w:color w:val="333333"/>
                  <w:kern w:val="0"/>
                  <w:sz w:val="28"/>
                </w:rPr>
                <w:t>2.综合平衡</w:t>
              </w:r>
              <w:r w:rsidR="00FA087C" w:rsidRPr="00FA087C">
                <w:rPr>
                  <w:rFonts w:ascii="ˎ̥" w:eastAsia="宋体" w:hAnsi="ˎ̥" w:cs="宋体"/>
                  <w:noProof/>
                  <w:webHidden/>
                  <w:kern w:val="0"/>
                  <w:sz w:val="28"/>
                </w:rPr>
                <w:tab/>
                <w:t>32</w:t>
              </w:r>
            </w:hyperlink>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47" w:anchor="_Toc288721613" w:history="1">
              <w:r w:rsidR="00FA087C" w:rsidRPr="00FA087C">
                <w:rPr>
                  <w:rFonts w:ascii="宋体" w:eastAsia="宋体" w:hAnsi="宋体" w:cs="宋体" w:hint="eastAsia"/>
                  <w:noProof/>
                  <w:color w:val="333333"/>
                  <w:kern w:val="0"/>
                  <w:sz w:val="28"/>
                </w:rPr>
                <w:t>六  2011年土地供应计划</w:t>
              </w:r>
              <w:r w:rsidR="00FA087C" w:rsidRPr="00FA087C">
                <w:rPr>
                  <w:rFonts w:ascii="ˎ̥" w:eastAsia="宋体" w:hAnsi="ˎ̥" w:cs="宋体"/>
                  <w:noProof/>
                  <w:webHidden/>
                  <w:kern w:val="0"/>
                  <w:sz w:val="28"/>
                </w:rPr>
                <w:tab/>
                <w:t>33</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48" w:anchor="_Toc288721614" w:history="1">
              <w:r w:rsidR="00FA087C" w:rsidRPr="00FA087C">
                <w:rPr>
                  <w:rFonts w:ascii="宋体" w:eastAsia="宋体" w:hAnsi="宋体" w:cs="宋体"/>
                  <w:color w:val="333333"/>
                  <w:kern w:val="0"/>
                  <w:sz w:val="28"/>
                </w:rPr>
                <w:t>（一）土地供应计划编制说明</w:t>
              </w:r>
              <w:r w:rsidR="00FA087C" w:rsidRPr="00FA087C">
                <w:rPr>
                  <w:rFonts w:ascii="宋体" w:eastAsia="宋体" w:hAnsi="宋体" w:cs="宋体"/>
                  <w:webHidden/>
                  <w:kern w:val="0"/>
                  <w:sz w:val="28"/>
                </w:rPr>
                <w:tab/>
                <w:t>33</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49" w:anchor="_Toc288721615" w:history="1">
              <w:r w:rsidR="00FA087C" w:rsidRPr="00FA087C">
                <w:rPr>
                  <w:rFonts w:ascii="宋体" w:eastAsia="宋体" w:hAnsi="宋体" w:cs="宋体"/>
                  <w:color w:val="333333"/>
                  <w:kern w:val="0"/>
                  <w:sz w:val="28"/>
                </w:rPr>
                <w:t>（二）土地供应计划表</w:t>
              </w:r>
              <w:r w:rsidR="00FA087C" w:rsidRPr="00FA087C">
                <w:rPr>
                  <w:rFonts w:ascii="宋体" w:eastAsia="宋体" w:hAnsi="宋体" w:cs="宋体"/>
                  <w:webHidden/>
                  <w:kern w:val="0"/>
                  <w:sz w:val="28"/>
                </w:rPr>
                <w:tab/>
                <w:t>33</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50" w:anchor="_Toc288721616" w:history="1">
              <w:r w:rsidR="00FA087C" w:rsidRPr="00FA087C">
                <w:rPr>
                  <w:rFonts w:ascii="宋体" w:eastAsia="宋体" w:hAnsi="宋体" w:cs="宋体" w:hint="eastAsia"/>
                  <w:noProof/>
                  <w:color w:val="333333"/>
                  <w:kern w:val="0"/>
                  <w:sz w:val="28"/>
                </w:rPr>
                <w:t>1.2011年度黑河市土地供应计划总量指标</w:t>
              </w:r>
              <w:r w:rsidR="00FA087C" w:rsidRPr="00FA087C">
                <w:rPr>
                  <w:rFonts w:ascii="ˎ̥" w:eastAsia="宋体" w:hAnsi="ˎ̥" w:cs="宋体"/>
                  <w:noProof/>
                  <w:webHidden/>
                  <w:kern w:val="0"/>
                  <w:sz w:val="28"/>
                </w:rPr>
                <w:tab/>
                <w:t>34</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51" w:anchor="_Toc288721617" w:history="1">
              <w:r w:rsidR="00FA087C" w:rsidRPr="00FA087C">
                <w:rPr>
                  <w:rFonts w:ascii="宋体" w:eastAsia="宋体" w:hAnsi="宋体" w:cs="宋体" w:hint="eastAsia"/>
                  <w:noProof/>
                  <w:color w:val="333333"/>
                  <w:kern w:val="0"/>
                  <w:sz w:val="28"/>
                </w:rPr>
                <w:t>2.2011年土地供应计划用途结构指标</w:t>
              </w:r>
              <w:r w:rsidR="00FA087C" w:rsidRPr="00FA087C">
                <w:rPr>
                  <w:rFonts w:ascii="ˎ̥" w:eastAsia="宋体" w:hAnsi="ˎ̥" w:cs="宋体"/>
                  <w:noProof/>
                  <w:webHidden/>
                  <w:kern w:val="0"/>
                  <w:sz w:val="28"/>
                </w:rPr>
                <w:tab/>
                <w:t>34</w:t>
              </w:r>
            </w:hyperlink>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52" w:anchor="_Toc288721618" w:history="1">
              <w:r w:rsidR="00FA087C" w:rsidRPr="00FA087C">
                <w:rPr>
                  <w:rFonts w:ascii="宋体" w:eastAsia="宋体" w:hAnsi="宋体" w:cs="宋体" w:hint="eastAsia"/>
                  <w:noProof/>
                  <w:color w:val="333333"/>
                  <w:kern w:val="0"/>
                  <w:sz w:val="28"/>
                </w:rPr>
                <w:t>七  2011年土地供应计划的执行</w:t>
              </w:r>
              <w:r w:rsidR="00FA087C" w:rsidRPr="00FA087C">
                <w:rPr>
                  <w:rFonts w:ascii="ˎ̥" w:eastAsia="宋体" w:hAnsi="ˎ̥" w:cs="宋体"/>
                  <w:noProof/>
                  <w:webHidden/>
                  <w:kern w:val="0"/>
                  <w:sz w:val="28"/>
                </w:rPr>
                <w:tab/>
                <w:t>35</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53" w:anchor="_Toc288721619" w:history="1">
              <w:r w:rsidR="00FA087C" w:rsidRPr="00FA087C">
                <w:rPr>
                  <w:rFonts w:ascii="宋体" w:eastAsia="宋体" w:hAnsi="宋体" w:cs="宋体"/>
                  <w:color w:val="333333"/>
                  <w:kern w:val="0"/>
                  <w:sz w:val="28"/>
                </w:rPr>
                <w:t>（一）国有建设用地供给的原则</w:t>
              </w:r>
              <w:r w:rsidR="00FA087C" w:rsidRPr="00FA087C">
                <w:rPr>
                  <w:rFonts w:ascii="宋体" w:eastAsia="宋体" w:hAnsi="宋体" w:cs="宋体"/>
                  <w:webHidden/>
                  <w:kern w:val="0"/>
                  <w:sz w:val="28"/>
                </w:rPr>
                <w:tab/>
                <w:t>35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54" w:anchor="_Toc288721620" w:history="1">
              <w:r w:rsidR="00FA087C" w:rsidRPr="00FA087C">
                <w:rPr>
                  <w:rFonts w:ascii="宋体" w:eastAsia="宋体" w:hAnsi="宋体" w:cs="宋体" w:hint="eastAsia"/>
                  <w:noProof/>
                  <w:color w:val="333333"/>
                  <w:kern w:val="0"/>
                  <w:sz w:val="28"/>
                </w:rPr>
                <w:t>1.坚持符合土地利用总体规划、城市总体规划原则</w:t>
              </w:r>
              <w:r w:rsidR="00FA087C" w:rsidRPr="00FA087C">
                <w:rPr>
                  <w:rFonts w:ascii="ˎ̥" w:eastAsia="宋体" w:hAnsi="ˎ̥" w:cs="宋体"/>
                  <w:noProof/>
                  <w:webHidden/>
                  <w:kern w:val="0"/>
                  <w:sz w:val="28"/>
                </w:rPr>
                <w:tab/>
                <w:t>35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55" w:anchor="_Toc288721621" w:history="1">
              <w:r w:rsidR="00FA087C" w:rsidRPr="00FA087C">
                <w:rPr>
                  <w:rFonts w:ascii="宋体" w:eastAsia="宋体" w:hAnsi="宋体" w:cs="宋体" w:hint="eastAsia"/>
                  <w:noProof/>
                  <w:color w:val="333333"/>
                  <w:kern w:val="0"/>
                  <w:sz w:val="28"/>
                </w:rPr>
                <w:t>2.坚持与城市产业结构和空间结构的调整相协调的原则</w:t>
              </w:r>
              <w:r w:rsidR="00FA087C" w:rsidRPr="00FA087C">
                <w:rPr>
                  <w:rFonts w:ascii="ˎ̥" w:eastAsia="宋体" w:hAnsi="ˎ̥" w:cs="宋体"/>
                  <w:noProof/>
                  <w:webHidden/>
                  <w:kern w:val="0"/>
                  <w:sz w:val="28"/>
                </w:rPr>
                <w:tab/>
                <w:t>35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56" w:anchor="_Toc288721622" w:history="1">
              <w:r w:rsidR="00FA087C" w:rsidRPr="00FA087C">
                <w:rPr>
                  <w:rFonts w:ascii="宋体" w:eastAsia="宋体" w:hAnsi="宋体" w:cs="宋体" w:hint="eastAsia"/>
                  <w:noProof/>
                  <w:color w:val="333333"/>
                  <w:kern w:val="0"/>
                  <w:sz w:val="28"/>
                </w:rPr>
                <w:t>3.坚持严格控制土地供应总量，以供给引导需求的原则</w:t>
              </w:r>
              <w:r w:rsidR="00FA087C" w:rsidRPr="00FA087C">
                <w:rPr>
                  <w:rFonts w:ascii="ˎ̥" w:eastAsia="宋体" w:hAnsi="ˎ̥" w:cs="宋体"/>
                  <w:noProof/>
                  <w:webHidden/>
                  <w:kern w:val="0"/>
                  <w:sz w:val="28"/>
                </w:rPr>
                <w:tab/>
                <w:t>35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57" w:anchor="_Toc288721623" w:history="1">
              <w:r w:rsidR="00FA087C" w:rsidRPr="00FA087C">
                <w:rPr>
                  <w:rFonts w:ascii="宋体" w:eastAsia="宋体" w:hAnsi="宋体" w:cs="宋体" w:hint="eastAsia"/>
                  <w:noProof/>
                  <w:color w:val="333333"/>
                  <w:kern w:val="0"/>
                  <w:sz w:val="28"/>
                </w:rPr>
                <w:t>4.坚持优先保证国家重点建设项目用地的原则</w:t>
              </w:r>
              <w:r w:rsidR="00FA087C" w:rsidRPr="00FA087C">
                <w:rPr>
                  <w:rFonts w:ascii="ˎ̥" w:eastAsia="宋体" w:hAnsi="ˎ̥" w:cs="宋体"/>
                  <w:noProof/>
                  <w:webHidden/>
                  <w:kern w:val="0"/>
                  <w:sz w:val="28"/>
                </w:rPr>
                <w:tab/>
                <w:t>35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58" w:anchor="_Toc288721624" w:history="1">
              <w:r w:rsidR="00FA087C" w:rsidRPr="00FA087C">
                <w:rPr>
                  <w:rFonts w:ascii="宋体" w:eastAsia="宋体" w:hAnsi="宋体" w:cs="宋体" w:hint="eastAsia"/>
                  <w:noProof/>
                  <w:color w:val="333333"/>
                  <w:kern w:val="0"/>
                  <w:sz w:val="28"/>
                </w:rPr>
                <w:t>5.坚持鼓励盘活存量，严格限制增量原则</w:t>
              </w:r>
              <w:r w:rsidR="00FA087C" w:rsidRPr="00FA087C">
                <w:rPr>
                  <w:rFonts w:ascii="ˎ̥" w:eastAsia="宋体" w:hAnsi="ˎ̥" w:cs="宋体"/>
                  <w:noProof/>
                  <w:webHidden/>
                  <w:kern w:val="0"/>
                  <w:sz w:val="28"/>
                </w:rPr>
                <w:tab/>
                <w:t>35</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59" w:anchor="_Toc288721625" w:history="1">
              <w:r w:rsidR="00FA087C" w:rsidRPr="00FA087C">
                <w:rPr>
                  <w:rFonts w:ascii="宋体" w:eastAsia="宋体" w:hAnsi="宋体" w:cs="宋体"/>
                  <w:color w:val="333333"/>
                  <w:kern w:val="0"/>
                  <w:sz w:val="28"/>
                </w:rPr>
                <w:t>（二）制定土地供应计划实施与管理办法</w:t>
              </w:r>
              <w:r w:rsidR="00FA087C" w:rsidRPr="00FA087C">
                <w:rPr>
                  <w:rFonts w:ascii="宋体" w:eastAsia="宋体" w:hAnsi="宋体" w:cs="宋体"/>
                  <w:webHidden/>
                  <w:kern w:val="0"/>
                  <w:sz w:val="28"/>
                </w:rPr>
                <w:tab/>
                <w:t>35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60" w:anchor="_Toc288721626" w:history="1">
              <w:r w:rsidR="00FA087C" w:rsidRPr="00FA087C">
                <w:rPr>
                  <w:rFonts w:ascii="宋体" w:eastAsia="宋体" w:hAnsi="宋体" w:cs="宋体" w:hint="eastAsia"/>
                  <w:noProof/>
                  <w:color w:val="333333"/>
                  <w:kern w:val="0"/>
                  <w:sz w:val="28"/>
                </w:rPr>
                <w:t>1.土地供应计划的实施</w:t>
              </w:r>
              <w:r w:rsidR="00FA087C" w:rsidRPr="00FA087C">
                <w:rPr>
                  <w:rFonts w:ascii="ˎ̥" w:eastAsia="宋体" w:hAnsi="ˎ̥" w:cs="宋体"/>
                  <w:noProof/>
                  <w:webHidden/>
                  <w:kern w:val="0"/>
                  <w:sz w:val="28"/>
                </w:rPr>
                <w:tab/>
                <w:t>35</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61" w:anchor="_Toc288721627" w:history="1">
              <w:r w:rsidR="00FA087C" w:rsidRPr="00FA087C">
                <w:rPr>
                  <w:rFonts w:ascii="宋体" w:eastAsia="宋体" w:hAnsi="宋体" w:cs="宋体" w:hint="eastAsia"/>
                  <w:noProof/>
                  <w:color w:val="333333"/>
                  <w:kern w:val="0"/>
                  <w:sz w:val="28"/>
                </w:rPr>
                <w:t>2.土地供应计划的管理</w:t>
              </w:r>
              <w:r w:rsidR="00FA087C" w:rsidRPr="00FA087C">
                <w:rPr>
                  <w:rFonts w:ascii="ˎ̥" w:eastAsia="宋体" w:hAnsi="ˎ̥" w:cs="宋体"/>
                  <w:noProof/>
                  <w:webHidden/>
                  <w:kern w:val="0"/>
                  <w:sz w:val="28"/>
                </w:rPr>
                <w:tab/>
                <w:t>36</w:t>
              </w:r>
            </w:hyperlink>
          </w:p>
          <w:p w:rsidR="00FA087C" w:rsidRPr="00FA087C" w:rsidRDefault="00153030" w:rsidP="00FA087C">
            <w:pPr>
              <w:widowControl/>
              <w:spacing w:line="480" w:lineRule="atLeast"/>
              <w:ind w:left="840"/>
              <w:jc w:val="left"/>
              <w:rPr>
                <w:rFonts w:ascii="Calibri" w:eastAsia="宋体" w:hAnsi="Calibri" w:cs="宋体"/>
                <w:noProof/>
                <w:color w:val="333333"/>
                <w:kern w:val="0"/>
                <w:sz w:val="28"/>
              </w:rPr>
            </w:pPr>
            <w:hyperlink r:id="rId62" w:anchor="_Toc288721628" w:history="1">
              <w:r w:rsidR="00FA087C" w:rsidRPr="00FA087C">
                <w:rPr>
                  <w:rFonts w:ascii="宋体" w:eastAsia="宋体" w:hAnsi="宋体" w:cs="宋体" w:hint="eastAsia"/>
                  <w:noProof/>
                  <w:color w:val="333333"/>
                  <w:kern w:val="0"/>
                  <w:sz w:val="28"/>
                </w:rPr>
                <w:t>3.土地供应评价体系</w:t>
              </w:r>
              <w:r w:rsidR="00FA087C" w:rsidRPr="00FA087C">
                <w:rPr>
                  <w:rFonts w:ascii="ˎ̥" w:eastAsia="宋体" w:hAnsi="ˎ̥" w:cs="宋体"/>
                  <w:noProof/>
                  <w:webHidden/>
                  <w:kern w:val="0"/>
                  <w:sz w:val="28"/>
                </w:rPr>
                <w:tab/>
                <w:t>37</w:t>
              </w:r>
            </w:hyperlink>
          </w:p>
          <w:p w:rsidR="00FA087C" w:rsidRPr="00FA087C" w:rsidRDefault="00153030" w:rsidP="00FA087C">
            <w:pPr>
              <w:widowControl/>
              <w:tabs>
                <w:tab w:val="right" w:leader="dot" w:pos="8302"/>
              </w:tabs>
              <w:spacing w:line="480" w:lineRule="atLeast"/>
              <w:jc w:val="left"/>
              <w:rPr>
                <w:rFonts w:ascii="Calibri" w:eastAsia="宋体" w:hAnsi="Calibri" w:cs="宋体"/>
                <w:noProof/>
                <w:color w:val="333333"/>
                <w:kern w:val="0"/>
                <w:sz w:val="28"/>
              </w:rPr>
            </w:pPr>
            <w:hyperlink r:id="rId63" w:anchor="_Toc288721629" w:history="1">
              <w:r w:rsidR="00FA087C" w:rsidRPr="00FA087C">
                <w:rPr>
                  <w:rFonts w:ascii="宋体" w:eastAsia="宋体" w:hAnsi="宋体" w:cs="宋体" w:hint="eastAsia"/>
                  <w:noProof/>
                  <w:color w:val="333333"/>
                  <w:kern w:val="0"/>
                  <w:sz w:val="28"/>
                </w:rPr>
                <w:t>八  2011年度土地供应计划不能完全解决的问题及待以后年度进一步完善的建议</w:t>
              </w:r>
              <w:r w:rsidR="00FA087C" w:rsidRPr="00FA087C">
                <w:rPr>
                  <w:rFonts w:ascii="ˎ̥" w:eastAsia="宋体" w:hAnsi="ˎ̥" w:cs="宋体"/>
                  <w:noProof/>
                  <w:webHidden/>
                  <w:kern w:val="0"/>
                  <w:sz w:val="28"/>
                </w:rPr>
                <w:tab/>
                <w:t>41</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64" w:anchor="_Toc288721630" w:history="1">
              <w:r w:rsidR="00FA087C" w:rsidRPr="00FA087C">
                <w:rPr>
                  <w:rFonts w:ascii="宋体" w:eastAsia="宋体" w:hAnsi="宋体" w:cs="宋体"/>
                  <w:color w:val="333333"/>
                  <w:kern w:val="0"/>
                  <w:sz w:val="28"/>
                </w:rPr>
                <w:t>（一）制作过程中存在的问题</w:t>
              </w:r>
              <w:r w:rsidR="00FA087C" w:rsidRPr="00FA087C">
                <w:rPr>
                  <w:rFonts w:ascii="宋体" w:eastAsia="宋体" w:hAnsi="宋体" w:cs="宋体"/>
                  <w:webHidden/>
                  <w:kern w:val="0"/>
                  <w:sz w:val="28"/>
                </w:rPr>
                <w:tab/>
                <w:t>41</w:t>
              </w:r>
            </w:hyperlink>
          </w:p>
          <w:p w:rsidR="00FA087C" w:rsidRPr="00FA087C" w:rsidRDefault="00153030" w:rsidP="00FA087C">
            <w:pPr>
              <w:widowControl/>
              <w:spacing w:line="480" w:lineRule="atLeast"/>
              <w:ind w:left="420"/>
              <w:jc w:val="left"/>
              <w:rPr>
                <w:rFonts w:ascii="Calibri" w:eastAsia="宋体" w:hAnsi="Calibri" w:cs="宋体"/>
                <w:color w:val="333333"/>
                <w:kern w:val="0"/>
                <w:sz w:val="28"/>
              </w:rPr>
            </w:pPr>
            <w:hyperlink r:id="rId65" w:anchor="_Toc288721631" w:history="1">
              <w:r w:rsidR="00FA087C" w:rsidRPr="00FA087C">
                <w:rPr>
                  <w:rFonts w:ascii="宋体" w:eastAsia="宋体" w:hAnsi="宋体" w:cs="宋体"/>
                  <w:color w:val="333333"/>
                  <w:kern w:val="0"/>
                  <w:sz w:val="28"/>
                </w:rPr>
                <w:t>（二）以后年度工作建议</w:t>
              </w:r>
              <w:r w:rsidR="00FA087C" w:rsidRPr="00FA087C">
                <w:rPr>
                  <w:rFonts w:ascii="宋体" w:eastAsia="宋体" w:hAnsi="宋体" w:cs="宋体"/>
                  <w:webHidden/>
                  <w:kern w:val="0"/>
                  <w:sz w:val="28"/>
                </w:rPr>
                <w:tab/>
                <w:t>41</w:t>
              </w:r>
            </w:hyperlink>
          </w:p>
          <w:p w:rsidR="00FA087C" w:rsidRPr="00FA087C" w:rsidRDefault="00FA087C" w:rsidP="00FA087C">
            <w:pPr>
              <w:widowControl/>
              <w:spacing w:before="340" w:after="330" w:line="360" w:lineRule="auto"/>
              <w:jc w:val="left"/>
              <w:outlineLvl w:val="0"/>
              <w:rPr>
                <w:rFonts w:ascii="宋体" w:eastAsia="宋体" w:hAnsi="宋体" w:cs="宋体"/>
                <w:color w:val="333333"/>
                <w:kern w:val="0"/>
                <w:sz w:val="24"/>
                <w:szCs w:val="24"/>
              </w:rPr>
            </w:pPr>
          </w:p>
          <w:p w:rsidR="00FA087C" w:rsidRPr="00FA087C" w:rsidRDefault="00FA087C" w:rsidP="00FA087C">
            <w:pPr>
              <w:widowControl/>
              <w:spacing w:line="360" w:lineRule="auto"/>
              <w:jc w:val="center"/>
              <w:rPr>
                <w:rFonts w:ascii="宋体" w:eastAsia="宋体" w:hAnsi="宋体" w:cs="Times New Roman"/>
                <w:color w:val="333333"/>
                <w:kern w:val="0"/>
                <w:sz w:val="24"/>
                <w:szCs w:val="24"/>
              </w:rPr>
              <w:sectPr w:rsidR="00FA087C" w:rsidRPr="00FA087C">
                <w:pgSz w:w="12240" w:h="15840"/>
                <w:pgMar w:top="1440" w:right="1800" w:bottom="1440" w:left="1800" w:header="720" w:footer="720" w:gutter="0"/>
                <w:cols w:space="720"/>
              </w:sectPr>
            </w:pPr>
          </w:p>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color w:val="333333"/>
                <w:kern w:val="0"/>
                <w:sz w:val="24"/>
                <w:szCs w:val="24"/>
              </w:rPr>
              <w:t> </w:t>
            </w: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bookmarkStart w:id="50" w:name="_Toc91296768"/>
            <w:bookmarkStart w:id="51" w:name="_Toc288721572"/>
            <w:r w:rsidRPr="00FA087C">
              <w:rPr>
                <w:rFonts w:ascii="宋体" w:eastAsia="宋体" w:hAnsi="宋体" w:cs="宋体" w:hint="eastAsia"/>
                <w:b/>
                <w:bCs/>
                <w:color w:val="333333"/>
                <w:kern w:val="36"/>
                <w:sz w:val="32"/>
                <w:szCs w:val="32"/>
              </w:rPr>
              <w:t>一  引　言</w:t>
            </w:r>
            <w:bookmarkEnd w:id="50"/>
            <w:bookmarkEnd w:id="51"/>
          </w:p>
          <w:p w:rsidR="00FA087C" w:rsidRPr="00FA087C" w:rsidRDefault="00FA087C" w:rsidP="00FA087C">
            <w:pPr>
              <w:widowControl/>
              <w:adjustRightInd w:val="0"/>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土地供应计划是指计划年度内城市建设用地供应总量、各类建设用地供应量、结构布局和供应进度的具体安排。</w:t>
            </w:r>
          </w:p>
          <w:p w:rsidR="00FA087C" w:rsidRPr="00FA087C" w:rsidRDefault="00FA087C" w:rsidP="00FA087C">
            <w:pPr>
              <w:widowControl/>
              <w:adjustRightInd w:val="0"/>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编制和实施土地供应计划，是政府实施主动供地制度，通过土地供应主动参与社会经济宏观调控的必然要求。土地供应计划应当体现严格控制土地供应总量，实施土地供应政策，优化土地利用结构，促进土地集约利用的原则。通过认真分析土地市场供求状况，编制实施科学合理的土地供应计划，可以充分发挥计划对土地市场的调控和引导作用，保证土地市场和房地产市场公开、安全、平稳运行，促进经济社会健康快速持续发展。</w:t>
            </w:r>
          </w:p>
          <w:p w:rsidR="00FA087C" w:rsidRPr="00FA087C" w:rsidRDefault="00FA087C" w:rsidP="00FA087C">
            <w:pPr>
              <w:widowControl/>
              <w:adjustRightInd w:val="0"/>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年度土地供应计划应由市国土资源管理部门会同有关部门，依据国家产业政策、当地土地市场需求情况、土地利用总体规划、土地利用年度计划、城市规划等编制，报市人民政府批准后实施。</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52" w:name="_Toc91296769"/>
            <w:bookmarkStart w:id="53" w:name="_Toc288721573"/>
            <w:r w:rsidRPr="00FA087C">
              <w:rPr>
                <w:rFonts w:ascii="宋体" w:eastAsia="宋体" w:hAnsi="宋体" w:cs="宋体"/>
                <w:b/>
                <w:bCs/>
                <w:color w:val="333333"/>
                <w:kern w:val="0"/>
                <w:sz w:val="36"/>
                <w:szCs w:val="36"/>
              </w:rPr>
              <w:t>(一)黑河市2011年度土地供应计划编制宏观经济政策背景分析</w:t>
            </w:r>
            <w:bookmarkEnd w:id="52"/>
            <w:bookmarkEnd w:id="53"/>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黑河市2011年度土地供应计划的编制，正是在这种政策背景下，充分考虑将土地供应作为房地产市场的调控手段，使供给起到闸门作用，从而达到调控宏观经济发展速度的目的。</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54" w:name="_Toc91296773"/>
            <w:bookmarkStart w:id="55" w:name="_Toc288721574"/>
            <w:r w:rsidRPr="00FA087C">
              <w:rPr>
                <w:rFonts w:ascii="宋体" w:eastAsia="宋体" w:hAnsi="宋体" w:cs="宋体"/>
                <w:b/>
                <w:bCs/>
                <w:color w:val="333333"/>
                <w:kern w:val="0"/>
                <w:sz w:val="36"/>
                <w:szCs w:val="36"/>
              </w:rPr>
              <w:lastRenderedPageBreak/>
              <w:t>(二)黑河市历年土地供应计划</w:t>
            </w:r>
            <w:bookmarkEnd w:id="54"/>
            <w:r w:rsidRPr="00FA087C">
              <w:rPr>
                <w:rFonts w:ascii="宋体" w:eastAsia="宋体" w:hAnsi="宋体" w:cs="宋体"/>
                <w:b/>
                <w:bCs/>
                <w:color w:val="333333"/>
                <w:kern w:val="0"/>
                <w:sz w:val="36"/>
                <w:szCs w:val="36"/>
              </w:rPr>
              <w:t>及编制原则</w:t>
            </w:r>
            <w:bookmarkEnd w:id="55"/>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本次土地供应计划编制工作充分分析了黑河市历年土地供应计划编制及实施状况，并借鉴其他城市土地供应计划的编制经验，确立了黑河市2011年度土地供应计划编制的指导思想。</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56" w:name="_Toc91296774"/>
            <w:bookmarkStart w:id="57" w:name="_Toc288721575"/>
            <w:r w:rsidRPr="00FA087C">
              <w:rPr>
                <w:rFonts w:ascii="宋体" w:eastAsia="宋体" w:hAnsi="宋体" w:cs="宋体" w:hint="eastAsia"/>
                <w:b/>
                <w:bCs/>
                <w:color w:val="333333"/>
                <w:kern w:val="0"/>
                <w:sz w:val="28"/>
                <w:szCs w:val="28"/>
              </w:rPr>
              <w:t>1.以前年度土地供应计划编制和实施情况</w:t>
            </w:r>
            <w:bookmarkEnd w:id="56"/>
            <w:bookmarkEnd w:id="57"/>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2011年以前土地供应计划的编制工作是在黑河市政府的牵头下完成的，其主要思路是参照年度投资计划，根据项目需求分配用地指标，参考各区县的发展状况，将指标分解下达各个区县，其中重点项目用地直接分配指标，以保证重点项目用地。但并没有公布实施。</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58" w:name="_Toc288721576"/>
            <w:r w:rsidRPr="00FA087C">
              <w:rPr>
                <w:rFonts w:ascii="宋体" w:eastAsia="宋体" w:hAnsi="宋体" w:cs="宋体" w:hint="eastAsia"/>
                <w:b/>
                <w:bCs/>
                <w:color w:val="333333"/>
                <w:kern w:val="0"/>
                <w:sz w:val="28"/>
                <w:szCs w:val="28"/>
              </w:rPr>
              <w:t>2.确立2011年土地供应计划编制的指导思想</w:t>
            </w:r>
            <w:bookmarkEnd w:id="58"/>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结合黑河市土地供应的现状及土地管理的特点，确立了2011年土地供应计划编制工作总的指导思想：</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1）编制上全市一盘棋，管理上市区两级配合。2011年全市土地供应原则上应纳入供应计划的总盘子。供应计划按用途结构和空间分布对土地供应总量进行分解，形成各类用途土地在各区县的供应指标，为市区两级政府统一协调供应土地提供依据。</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2）总量调控，突出重点。根据目前我市情况，2011年土地供应计划搭建全市总量调控、用途分类及区域空间分布的指标框架，但以经营性用地为重点，细化指标和严控总量。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3）刚柔并济，预测性与控制性相结合。对经营性用地采用控制性计划，结合实际情况，落实到地块，实行刚性管理；对非经营性用地和存量工矿仓储用地采用预测性计划，确定总量指标，实行弹性管理。</w:t>
            </w: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r w:rsidRPr="00FA087C">
              <w:rPr>
                <w:rFonts w:ascii="宋体" w:eastAsia="宋体" w:hAnsi="宋体" w:cs="Times New Roman" w:hint="eastAsia"/>
                <w:color w:val="333333"/>
                <w:kern w:val="44"/>
                <w:sz w:val="48"/>
                <w:szCs w:val="44"/>
              </w:rPr>
              <w:br w:type="page"/>
            </w:r>
            <w:bookmarkStart w:id="59" w:name="_Toc288721577"/>
            <w:r w:rsidRPr="00FA087C">
              <w:rPr>
                <w:rFonts w:ascii="宋体" w:eastAsia="宋体" w:hAnsi="宋体" w:cs="宋体" w:hint="eastAsia"/>
                <w:b/>
                <w:bCs/>
                <w:color w:val="333333"/>
                <w:kern w:val="36"/>
                <w:sz w:val="32"/>
                <w:szCs w:val="32"/>
              </w:rPr>
              <w:t>二  总则</w:t>
            </w:r>
            <w:bookmarkEnd w:id="59"/>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60" w:name="_Toc88384409"/>
            <w:bookmarkStart w:id="61" w:name="_Toc88385573"/>
            <w:bookmarkStart w:id="62" w:name="_Toc88494122"/>
            <w:bookmarkStart w:id="63" w:name="_Toc89062649"/>
            <w:bookmarkStart w:id="64" w:name="_Toc89062719"/>
            <w:bookmarkStart w:id="65" w:name="_Toc89063195"/>
            <w:bookmarkStart w:id="66" w:name="_Toc288721578"/>
            <w:bookmarkStart w:id="67" w:name="_Toc88384406" w:colFirst="0" w:colLast="0"/>
            <w:bookmarkStart w:id="68" w:name="_Toc88385570" w:colFirst="0" w:colLast="0"/>
            <w:bookmarkStart w:id="69" w:name="_Toc88494119" w:colFirst="0" w:colLast="0"/>
            <w:r w:rsidRPr="00FA087C">
              <w:rPr>
                <w:rFonts w:ascii="宋体" w:eastAsia="宋体" w:hAnsi="宋体" w:cs="宋体"/>
                <w:b/>
                <w:bCs/>
                <w:color w:val="333333"/>
                <w:kern w:val="0"/>
                <w:sz w:val="36"/>
                <w:szCs w:val="36"/>
              </w:rPr>
              <w:lastRenderedPageBreak/>
              <w:t>(一)概念界定</w:t>
            </w:r>
            <w:bookmarkEnd w:id="60"/>
            <w:bookmarkEnd w:id="61"/>
            <w:bookmarkEnd w:id="62"/>
            <w:bookmarkEnd w:id="63"/>
            <w:bookmarkEnd w:id="64"/>
            <w:bookmarkEnd w:id="65"/>
            <w:bookmarkEnd w:id="66"/>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本次土地供应计划中所指土地供应是指国有建设用地的供应，分为存量供给和增量供给。存量供给是通过拆迁、危旧房改造、转换用途增加城市土地供给的土地面积，不包括企业改制补办有偿使用手续的土地面积；增量供给主要是指依法批准农用地转用和土地征用并转为国有建设用地的面积，包括原国有农用地和未利用地经转用审批转为国有建设用地的面积和征用、征收集体土地面积。</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国有建设用地的供地方式主要包括有偿使用和划拨两大类。</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70" w:name="_Toc288721579"/>
            <w:r w:rsidRPr="00FA087C">
              <w:rPr>
                <w:rFonts w:ascii="宋体" w:eastAsia="宋体" w:hAnsi="宋体" w:cs="宋体"/>
                <w:b/>
                <w:bCs/>
                <w:color w:val="333333"/>
                <w:kern w:val="0"/>
                <w:sz w:val="36"/>
                <w:szCs w:val="36"/>
              </w:rPr>
              <w:t>(二)土地供应计划编制的涵盖范围和用地分类体系</w:t>
            </w:r>
            <w:bookmarkEnd w:id="70"/>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本次土地供应计划编制的涵盖范围为黑河市及所辖瑷珲区、工业园区。</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本次土地供应计划编制过程中，将按土地用途划分为住宅、商服、公共管理与公共服务、工矿仓储、交通运输六大类。其中住宅细分为廉租房、经济适用房、保障房、中小套型商品房。</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71" w:name="_Toc288721580"/>
            <w:r w:rsidRPr="00FA087C">
              <w:rPr>
                <w:rFonts w:ascii="宋体" w:eastAsia="宋体" w:hAnsi="宋体" w:cs="宋体"/>
                <w:b/>
                <w:bCs/>
                <w:color w:val="333333"/>
                <w:kern w:val="0"/>
                <w:sz w:val="36"/>
                <w:szCs w:val="36"/>
              </w:rPr>
              <w:t>(三)2011年土地供应计划遵循原则</w:t>
            </w:r>
            <w:bookmarkEnd w:id="71"/>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1.优化空间布局</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坚持计划控制引导，统一有序、规范供应。本年度各类建设项目用地供应，必须严格按照《黑河市城区2011年度国有建设用地供应计划表》确定的控制指标实施。</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2.优化土地供应结构</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认真落实房地产用地调控政策，重点保障城市住宅用地供应。保障性住房、棚户区改造住房、中小套型普通商品住房“三类用地”达到住房用地供应总量70%标准。棚户区（危旧楼）改造项目用地、房地产开发用地、廉租房用地和商服用地实行指令性计划供应，明确落实具体地</w:t>
            </w:r>
            <w:r w:rsidRPr="00FA087C">
              <w:rPr>
                <w:rFonts w:ascii="宋体" w:eastAsia="宋体" w:hAnsi="宋体" w:cs="宋体" w:hint="eastAsia"/>
                <w:color w:val="000000"/>
                <w:kern w:val="0"/>
                <w:sz w:val="28"/>
                <w:szCs w:val="28"/>
              </w:rPr>
              <w:lastRenderedPageBreak/>
              <w:t xml:space="preserve">块，严格落实单宗房地产用地面积不超过14公顷的规定，控制单宗房地产用地建设用地规模。 </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3.促进土地集约节约利用</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突出经济发展支撑项目用地服务，充分保障招商引资、市重点工程项目和优势产业用地需求。工矿仓储用地、公共管理与公共服务用地、交通运输用地、水域及水利设施用地、特殊用地均实行指导性计划控制，根据年度用地需求保障供应，不确定具体指标。</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4.发挥市场配置资源基础性作用</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严格遵行土地供应方式程序。对商业、旅游、娱乐、商品住宅等经营性用地和新增工业用地（不含原地内改扩建）以及同一宗地有两个以上意向用地者的，必须以招标、拍卖或者挂牌方式有偿供地，统一在土地市场公开进行。扩大有偿使用范围，积极推进经营性基础设施用地有偿使用。</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5.坚持科学发展观和节约集约用地政策，建设项目用地鼓励利用存量，严格控制增量。工业用地项目提倡和推广多层标准厂房建设。</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6.严格按照各开发区功能定位、产业政策和主导发展方向，优先安排工业建设项目用地供应，从严从紧控制开发区内经营性房地产开发用地总量，防止挤占工业项目用地指标。</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72" w:name="_Toc288721581"/>
            <w:r w:rsidRPr="00FA087C">
              <w:rPr>
                <w:rFonts w:ascii="宋体" w:eastAsia="宋体" w:hAnsi="宋体" w:cs="宋体"/>
                <w:b/>
                <w:bCs/>
                <w:color w:val="333333"/>
                <w:kern w:val="0"/>
                <w:sz w:val="36"/>
                <w:szCs w:val="36"/>
              </w:rPr>
              <w:t>(四)编制目标</w:t>
            </w:r>
            <w:bookmarkEnd w:id="72"/>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1.确定土地供应原则及优先顺序。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2.确定土地供应总量。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3.确定土地供应用途结构。</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73" w:name="_Toc288721582"/>
            <w:r w:rsidRPr="00FA087C">
              <w:rPr>
                <w:rFonts w:ascii="宋体" w:eastAsia="宋体" w:hAnsi="宋体" w:cs="宋体"/>
                <w:b/>
                <w:bCs/>
                <w:color w:val="333333"/>
                <w:kern w:val="0"/>
                <w:sz w:val="36"/>
                <w:szCs w:val="36"/>
              </w:rPr>
              <w:t>(五)编制依据</w:t>
            </w:r>
            <w:bookmarkEnd w:id="73"/>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《中华人民共和国土地管理法》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lastRenderedPageBreak/>
              <w:t>《中华人民共和国城市房地产管理法》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《中华人民共和国城乡规划法》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《国务院关于深化改革严格土地管理的决定》（国发[2004]28号）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《国务院关于加强土地调控有关问题的通知》（国发[2006]31号）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《国务院关于促进节约集约用地的通知》（国发[2008]3号）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《国务院批转发展改革委等部门关于一直部分行业产能过剩和重复建设引导产业健康发展若干意见的通知》（国发[2009]38号）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《国务院办公厅关于促进房地产市场平稳建厂发展的通知》（国办发[2010]4号）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《招标拍卖挂牌出让国有建设用地使用权规定》（国土资源部令第39号）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《划拨用地目录》（国土资源部令第9号）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《限制用地项目目录（2006年本）》和《禁止用地项目目录（2006年本）》（国土资发[2006]296号）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《限制用地项目目录（2006增补本）》和《禁止用地项目目录（2006增补本）》（国土资发[2009]154号）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《土地储备管理办法》（国土资发[2007]277号）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《国土资源部关于认真贯彻&lt;国务院关于解决城市低收入家庭住房困难的若干意见&gt;进一步加强土地供应调控的通知》（国土资发[2007]236号）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《国土资源部监察部关于进一步落实工业用地出让制度的通知》（国土资发[2009]101号）</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《国土资源部关于加强房地产用地供应和监管有关问题的通知》（国土资发[2010]34号）</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74" w:name="_Toc288721583"/>
            <w:r w:rsidRPr="00FA087C">
              <w:rPr>
                <w:rFonts w:ascii="宋体" w:eastAsia="宋体" w:hAnsi="宋体" w:cs="宋体"/>
                <w:b/>
                <w:bCs/>
                <w:color w:val="333333"/>
                <w:kern w:val="0"/>
                <w:sz w:val="36"/>
                <w:szCs w:val="36"/>
              </w:rPr>
              <w:lastRenderedPageBreak/>
              <w:t>(六)编制总体思路</w:t>
            </w:r>
            <w:bookmarkEnd w:id="74"/>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75" w:name="_Toc288721584"/>
            <w:r w:rsidRPr="00FA087C">
              <w:rPr>
                <w:rFonts w:ascii="宋体" w:eastAsia="宋体" w:hAnsi="宋体" w:cs="宋体" w:hint="eastAsia"/>
                <w:b/>
                <w:bCs/>
                <w:color w:val="333333"/>
                <w:kern w:val="0"/>
                <w:sz w:val="28"/>
                <w:szCs w:val="28"/>
              </w:rPr>
              <w:t>1.初步确定编制计划流程</w:t>
            </w:r>
            <w:bookmarkEnd w:id="75"/>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我们本次编制2011年度土地供应计划时，通过对2009年、2010年土地市场状况的分析整理，合理预测2011年度分用途土地需求量及当年可供给量，并由区县按一定的供地条件，上报符合条件的2011年土地需求量，采用一定的指标体系，确定区县可靠的土地需求量，并汇总得到区县上报的2011年全市用地总需求量，然后进行综合平衡，最终确定2011年度土地供给总量、分用途土地供给量、分区县土地供给量及供给进度。</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76" w:name="_Toc288721585"/>
            <w:r w:rsidRPr="00FA087C">
              <w:rPr>
                <w:rFonts w:ascii="宋体" w:eastAsia="宋体" w:hAnsi="宋体" w:cs="宋体" w:hint="eastAsia"/>
                <w:b/>
                <w:bCs/>
                <w:color w:val="333333"/>
                <w:kern w:val="0"/>
                <w:sz w:val="28"/>
                <w:szCs w:val="28"/>
              </w:rPr>
              <w:t>2.确定土地供应计划的技术路线</w:t>
            </w:r>
            <w:bookmarkEnd w:id="76"/>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根据研究的思路以及研究的内容，确定研究的技术路线。如下图所示：</w:t>
            </w:r>
          </w:p>
          <w:p w:rsidR="00FA087C" w:rsidRPr="00FA087C" w:rsidRDefault="00FA087C" w:rsidP="00FA087C">
            <w:pPr>
              <w:widowControl/>
              <w:spacing w:line="480" w:lineRule="atLeast"/>
              <w:jc w:val="left"/>
              <w:rPr>
                <w:rFonts w:ascii="宋体" w:eastAsia="宋体" w:hAnsi="宋体" w:cs="宋体"/>
                <w:color w:val="333333"/>
                <w:kern w:val="0"/>
                <w:sz w:val="24"/>
                <w:szCs w:val="24"/>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收集和整理历史土地供应</w:t>
                  </w:r>
                </w:p>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数据资料</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宋体" w:eastAsia="宋体" w:hAnsi="宋体" w:cs="宋体"/>
                      <w:bCs/>
                      <w:color w:val="333333"/>
                      <w:kern w:val="0"/>
                      <w:sz w:val="24"/>
                      <w:szCs w:val="21"/>
                      <w:lang w:val="zh-CN"/>
                    </w:rPr>
                    <w:t>11</w:t>
                  </w:r>
                  <w:r w:rsidRPr="00FA087C">
                    <w:rPr>
                      <w:rFonts w:ascii="Times New Roman" w:eastAsia="宋体" w:hAnsi="Times New Roman" w:cs="宋体" w:hint="eastAsia"/>
                      <w:bCs/>
                      <w:color w:val="333333"/>
                      <w:kern w:val="0"/>
                      <w:sz w:val="24"/>
                      <w:szCs w:val="21"/>
                      <w:lang w:val="zh-CN"/>
                    </w:rPr>
                    <w:t>年土地供需</w:t>
                  </w:r>
                </w:p>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平衡分析</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通过历史数据采用各种方法</w:t>
                  </w:r>
                </w:p>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测算</w:t>
                  </w:r>
                  <w:r w:rsidRPr="00FA087C">
                    <w:rPr>
                      <w:rFonts w:ascii="宋体" w:eastAsia="宋体" w:hAnsi="宋体" w:cs="宋体"/>
                      <w:bCs/>
                      <w:color w:val="333333"/>
                      <w:kern w:val="0"/>
                      <w:sz w:val="24"/>
                      <w:szCs w:val="21"/>
                      <w:lang w:val="zh-CN"/>
                    </w:rPr>
                    <w:t>11</w:t>
                  </w:r>
                  <w:r w:rsidRPr="00FA087C">
                    <w:rPr>
                      <w:rFonts w:ascii="Times New Roman" w:eastAsia="宋体" w:hAnsi="Times New Roman" w:cs="宋体" w:hint="eastAsia"/>
                      <w:bCs/>
                      <w:color w:val="333333"/>
                      <w:kern w:val="0"/>
                      <w:sz w:val="24"/>
                      <w:szCs w:val="21"/>
                      <w:lang w:val="zh-CN"/>
                    </w:rPr>
                    <w:t>年土地供应量</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tcPr>
                <w:p w:rsidR="00FA087C" w:rsidRPr="00FA087C" w:rsidRDefault="00FA087C" w:rsidP="00FA087C">
                  <w:pPr>
                    <w:widowControl/>
                    <w:adjustRightInd w:val="0"/>
                    <w:spacing w:line="480" w:lineRule="atLeast"/>
                    <w:jc w:val="left"/>
                    <w:rPr>
                      <w:rFonts w:ascii="宋体" w:eastAsia="宋体" w:hAnsi="宋体" w:cs="宋体"/>
                      <w:bCs/>
                      <w:color w:val="333333"/>
                      <w:kern w:val="0"/>
                      <w:sz w:val="24"/>
                      <w:szCs w:val="21"/>
                      <w:lang w:val="zh-CN"/>
                    </w:rPr>
                  </w:pPr>
                </w:p>
                <w:p w:rsidR="00FA087C" w:rsidRPr="00FA087C" w:rsidRDefault="00FA087C" w:rsidP="00FA087C">
                  <w:pPr>
                    <w:widowControl/>
                    <w:adjustRightInd w:val="0"/>
                    <w:spacing w:line="480" w:lineRule="atLeast"/>
                    <w:jc w:val="left"/>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对房地产市场进行需求分析、对工业用地、基础设施用地等非经营性用地进行需求摸底</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宋体" w:eastAsia="宋体" w:hAnsi="宋体" w:cs="宋体"/>
                      <w:bCs/>
                      <w:color w:val="333333"/>
                      <w:kern w:val="0"/>
                      <w:sz w:val="24"/>
                      <w:szCs w:val="21"/>
                      <w:lang w:val="zh-CN"/>
                    </w:rPr>
                    <w:t>11</w:t>
                  </w:r>
                  <w:r w:rsidRPr="00FA087C">
                    <w:rPr>
                      <w:rFonts w:ascii="Times New Roman" w:eastAsia="宋体" w:hAnsi="Times New Roman" w:cs="宋体" w:hint="eastAsia"/>
                      <w:bCs/>
                      <w:color w:val="333333"/>
                      <w:kern w:val="0"/>
                      <w:sz w:val="24"/>
                      <w:szCs w:val="21"/>
                      <w:lang w:val="zh-CN"/>
                    </w:rPr>
                    <w:t>年土地供应</w:t>
                  </w:r>
                </w:p>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指标确定</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征求相关委办局意见</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征求区县意见</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征求专家学者意见</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灰色系统法</w:t>
                  </w:r>
                </w:p>
                <w:p w:rsidR="00FA087C" w:rsidRPr="00FA087C" w:rsidRDefault="00FA087C" w:rsidP="00FA087C">
                  <w:pPr>
                    <w:widowControl/>
                    <w:adjustRightInd w:val="0"/>
                    <w:spacing w:line="480" w:lineRule="atLeast"/>
                    <w:jc w:val="left"/>
                    <w:rPr>
                      <w:rFonts w:ascii="宋体" w:eastAsia="宋体" w:hAnsi="宋体" w:cs="宋体"/>
                      <w:color w:val="40458C"/>
                      <w:kern w:val="0"/>
                      <w:sz w:val="24"/>
                      <w:szCs w:val="24"/>
                      <w:lang w:val="zh-CN"/>
                    </w:rPr>
                  </w:pP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时间序列分析</w:t>
                  </w:r>
                </w:p>
              </w:tc>
            </w:tr>
          </w:tbl>
          <w:p w:rsidR="00FA087C" w:rsidRPr="00FA087C" w:rsidRDefault="00FA087C" w:rsidP="00FA087C">
            <w:pPr>
              <w:widowControl/>
              <w:spacing w:line="480" w:lineRule="atLeast"/>
              <w:jc w:val="left"/>
              <w:rPr>
                <w:rFonts w:ascii="ˎ̥" w:eastAsia="宋体" w:hAnsi="ˎ̥" w:cs="宋体" w:hint="eastAsia"/>
                <w:color w:val="333333"/>
                <w:kern w:val="0"/>
                <w:sz w:val="28"/>
                <w:szCs w:val="28"/>
              </w:rPr>
            </w:pPr>
          </w:p>
          <w:tbl>
            <w:tblPr>
              <w:tblW w:w="5000" w:type="pct"/>
              <w:tblCellSpacing w:w="0" w:type="dxa"/>
              <w:tblCellMar>
                <w:left w:w="0" w:type="dxa"/>
                <w:right w:w="0" w:type="dxa"/>
              </w:tblCellMar>
              <w:tblLook w:val="04A0"/>
            </w:tblPr>
            <w:tblGrid>
              <w:gridCol w:w="8640"/>
            </w:tblGrid>
            <w:tr w:rsidR="00FA087C" w:rsidRPr="00FA087C" w:rsidTr="00FA087C">
              <w:trPr>
                <w:tblCellSpacing w:w="0" w:type="dxa"/>
              </w:trPr>
              <w:tc>
                <w:tcPr>
                  <w:tcW w:w="0" w:type="auto"/>
                  <w:tcBorders>
                    <w:top w:val="nil"/>
                    <w:left w:val="nil"/>
                    <w:bottom w:val="nil"/>
                    <w:right w:val="nil"/>
                  </w:tcBorders>
                  <w:shd w:val="clear" w:color="auto" w:fill="auto"/>
                  <w:vAlign w:val="center"/>
                  <w:hideMark/>
                </w:tcPr>
                <w:p w:rsidR="00FA087C" w:rsidRPr="00FA087C" w:rsidRDefault="00FA087C" w:rsidP="00FA087C">
                  <w:pPr>
                    <w:widowControl/>
                    <w:adjustRightInd w:val="0"/>
                    <w:spacing w:line="480" w:lineRule="atLeast"/>
                    <w:jc w:val="center"/>
                    <w:rPr>
                      <w:rFonts w:ascii="宋体" w:eastAsia="宋体" w:hAnsi="宋体" w:cs="宋体"/>
                      <w:bCs/>
                      <w:color w:val="333333"/>
                      <w:kern w:val="0"/>
                      <w:sz w:val="24"/>
                      <w:szCs w:val="21"/>
                      <w:lang w:val="zh-CN"/>
                    </w:rPr>
                  </w:pPr>
                  <w:r w:rsidRPr="00FA087C">
                    <w:rPr>
                      <w:rFonts w:ascii="Times New Roman" w:eastAsia="宋体" w:hAnsi="Times New Roman" w:cs="宋体" w:hint="eastAsia"/>
                      <w:bCs/>
                      <w:color w:val="333333"/>
                      <w:kern w:val="0"/>
                      <w:sz w:val="24"/>
                      <w:szCs w:val="21"/>
                      <w:lang w:val="zh-CN"/>
                    </w:rPr>
                    <w:t>相关分析等</w:t>
                  </w:r>
                </w:p>
              </w:tc>
            </w:tr>
          </w:tbl>
          <w:p w:rsidR="00FA087C" w:rsidRPr="00FA087C" w:rsidRDefault="00153030" w:rsidP="00FA087C">
            <w:pPr>
              <w:widowControl/>
              <w:spacing w:line="480" w:lineRule="atLeast"/>
              <w:jc w:val="left"/>
              <w:rPr>
                <w:rFonts w:ascii="宋体" w:eastAsia="宋体" w:hAnsi="宋体" w:cs="宋体"/>
                <w:color w:val="333333"/>
                <w:kern w:val="0"/>
                <w:sz w:val="28"/>
                <w:szCs w:val="28"/>
              </w:rPr>
            </w:pPr>
            <w:r w:rsidRPr="00153030">
              <w:rPr>
                <w:rFonts w:ascii="ˎ̥" w:eastAsia="宋体" w:hAnsi="ˎ̥" w:cs="宋体"/>
                <w:color w:val="333333"/>
                <w:kern w:val="0"/>
                <w:sz w:val="28"/>
                <w:szCs w:val="28"/>
              </w:rPr>
              <w:lastRenderedPageBreak/>
              <w:pict>
                <v:group id="_x0000_s1026" editas="canvas" style="position:absolute;margin-left:0;margin-top:0;width:405pt;height:324pt;z-index:251658240;mso-position-horizontal-relative:char;mso-position-vertical-relative:line" coordorigin="2358,2376" coordsize="7044,564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58;top:2376;width:7044;height:5644" o:preferrelative="f">
                    <v:fill o:detectmouseclick="t"/>
                    <v:path o:extrusionok="t" o:connecttype="none"/>
                  </v:shape>
                  <v:rect id="_x0000_s1028" style="position:absolute;left:4706;top:2376;width:2504;height:679"/>
                  <v:rect id="_x0000_s1029" style="position:absolute;left:6428;top:5500;width:1721;height:680"/>
                  <v:rect id="_x0000_s1030" style="position:absolute;left:4915;top:3735;width:2660;height:627"/>
                  <v:line id="_x0000_s1031" style="position:absolute" from="4080,4006" to="4862,4009">
                    <v:stroke endarrow="block"/>
                  </v:line>
                  <v:line id="_x0000_s1032" style="position:absolute" from="5958,3055" to="5961,3735">
                    <v:stroke endarrow="block"/>
                  </v:line>
                  <v:line id="_x0000_s1033" style="position:absolute" from="5958,4414" to="5961,5228"/>
                  <v:rect id="_x0000_s1034" style="position:absolute;left:7993;top:2376;width:1409;height:2446"/>
                  <v:line id="_x0000_s1035" style="position:absolute" from="5958,5228" to="8462,5231"/>
                  <v:line id="_x0000_s1036" style="position:absolute" from="7210,5228" to="7213,5500">
                    <v:stroke endarrow="block"/>
                  </v:line>
                  <v:line id="_x0000_s1037" style="position:absolute" from="7210,6180" to="7213,6587">
                    <v:stroke endarrow="block"/>
                  </v:line>
                  <v:rect id="_x0000_s1038" style="position:absolute;left:6428;top:6587;width:1721;height:680"/>
                  <v:rect id="_x0000_s1039" style="position:absolute;left:3141;top:6661;width:2295;height:523"/>
                  <v:rect id="_x0000_s1040" style="position:absolute;left:3141;top:5825;width:2347;height:523"/>
                  <v:rect id="_x0000_s1041" style="position:absolute;left:3141;top:7538;width:2347;height:482"/>
                  <v:line id="_x0000_s1042" style="position:absolute" from="5488,7811" to="5802,7813"/>
                  <v:line id="_x0000_s1043" style="position:absolute" from="5488,6045" to="5802,6047"/>
                  <v:line id="_x0000_s1044" style="position:absolute" from="5488,6860" to="5802,6862"/>
                  <v:line id="_x0000_s1045" style="position:absolute" from="5802,6045" to="5804,7811"/>
                  <v:line id="_x0000_s1046" style="position:absolute" from="5802,6860" to="6428,6862">
                    <v:stroke endarrow="block"/>
                  </v:line>
                  <v:rect id="_x0000_s1047" style="position:absolute;left:2358;top:3870;width:1722;height:409"/>
                  <v:rect id="_x0000_s1048" style="position:absolute;left:2358;top:3055;width:1722;height:407"/>
                  <v:rect id="_x0000_s1049" style="position:absolute;left:2358;top:4687;width:1722;height:406"/>
                  <v:line id="_x0000_s1050" style="position:absolute" from="4393,3190" to="4395,4958"/>
                  <v:line id="_x0000_s1051" style="position:absolute" from="8462,4822" to="8463,5228"/>
                  <v:line id="_x0000_s1052" style="position:absolute" from="4080,3191" to="4395,3194"/>
                  <v:line id="_x0000_s1053" style="position:absolute" from="4080,4958" to="4395,4960"/>
                </v:group>
              </w:pict>
            </w:r>
            <w:r w:rsidRPr="00153030">
              <w:rPr>
                <w:rFonts w:ascii="宋体" w:eastAsia="宋体" w:hAnsi="宋体" w:cs="宋体"/>
                <w:color w:val="333333"/>
                <w:kern w:val="0"/>
                <w:sz w:val="28"/>
                <w:szCs w:val="28"/>
              </w:rPr>
              <w:pict>
                <v:shape id="_x0000_i1025" type="#_x0000_t75" style="width:405pt;height:325pt">
                  <v:imagedata croptop="-65520f" cropbottom="65520f"/>
                </v:shape>
              </w:pict>
            </w:r>
          </w:p>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图2-1　黑河市2011年度土地供应计划编制流程图</w:t>
            </w:r>
          </w:p>
          <w:p w:rsidR="00FA087C" w:rsidRPr="00FA087C" w:rsidRDefault="00FA087C" w:rsidP="00FA087C">
            <w:pPr>
              <w:widowControl/>
              <w:spacing w:line="360" w:lineRule="auto"/>
              <w:jc w:val="center"/>
              <w:rPr>
                <w:rFonts w:ascii="宋体" w:eastAsia="宋体" w:hAnsi="宋体" w:cs="Times New Roman"/>
                <w:color w:val="333333"/>
                <w:szCs w:val="24"/>
              </w:rPr>
              <w:sectPr w:rsidR="00FA087C" w:rsidRPr="00FA087C">
                <w:pgSz w:w="12240" w:h="15840"/>
                <w:pgMar w:top="1440" w:right="1800" w:bottom="1440" w:left="1800" w:header="720" w:footer="720" w:gutter="0"/>
                <w:cols w:space="720"/>
              </w:sectPr>
            </w:pPr>
          </w:p>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color w:val="333333"/>
                <w:kern w:val="0"/>
                <w:sz w:val="24"/>
                <w:szCs w:val="24"/>
              </w:rPr>
              <w:t> </w:t>
            </w: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bookmarkStart w:id="77" w:name="_Toc288721586"/>
            <w:r w:rsidRPr="00FA087C">
              <w:rPr>
                <w:rFonts w:ascii="宋体" w:eastAsia="宋体" w:hAnsi="宋体" w:cs="宋体" w:hint="eastAsia"/>
                <w:b/>
                <w:bCs/>
                <w:color w:val="333333"/>
                <w:kern w:val="36"/>
                <w:sz w:val="32"/>
                <w:szCs w:val="32"/>
              </w:rPr>
              <w:t>三  黑河市土地供应现状和近期土地供应政策</w:t>
            </w:r>
            <w:bookmarkEnd w:id="77"/>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78" w:name="_Toc91584139"/>
            <w:bookmarkStart w:id="79" w:name="_Toc288721587"/>
            <w:bookmarkStart w:id="80" w:name="_Toc90667048"/>
            <w:r w:rsidRPr="00FA087C">
              <w:rPr>
                <w:rFonts w:ascii="宋体" w:eastAsia="宋体" w:hAnsi="宋体" w:cs="宋体"/>
                <w:b/>
                <w:bCs/>
                <w:color w:val="333333"/>
                <w:kern w:val="0"/>
                <w:sz w:val="36"/>
                <w:szCs w:val="36"/>
              </w:rPr>
              <w:t>(一)黑河市近几年土地供应分析</w:t>
            </w:r>
            <w:bookmarkEnd w:id="78"/>
            <w:bookmarkEnd w:id="79"/>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4"/>
                <w:szCs w:val="32"/>
              </w:rPr>
            </w:pPr>
            <w:bookmarkStart w:id="81" w:name="_Toc91584140"/>
            <w:bookmarkStart w:id="82" w:name="_Toc288721588"/>
            <w:bookmarkEnd w:id="80"/>
            <w:r w:rsidRPr="00FA087C">
              <w:rPr>
                <w:rFonts w:ascii="宋体" w:eastAsia="宋体" w:hAnsi="宋体" w:cs="宋体" w:hint="eastAsia"/>
                <w:b/>
                <w:bCs/>
                <w:color w:val="333333"/>
                <w:kern w:val="0"/>
                <w:sz w:val="28"/>
                <w:szCs w:val="28"/>
              </w:rPr>
              <w:t>1.2007-2010年土地供应总量分析</w:t>
            </w:r>
            <w:bookmarkEnd w:id="81"/>
            <w:bookmarkEnd w:id="82"/>
          </w:p>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left"/>
              <w:rPr>
                <w:rFonts w:ascii="宋体" w:eastAsia="宋体" w:hAnsi="宋体" w:cs="宋体"/>
                <w:color w:val="333333"/>
                <w:kern w:val="0"/>
                <w:sz w:val="24"/>
                <w:szCs w:val="24"/>
              </w:rPr>
            </w:pPr>
            <w:r>
              <w:rPr>
                <w:rFonts w:ascii="宋体" w:eastAsia="宋体" w:hAnsi="宋体" w:cs="宋体"/>
                <w:noProof/>
                <w:color w:val="333333"/>
                <w:kern w:val="0"/>
                <w:sz w:val="24"/>
                <w:szCs w:val="24"/>
              </w:rPr>
              <w:lastRenderedPageBreak/>
              <w:drawing>
                <wp:inline distT="0" distB="0" distL="0" distR="0">
                  <wp:extent cx="5207000" cy="2260600"/>
                  <wp:effectExtent l="19050" t="0" r="0" b="0"/>
                  <wp:docPr id="2"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66"/>
                          <a:srcRect/>
                          <a:stretch>
                            <a:fillRect/>
                          </a:stretch>
                        </pic:blipFill>
                        <pic:spPr bwMode="auto">
                          <a:xfrm>
                            <a:off x="0" y="0"/>
                            <a:ext cx="5207000" cy="2260600"/>
                          </a:xfrm>
                          <a:prstGeom prst="rect">
                            <a:avLst/>
                          </a:prstGeom>
                          <a:noFill/>
                          <a:ln w="9525">
                            <a:noFill/>
                            <a:miter lim="800000"/>
                            <a:headEnd/>
                            <a:tailEnd/>
                          </a:ln>
                        </pic:spPr>
                      </pic:pic>
                    </a:graphicData>
                  </a:graphic>
                </wp:inline>
              </w:drawing>
            </w:r>
          </w:p>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18"/>
                <w:szCs w:val="18"/>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r w:rsidRPr="00FA087C">
              <w:rPr>
                <w:rFonts w:ascii="宋体" w:eastAsia="宋体" w:hAnsi="宋体" w:cs="宋体" w:hint="eastAsia"/>
                <w:color w:val="333333"/>
                <w:kern w:val="0"/>
                <w:sz w:val="18"/>
                <w:szCs w:val="18"/>
              </w:rPr>
              <w:t>图3-1  2007-2010年土地供应总量趋势图</w:t>
            </w:r>
          </w:p>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left"/>
              <w:rPr>
                <w:rFonts w:ascii="宋体" w:eastAsia="宋体" w:hAnsi="宋体" w:cs="宋体"/>
                <w:color w:val="333333"/>
                <w:kern w:val="0"/>
                <w:sz w:val="24"/>
                <w:szCs w:val="24"/>
              </w:rPr>
            </w:pPr>
            <w:r>
              <w:rPr>
                <w:rFonts w:ascii="宋体" w:eastAsia="宋体" w:hAnsi="宋体" w:cs="宋体"/>
                <w:noProof/>
                <w:color w:val="333333"/>
                <w:kern w:val="0"/>
                <w:sz w:val="24"/>
                <w:szCs w:val="24"/>
              </w:rPr>
              <w:drawing>
                <wp:inline distT="0" distB="0" distL="0" distR="0">
                  <wp:extent cx="5156200" cy="2603500"/>
                  <wp:effectExtent l="19050" t="0" r="6350" b="0"/>
                  <wp:docPr id="3" name="图表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2"/>
                          <pic:cNvPicPr>
                            <a:picLocks noChangeArrowheads="1"/>
                          </pic:cNvPicPr>
                        </pic:nvPicPr>
                        <pic:blipFill>
                          <a:blip r:embed="rId67"/>
                          <a:srcRect/>
                          <a:stretch>
                            <a:fillRect/>
                          </a:stretch>
                        </pic:blipFill>
                        <pic:spPr bwMode="auto">
                          <a:xfrm>
                            <a:off x="0" y="0"/>
                            <a:ext cx="5156200" cy="2603500"/>
                          </a:xfrm>
                          <a:prstGeom prst="rect">
                            <a:avLst/>
                          </a:prstGeom>
                          <a:noFill/>
                          <a:ln w="9525">
                            <a:noFill/>
                            <a:miter lim="800000"/>
                            <a:headEnd/>
                            <a:tailEnd/>
                          </a:ln>
                        </pic:spPr>
                      </pic:pic>
                    </a:graphicData>
                  </a:graphic>
                </wp:inline>
              </w:drawing>
            </w:r>
          </w:p>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 xml:space="preserve">   图3-2  2007-2010年划拨土地供应量占总供应量百分比图</w:t>
            </w:r>
          </w:p>
          <w:p w:rsidR="00FA087C" w:rsidRPr="00FA087C" w:rsidRDefault="00FA087C" w:rsidP="00FA087C">
            <w:pPr>
              <w:widowControl/>
              <w:spacing w:line="480" w:lineRule="atLeast"/>
              <w:jc w:val="center"/>
              <w:rPr>
                <w:rFonts w:ascii="宋体" w:eastAsia="宋体" w:hAnsi="宋体" w:cs="宋体"/>
                <w:color w:val="333333"/>
                <w:kern w:val="0"/>
                <w:sz w:val="18"/>
                <w:szCs w:val="18"/>
              </w:rPr>
            </w:pPr>
          </w:p>
          <w:p w:rsidR="00FA087C" w:rsidRPr="00FA087C" w:rsidRDefault="00FA087C" w:rsidP="00FA087C">
            <w:pPr>
              <w:widowControl/>
              <w:spacing w:line="480" w:lineRule="atLeast"/>
              <w:jc w:val="center"/>
              <w:rPr>
                <w:rFonts w:ascii="宋体" w:eastAsia="宋体" w:hAnsi="宋体" w:cs="宋体"/>
                <w:color w:val="333333"/>
                <w:kern w:val="0"/>
                <w:sz w:val="18"/>
                <w:szCs w:val="18"/>
              </w:rPr>
            </w:pPr>
          </w:p>
          <w:p w:rsidR="00FA087C" w:rsidRPr="00FA087C" w:rsidRDefault="00FA087C" w:rsidP="00FA087C">
            <w:pPr>
              <w:widowControl/>
              <w:spacing w:line="480" w:lineRule="atLeast"/>
              <w:jc w:val="center"/>
              <w:rPr>
                <w:rFonts w:ascii="宋体" w:eastAsia="宋体" w:hAnsi="宋体" w:cs="宋体"/>
                <w:color w:val="333333"/>
                <w:kern w:val="0"/>
                <w:sz w:val="18"/>
                <w:szCs w:val="18"/>
              </w:rPr>
            </w:pPr>
          </w:p>
          <w:p w:rsidR="00FA087C" w:rsidRPr="00FA087C" w:rsidRDefault="00FA087C" w:rsidP="00FA087C">
            <w:pPr>
              <w:widowControl/>
              <w:spacing w:line="480" w:lineRule="atLeast"/>
              <w:jc w:val="left"/>
              <w:rPr>
                <w:rFonts w:ascii="宋体" w:eastAsia="宋体" w:hAnsi="宋体" w:cs="宋体"/>
                <w:color w:val="333333"/>
                <w:kern w:val="0"/>
                <w:sz w:val="24"/>
                <w:szCs w:val="24"/>
              </w:rPr>
            </w:pPr>
            <w:r>
              <w:rPr>
                <w:rFonts w:ascii="宋体" w:eastAsia="宋体" w:hAnsi="宋体" w:cs="宋体"/>
                <w:noProof/>
                <w:color w:val="333333"/>
                <w:kern w:val="0"/>
                <w:sz w:val="24"/>
                <w:szCs w:val="24"/>
              </w:rPr>
              <w:lastRenderedPageBreak/>
              <w:drawing>
                <wp:inline distT="0" distB="0" distL="0" distR="0">
                  <wp:extent cx="5156200" cy="2603500"/>
                  <wp:effectExtent l="19050" t="0" r="635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68"/>
                          <a:srcRect/>
                          <a:stretch>
                            <a:fillRect/>
                          </a:stretch>
                        </pic:blipFill>
                        <pic:spPr bwMode="auto">
                          <a:xfrm>
                            <a:off x="0" y="0"/>
                            <a:ext cx="5156200" cy="2603500"/>
                          </a:xfrm>
                          <a:prstGeom prst="rect">
                            <a:avLst/>
                          </a:prstGeom>
                          <a:noFill/>
                          <a:ln w="9525">
                            <a:noFill/>
                            <a:miter lim="800000"/>
                            <a:headEnd/>
                            <a:tailEnd/>
                          </a:ln>
                        </pic:spPr>
                      </pic:pic>
                    </a:graphicData>
                  </a:graphic>
                </wp:inline>
              </w:drawing>
            </w:r>
          </w:p>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 xml:space="preserve">   图3-3  2007-2010年土地有偿供应量占总供应量百分比图   </w:t>
            </w:r>
          </w:p>
          <w:p w:rsidR="00FA087C" w:rsidRPr="00FA087C" w:rsidRDefault="00FA087C" w:rsidP="00FA087C">
            <w:pPr>
              <w:widowControl/>
              <w:wordWrap w:val="0"/>
              <w:spacing w:line="480" w:lineRule="atLeast"/>
              <w:jc w:val="right"/>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 xml:space="preserve">       </w:t>
            </w:r>
            <w:r w:rsidRPr="00FA087C">
              <w:rPr>
                <w:rFonts w:ascii="宋体" w:eastAsia="宋体" w:hAnsi="宋体" w:cs="Times" w:hint="eastAsia"/>
                <w:bCs/>
                <w:color w:val="333333"/>
                <w:kern w:val="0"/>
                <w:sz w:val="24"/>
                <w:szCs w:val="21"/>
              </w:rPr>
              <w:t xml:space="preserve"> 表3-1 2007-2010土地供应总量表  </w:t>
            </w:r>
            <w:r w:rsidRPr="00FA087C">
              <w:rPr>
                <w:rFonts w:ascii="宋体" w:eastAsia="宋体" w:hAnsi="宋体" w:cs="宋体" w:hint="eastAsia"/>
                <w:color w:val="333333"/>
                <w:kern w:val="0"/>
                <w:sz w:val="18"/>
                <w:szCs w:val="18"/>
              </w:rPr>
              <w:t xml:space="preserve">                  单位：公顷  </w:t>
            </w:r>
          </w:p>
          <w:tbl>
            <w:tblPr>
              <w:tblW w:w="8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8"/>
              <w:gridCol w:w="2346"/>
              <w:gridCol w:w="2346"/>
              <w:gridCol w:w="2347"/>
            </w:tblGrid>
            <w:tr w:rsidR="00FA087C" w:rsidRPr="00FA087C" w:rsidTr="00FA087C">
              <w:trPr>
                <w:trHeight w:val="841"/>
                <w:jc w:val="center"/>
              </w:trPr>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年份</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土地供应总量</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土地有偿供应量</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划拨土地供应量</w:t>
                  </w:r>
                </w:p>
              </w:tc>
            </w:tr>
            <w:bookmarkEnd w:id="67"/>
            <w:bookmarkEnd w:id="68"/>
            <w:bookmarkEnd w:id="69"/>
            <w:tr w:rsidR="00FA087C" w:rsidRPr="00FA087C" w:rsidTr="00FA087C">
              <w:trPr>
                <w:trHeight w:val="485"/>
                <w:jc w:val="center"/>
              </w:trPr>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2007</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54.0327</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19.4002</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34.6325</w:t>
                  </w:r>
                </w:p>
              </w:tc>
            </w:tr>
            <w:tr w:rsidR="00FA087C" w:rsidRPr="00FA087C" w:rsidTr="00FA087C">
              <w:trPr>
                <w:trHeight w:val="485"/>
                <w:jc w:val="center"/>
              </w:trPr>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2008</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134.6251</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84.2476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50.3775</w:t>
                  </w:r>
                </w:p>
              </w:tc>
            </w:tr>
            <w:tr w:rsidR="00FA087C" w:rsidRPr="00FA087C" w:rsidTr="00FA087C">
              <w:trPr>
                <w:trHeight w:val="485"/>
                <w:jc w:val="center"/>
              </w:trPr>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2009</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321.5211</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271.2463</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50.2748</w:t>
                  </w:r>
                </w:p>
              </w:tc>
            </w:tr>
            <w:tr w:rsidR="00FA087C" w:rsidRPr="00FA087C" w:rsidTr="00FA087C">
              <w:trPr>
                <w:trHeight w:val="485"/>
                <w:jc w:val="center"/>
              </w:trPr>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2010</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511.3859</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102.0737</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409.3122</w:t>
                  </w:r>
                </w:p>
              </w:tc>
            </w:tr>
            <w:tr w:rsidR="00FA087C" w:rsidRPr="00FA087C" w:rsidTr="00FA087C">
              <w:trPr>
                <w:trHeight w:val="460"/>
                <w:jc w:val="center"/>
              </w:trPr>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合计</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1021.5648</w:t>
                  </w:r>
                </w:p>
              </w:tc>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476.9678</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544.597</w:t>
                  </w:r>
                </w:p>
              </w:tc>
            </w:tr>
          </w:tbl>
          <w:p w:rsidR="00FA087C" w:rsidRPr="00FA087C" w:rsidRDefault="00FA087C" w:rsidP="00EE0D6B">
            <w:pPr>
              <w:widowControl/>
              <w:spacing w:beforeLines="50" w:afterLines="50"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2007年—2010年期间土地供应总量趋势图如图3-1中所示。总体上较为平稳，匀速增长。划拨土地供应量和有偿供应量占累计总供应量百分比如图3-2和图3-3所示，从图中可以看到，划拨土地供应量占总供应量比例总体上有一个下降趋势，有偿土地供应量呈现相反的趋势，反映了两种不同土地利用方式的变化状态。但在2010年，这两种土地利用方式有了一定变化。</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83" w:name="_Toc90667049"/>
            <w:bookmarkStart w:id="84" w:name="_Toc91584141"/>
            <w:bookmarkStart w:id="85" w:name="_Toc288721589"/>
            <w:r w:rsidRPr="00FA087C">
              <w:rPr>
                <w:rFonts w:ascii="宋体" w:eastAsia="宋体" w:hAnsi="宋体" w:cs="宋体" w:hint="eastAsia"/>
                <w:b/>
                <w:bCs/>
                <w:color w:val="333333"/>
                <w:kern w:val="0"/>
                <w:sz w:val="28"/>
                <w:szCs w:val="28"/>
              </w:rPr>
              <w:t>2.2007-2010年有偿土地供应量分析</w:t>
            </w:r>
            <w:bookmarkEnd w:id="83"/>
            <w:bookmarkEnd w:id="84"/>
            <w:bookmarkEnd w:id="85"/>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lastRenderedPageBreak/>
              <w:t xml:space="preserve">（1）有偿供应土地类型分析                                                                                                    </w:t>
            </w:r>
          </w:p>
          <w:p w:rsidR="00FA087C" w:rsidRPr="00FA087C" w:rsidRDefault="00FA087C" w:rsidP="00EE0D6B">
            <w:pPr>
              <w:widowControl/>
              <w:spacing w:beforeLines="50" w:afterLines="50"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黑河市国有土地使用权有偿供应绝大多数是以招拍挂方式进行出让。在近5年的土地有偿供应总量中，招拍挂出让土地共476.9678公顷，占有偿土地总供应量的94.84%。</w:t>
            </w:r>
          </w:p>
          <w:p w:rsidR="00FA087C" w:rsidRPr="00FA087C" w:rsidRDefault="00FA087C" w:rsidP="00FA087C">
            <w:pPr>
              <w:widowControl/>
              <w:spacing w:before="120" w:after="120" w:line="480" w:lineRule="atLeast"/>
              <w:jc w:val="left"/>
              <w:rPr>
                <w:rFonts w:ascii="ˎ̥" w:eastAsia="宋体" w:hAnsi="ˎ̥" w:cs="宋体" w:hint="eastAsia"/>
                <w:color w:val="333333"/>
                <w:kern w:val="0"/>
                <w:sz w:val="28"/>
                <w:szCs w:val="28"/>
              </w:rPr>
            </w:pPr>
            <w:bookmarkStart w:id="86" w:name="_Toc73195241"/>
            <w:r w:rsidRPr="00FA087C">
              <w:rPr>
                <w:rFonts w:ascii="宋体" w:eastAsia="宋体" w:hAnsi="宋体" w:cs="宋体"/>
                <w:color w:val="333333"/>
                <w:kern w:val="0"/>
                <w:sz w:val="28"/>
                <w:szCs w:val="28"/>
              </w:rPr>
              <w:t>表3-2  2007-2010年国有土地使用权有偿供应情况</w:t>
            </w:r>
            <w:bookmarkEnd w:id="86"/>
          </w:p>
          <w:tbl>
            <w:tblPr>
              <w:tblW w:w="4781"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tblPr>
            <w:tblGrid>
              <w:gridCol w:w="2073"/>
              <w:gridCol w:w="3188"/>
              <w:gridCol w:w="2995"/>
            </w:tblGrid>
            <w:tr w:rsidR="00FA087C" w:rsidRPr="00FA087C" w:rsidTr="00FA087C">
              <w:trPr>
                <w:trHeight w:val="533"/>
                <w:jc w:val="center"/>
              </w:trPr>
              <w:tc>
                <w:tcPr>
                  <w:tcW w:w="1255"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 xml:space="preserve">　</w:t>
                  </w:r>
                </w:p>
              </w:tc>
              <w:tc>
                <w:tcPr>
                  <w:tcW w:w="1930"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土地面积</w:t>
                  </w:r>
                  <w:r w:rsidRPr="00FA087C">
                    <w:rPr>
                      <w:rFonts w:ascii="宋体" w:eastAsia="宋体" w:hAnsi="宋体" w:cs="宋体"/>
                      <w:color w:val="333333"/>
                      <w:kern w:val="0"/>
                      <w:sz w:val="24"/>
                      <w:szCs w:val="21"/>
                    </w:rPr>
                    <w:t>(</w:t>
                  </w:r>
                  <w:r w:rsidRPr="00FA087C">
                    <w:rPr>
                      <w:rFonts w:ascii="Times New Roman" w:eastAsia="宋体" w:hAnsi="Times New Roman" w:cs="宋体" w:hint="eastAsia"/>
                      <w:color w:val="333333"/>
                      <w:kern w:val="0"/>
                      <w:sz w:val="24"/>
                      <w:szCs w:val="21"/>
                    </w:rPr>
                    <w:t>公顷</w:t>
                  </w:r>
                  <w:r w:rsidRPr="00FA087C">
                    <w:rPr>
                      <w:rFonts w:ascii="宋体" w:eastAsia="宋体" w:hAnsi="宋体" w:cs="宋体"/>
                      <w:color w:val="333333"/>
                      <w:kern w:val="0"/>
                      <w:sz w:val="24"/>
                      <w:szCs w:val="21"/>
                    </w:rPr>
                    <w:t>)</w:t>
                  </w:r>
                </w:p>
              </w:tc>
              <w:tc>
                <w:tcPr>
                  <w:tcW w:w="1814"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面积比例（</w:t>
                  </w:r>
                  <w:r w:rsidRPr="00FA087C">
                    <w:rPr>
                      <w:rFonts w:ascii="宋体" w:eastAsia="宋体" w:hAnsi="宋体" w:cs="宋体"/>
                      <w:color w:val="333333"/>
                      <w:kern w:val="0"/>
                      <w:sz w:val="24"/>
                      <w:szCs w:val="21"/>
                    </w:rPr>
                    <w:t>%</w:t>
                  </w:r>
                  <w:r w:rsidRPr="00FA087C">
                    <w:rPr>
                      <w:rFonts w:ascii="Times New Roman" w:eastAsia="宋体" w:hAnsi="Times New Roman" w:cs="宋体" w:hint="eastAsia"/>
                      <w:color w:val="333333"/>
                      <w:kern w:val="0"/>
                      <w:sz w:val="24"/>
                      <w:szCs w:val="21"/>
                    </w:rPr>
                    <w:t>）</w:t>
                  </w:r>
                </w:p>
              </w:tc>
            </w:tr>
            <w:tr w:rsidR="00FA087C" w:rsidRPr="00FA087C" w:rsidTr="00FA087C">
              <w:trPr>
                <w:trHeight w:val="404"/>
                <w:jc w:val="center"/>
              </w:trPr>
              <w:tc>
                <w:tcPr>
                  <w:tcW w:w="1255"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协议出让</w:t>
                  </w:r>
                </w:p>
              </w:tc>
              <w:tc>
                <w:tcPr>
                  <w:tcW w:w="1930"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24.603</w:t>
                  </w:r>
                </w:p>
              </w:tc>
              <w:tc>
                <w:tcPr>
                  <w:tcW w:w="1814"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5.16%</w:t>
                  </w:r>
                </w:p>
              </w:tc>
            </w:tr>
            <w:tr w:rsidR="00FA087C" w:rsidRPr="00FA087C" w:rsidTr="00FA087C">
              <w:trPr>
                <w:trHeight w:val="404"/>
                <w:jc w:val="center"/>
              </w:trPr>
              <w:tc>
                <w:tcPr>
                  <w:tcW w:w="1255"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招标</w:t>
                  </w:r>
                </w:p>
              </w:tc>
              <w:tc>
                <w:tcPr>
                  <w:tcW w:w="1930"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w:t>
                  </w:r>
                </w:p>
              </w:tc>
              <w:tc>
                <w:tcPr>
                  <w:tcW w:w="1814"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w:t>
                  </w:r>
                </w:p>
              </w:tc>
            </w:tr>
            <w:tr w:rsidR="00FA087C" w:rsidRPr="00FA087C" w:rsidTr="00FA087C">
              <w:trPr>
                <w:trHeight w:val="404"/>
                <w:jc w:val="center"/>
              </w:trPr>
              <w:tc>
                <w:tcPr>
                  <w:tcW w:w="1255"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拍卖</w:t>
                  </w:r>
                </w:p>
              </w:tc>
              <w:tc>
                <w:tcPr>
                  <w:tcW w:w="1930"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w:t>
                  </w:r>
                </w:p>
              </w:tc>
              <w:tc>
                <w:tcPr>
                  <w:tcW w:w="1814"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w:t>
                  </w:r>
                </w:p>
              </w:tc>
            </w:tr>
            <w:tr w:rsidR="00FA087C" w:rsidRPr="00FA087C" w:rsidTr="00FA087C">
              <w:trPr>
                <w:trHeight w:val="404"/>
                <w:jc w:val="center"/>
              </w:trPr>
              <w:tc>
                <w:tcPr>
                  <w:tcW w:w="1255"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挂牌</w:t>
                  </w:r>
                </w:p>
              </w:tc>
              <w:tc>
                <w:tcPr>
                  <w:tcW w:w="1930"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452.3648</w:t>
                  </w:r>
                </w:p>
              </w:tc>
              <w:tc>
                <w:tcPr>
                  <w:tcW w:w="1814"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94.84%</w:t>
                  </w:r>
                </w:p>
              </w:tc>
            </w:tr>
            <w:tr w:rsidR="00FA087C" w:rsidRPr="00FA087C" w:rsidTr="00FA087C">
              <w:trPr>
                <w:trHeight w:val="426"/>
                <w:jc w:val="center"/>
              </w:trPr>
              <w:tc>
                <w:tcPr>
                  <w:tcW w:w="1255"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合计</w:t>
                  </w:r>
                </w:p>
              </w:tc>
              <w:tc>
                <w:tcPr>
                  <w:tcW w:w="1930"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476.9678</w:t>
                  </w:r>
                </w:p>
              </w:tc>
              <w:tc>
                <w:tcPr>
                  <w:tcW w:w="1814" w:type="pct"/>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100%</w:t>
                  </w:r>
                </w:p>
              </w:tc>
            </w:tr>
          </w:tbl>
          <w:p w:rsidR="00FA087C" w:rsidRPr="00FA087C" w:rsidRDefault="00FA087C" w:rsidP="00EE0D6B">
            <w:pPr>
              <w:widowControl/>
              <w:adjustRightInd w:val="0"/>
              <w:snapToGrid w:val="0"/>
              <w:spacing w:beforeLines="50" w:afterLines="50" w:line="360" w:lineRule="auto"/>
              <w:ind w:firstLineChars="200" w:firstLine="480"/>
              <w:jc w:val="left"/>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（2）有偿供应土地用途分类分析</w:t>
            </w:r>
          </w:p>
          <w:p w:rsidR="00FA087C" w:rsidRPr="00FA087C" w:rsidRDefault="00FA087C" w:rsidP="00EE0D6B">
            <w:pPr>
              <w:widowControl/>
              <w:spacing w:beforeLines="50" w:afterLines="50"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在各种土地利用类型中，住宅用地数量最多，其次为工矿仓储，最后是商业。</w:t>
            </w:r>
          </w:p>
          <w:p w:rsidR="00FA087C" w:rsidRPr="00FA087C" w:rsidRDefault="00FA087C" w:rsidP="00FA087C">
            <w:pPr>
              <w:widowControl/>
              <w:spacing w:before="120" w:after="120" w:line="480" w:lineRule="atLeast"/>
              <w:jc w:val="left"/>
              <w:rPr>
                <w:rFonts w:ascii="ˎ̥" w:eastAsia="宋体" w:hAnsi="ˎ̥" w:cs="宋体" w:hint="eastAsia"/>
                <w:color w:val="333333"/>
                <w:kern w:val="0"/>
                <w:sz w:val="28"/>
                <w:szCs w:val="28"/>
              </w:rPr>
            </w:pPr>
            <w:r w:rsidRPr="00FA087C">
              <w:rPr>
                <w:rFonts w:ascii="宋体" w:eastAsia="宋体" w:hAnsi="宋体" w:cs="宋体"/>
                <w:color w:val="333333"/>
                <w:kern w:val="0"/>
                <w:sz w:val="28"/>
                <w:szCs w:val="28"/>
              </w:rPr>
              <w:t>表3-3 2007-2010年国有土地使用权有偿供应按用途分类 (单位：公顷)</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3"/>
              <w:gridCol w:w="1176"/>
              <w:gridCol w:w="1180"/>
              <w:gridCol w:w="1176"/>
              <w:gridCol w:w="1234"/>
            </w:tblGrid>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pacing w:line="480" w:lineRule="atLeast"/>
                    <w:jc w:val="center"/>
                    <w:rPr>
                      <w:rFonts w:ascii="宋体" w:eastAsia="宋体" w:hAnsi="宋体" w:cs="宋体"/>
                      <w:color w:val="333333"/>
                      <w:kern w:val="0"/>
                      <w:sz w:val="24"/>
                      <w:szCs w:val="21"/>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2007</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2009</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2010</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居住用地</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19.4002</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84.2476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51.1710</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31.4208</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比例（</w:t>
                  </w:r>
                  <w:r w:rsidRPr="00FA087C">
                    <w:rPr>
                      <w:rFonts w:ascii="宋体" w:eastAsia="宋体" w:hAnsi="宋体" w:cs="宋体"/>
                      <w:color w:val="333333"/>
                      <w:kern w:val="0"/>
                      <w:sz w:val="24"/>
                      <w:szCs w:val="21"/>
                    </w:rPr>
                    <w:t>%</w:t>
                  </w: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100%</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18.87%</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30.78%</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工业用地</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203.2</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61.3316</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比例（</w:t>
                  </w:r>
                  <w:r w:rsidRPr="00FA087C">
                    <w:rPr>
                      <w:rFonts w:ascii="宋体" w:eastAsia="宋体" w:hAnsi="宋体" w:cs="宋体"/>
                      <w:color w:val="333333"/>
                      <w:kern w:val="0"/>
                      <w:sz w:val="24"/>
                      <w:szCs w:val="21"/>
                    </w:rPr>
                    <w:t>%</w:t>
                  </w: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74.91%</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60.09%</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商服用地</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16.8753</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9.3213</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比例（</w:t>
                  </w:r>
                  <w:r w:rsidRPr="00FA087C">
                    <w:rPr>
                      <w:rFonts w:ascii="宋体" w:eastAsia="宋体" w:hAnsi="宋体" w:cs="宋体"/>
                      <w:color w:val="333333"/>
                      <w:kern w:val="0"/>
                      <w:sz w:val="24"/>
                      <w:szCs w:val="21"/>
                    </w:rPr>
                    <w:t>%</w:t>
                  </w: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6.22%</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9.13%</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其它用地</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比例（</w:t>
                  </w:r>
                  <w:r w:rsidRPr="00FA087C">
                    <w:rPr>
                      <w:rFonts w:ascii="宋体" w:eastAsia="宋体" w:hAnsi="宋体" w:cs="宋体"/>
                      <w:color w:val="333333"/>
                      <w:kern w:val="0"/>
                      <w:sz w:val="24"/>
                      <w:szCs w:val="21"/>
                    </w:rPr>
                    <w:t>%</w:t>
                  </w: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lastRenderedPageBreak/>
                    <w:t>合计</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19.4002</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84.2476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271.2463</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102.0737</w:t>
                  </w:r>
                </w:p>
              </w:tc>
            </w:tr>
            <w:tr w:rsidR="00FA087C" w:rsidRPr="00FA087C" w:rsidTr="00FA087C">
              <w:trPr>
                <w:trHeight w:val="302"/>
              </w:trPr>
              <w:tc>
                <w:tcPr>
                  <w:tcW w:w="11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比例（</w:t>
                  </w:r>
                  <w:r w:rsidRPr="00FA087C">
                    <w:rPr>
                      <w:rFonts w:ascii="宋体" w:eastAsia="宋体" w:hAnsi="宋体" w:cs="宋体"/>
                      <w:color w:val="333333"/>
                      <w:kern w:val="0"/>
                      <w:sz w:val="24"/>
                      <w:szCs w:val="21"/>
                    </w:rPr>
                    <w:t>%</w:t>
                  </w:r>
                  <w:r w:rsidRPr="00FA087C">
                    <w:rPr>
                      <w:rFonts w:ascii="Times New Roman" w:eastAsia="宋体" w:hAnsi="Times New Roman" w:cs="宋体" w:hint="eastAsia"/>
                      <w:color w:val="333333"/>
                      <w:kern w:val="0"/>
                      <w:sz w:val="24"/>
                      <w:szCs w:val="21"/>
                    </w:rPr>
                    <w:t>）</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100%</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100%</w:t>
                  </w:r>
                </w:p>
              </w:tc>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100%</w:t>
                  </w:r>
                </w:p>
              </w:tc>
            </w:tr>
          </w:tbl>
          <w:p w:rsidR="00FA087C" w:rsidRPr="00FA087C" w:rsidRDefault="00FA087C" w:rsidP="00FA087C">
            <w:pPr>
              <w:widowControl/>
              <w:spacing w:line="360" w:lineRule="auto"/>
              <w:jc w:val="left"/>
              <w:rPr>
                <w:rFonts w:ascii="宋体" w:eastAsia="宋体" w:hAnsi="宋体" w:cs="宋体"/>
                <w:color w:val="333333"/>
                <w:kern w:val="0"/>
                <w:sz w:val="24"/>
                <w:szCs w:val="24"/>
              </w:rPr>
            </w:pPr>
          </w:p>
          <w:p w:rsidR="00FA087C" w:rsidRPr="00FA087C" w:rsidRDefault="00FA087C" w:rsidP="00FA087C">
            <w:pPr>
              <w:widowControl/>
              <w:spacing w:line="360" w:lineRule="auto"/>
              <w:jc w:val="left"/>
              <w:rPr>
                <w:rFonts w:ascii="宋体" w:eastAsia="宋体" w:hAnsi="宋体" w:cs="宋体"/>
                <w:color w:val="333333"/>
                <w:kern w:val="0"/>
                <w:sz w:val="24"/>
                <w:szCs w:val="24"/>
              </w:rPr>
            </w:pPr>
            <w:bookmarkStart w:id="87" w:name="OLE_LINK8"/>
            <w:bookmarkStart w:id="88" w:name="OLE_LINK9"/>
            <w:r>
              <w:rPr>
                <w:rFonts w:ascii="宋体" w:eastAsia="宋体" w:hAnsi="宋体" w:cs="宋体"/>
                <w:noProof/>
                <w:color w:val="333333"/>
                <w:kern w:val="0"/>
                <w:sz w:val="24"/>
                <w:szCs w:val="24"/>
              </w:rPr>
              <w:drawing>
                <wp:inline distT="0" distB="0" distL="0" distR="0">
                  <wp:extent cx="5321300" cy="2146300"/>
                  <wp:effectExtent l="1905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69"/>
                          <a:srcRect/>
                          <a:stretch>
                            <a:fillRect/>
                          </a:stretch>
                        </pic:blipFill>
                        <pic:spPr bwMode="auto">
                          <a:xfrm>
                            <a:off x="0" y="0"/>
                            <a:ext cx="5321300" cy="2146300"/>
                          </a:xfrm>
                          <a:prstGeom prst="rect">
                            <a:avLst/>
                          </a:prstGeom>
                          <a:noFill/>
                          <a:ln w="9525">
                            <a:noFill/>
                            <a:miter lim="800000"/>
                            <a:headEnd/>
                            <a:tailEnd/>
                          </a:ln>
                        </pic:spPr>
                      </pic:pic>
                    </a:graphicData>
                  </a:graphic>
                </wp:inline>
              </w:drawing>
            </w:r>
          </w:p>
          <w:p w:rsidR="00FA087C" w:rsidRPr="00FA087C" w:rsidRDefault="00FA087C" w:rsidP="00FA087C">
            <w:pPr>
              <w:widowControl/>
              <w:spacing w:line="360" w:lineRule="auto"/>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图3-4 2007-2010年各类用地有偿供应量变化趋势（单位：公顷）</w:t>
            </w:r>
          </w:p>
          <w:bookmarkEnd w:id="87"/>
          <w:bookmarkEnd w:id="88"/>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在各种土地利用类型中，住宅用地所占比例最大，其有偿供应量、增幅都基本保持平稳态势，从2007年占有偿土地供应总量的100％到2010年的30.78％，不仅显示出住宅旺盛的市场需求，同时说明了住宅生产市场化操作日趋成熟，其在城市建设中的地位也逐渐提升。</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从城市发展阶段分析，黑河市目前正处于工业化快速发展时期，工业是城市经济增长的支柱，工矿仓储用地应在城市用地中占有相当大的比例，因此，工矿仓储用地有偿供应比例逐年增加。从产业发展政策导向来看，黑河市将对现行的工矿仓储用地成本做出重大调整，调整后工矿仓储用地成本将从有偿供应方式、开发成本等方面实行系列优惠，工矿仓储用地成本大幅降低，并增加了工矿仓储用地交易、使用的灵活性，这些利好的政策对未来工业发展及工矿仓储用地交易量将产生积极的促进作用。由于受产业政策的倾斜，未来几年内工矿仓储用地的有偿供应量将会有所增加。</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lastRenderedPageBreak/>
              <w:t>商服用地比例变化相对较为平稳，且增长幅度不大。从土地使用效益分析，商服用地的土地价值很高，从第三产业发展的情况分析，商服用地有偿供应的增长速度偏低，存在一定程度的土地收益流失现象。</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（3）有偿供应土地中使用存量建设用地和新征地的比例</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在2007-2010年间，有偿供应土地总量为476.9678公顷，存量土地有偿供应总量为335.037公顷，增量土地有偿供应总量为141.9308公顷（表3-5）。存量土地出让量大于增量土地出让量。存量土地有偿供应总量占总有偿供应量比例平均为70.24%,其中2008、2010年超过平均比例；增量土地有偿供应总量占总有偿供应量比例平均为29.76%,2009年超过平均比例。</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p>
          <w:p w:rsidR="00FA087C" w:rsidRPr="00FA087C" w:rsidRDefault="00FA087C" w:rsidP="00FA087C">
            <w:pPr>
              <w:widowControl/>
              <w:spacing w:before="120" w:after="120" w:line="480" w:lineRule="atLeast"/>
              <w:jc w:val="left"/>
              <w:rPr>
                <w:rFonts w:ascii="ˎ̥" w:eastAsia="宋体" w:hAnsi="ˎ̥" w:cs="宋体" w:hint="eastAsia"/>
                <w:color w:val="333333"/>
                <w:kern w:val="0"/>
                <w:sz w:val="28"/>
                <w:szCs w:val="28"/>
              </w:rPr>
            </w:pPr>
            <w:bookmarkStart w:id="89" w:name="_Toc73195243"/>
            <w:r w:rsidRPr="00FA087C">
              <w:rPr>
                <w:rFonts w:ascii="宋体" w:eastAsia="宋体" w:hAnsi="宋体" w:cs="宋体"/>
                <w:color w:val="333333"/>
                <w:kern w:val="0"/>
                <w:sz w:val="28"/>
                <w:szCs w:val="28"/>
              </w:rPr>
              <w:t>表3-4  2007-2010有偿供应土地中存量和增量统计表   单位:公顷</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1465"/>
              <w:gridCol w:w="1465"/>
              <w:gridCol w:w="1465"/>
              <w:gridCol w:w="1465"/>
              <w:gridCol w:w="1465"/>
            </w:tblGrid>
            <w:tr w:rsidR="00FA087C" w:rsidRPr="00FA087C" w:rsidTr="00FA087C">
              <w:trPr>
                <w:trHeight w:val="61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年份</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总计</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存量</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存量占总量比（%）</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增量</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增量占总量比（%）</w:t>
                  </w:r>
                </w:p>
              </w:tc>
            </w:tr>
            <w:tr w:rsidR="00FA087C" w:rsidRPr="00FA087C" w:rsidTr="00FA087C">
              <w:trPr>
                <w:trHeight w:val="39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2007</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19.4002</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14.4256</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74.36</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4.9746</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25.64</w:t>
                  </w:r>
                </w:p>
              </w:tc>
            </w:tr>
            <w:tr w:rsidR="00FA087C" w:rsidRPr="00FA087C" w:rsidTr="00FA087C">
              <w:trPr>
                <w:trHeight w:val="39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84.2476</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80.0778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95.05</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4.1698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4.95</w:t>
                  </w:r>
                </w:p>
              </w:tc>
            </w:tr>
            <w:tr w:rsidR="00FA087C" w:rsidRPr="00FA087C" w:rsidTr="00FA087C">
              <w:trPr>
                <w:trHeight w:val="39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2009</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271.2463</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153.4809</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56.58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117.7654</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43.42</w:t>
                  </w:r>
                </w:p>
              </w:tc>
            </w:tr>
            <w:tr w:rsidR="00FA087C" w:rsidRPr="00FA087C" w:rsidTr="00FA087C">
              <w:trPr>
                <w:trHeight w:val="394"/>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2010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102.0737</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87.0527</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85.28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15.0210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14.72</w:t>
                  </w:r>
                </w:p>
              </w:tc>
            </w:tr>
            <w:tr w:rsidR="00FA087C" w:rsidRPr="00FA087C" w:rsidTr="00FA087C">
              <w:trPr>
                <w:trHeight w:val="415"/>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总计</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476.9678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335.037</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70.24</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141.9308</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Arial" w:hint="eastAsia"/>
                      <w:color w:val="333333"/>
                      <w:kern w:val="0"/>
                      <w:sz w:val="24"/>
                      <w:szCs w:val="21"/>
                    </w:rPr>
                    <w:t>29.76</w:t>
                  </w:r>
                </w:p>
              </w:tc>
            </w:tr>
          </w:tbl>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FA087C">
            <w:pPr>
              <w:widowControl/>
              <w:spacing w:line="480" w:lineRule="atLeast"/>
              <w:jc w:val="left"/>
              <w:rPr>
                <w:rFonts w:ascii="宋体" w:eastAsia="宋体" w:hAnsi="宋体" w:cs="宋体"/>
                <w:color w:val="333333"/>
                <w:kern w:val="0"/>
                <w:sz w:val="24"/>
                <w:szCs w:val="24"/>
              </w:rPr>
            </w:pPr>
            <w:r>
              <w:rPr>
                <w:rFonts w:ascii="宋体" w:eastAsia="宋体" w:hAnsi="宋体" w:cs="宋体"/>
                <w:noProof/>
                <w:color w:val="333333"/>
                <w:kern w:val="0"/>
                <w:sz w:val="24"/>
                <w:szCs w:val="24"/>
              </w:rPr>
              <w:lastRenderedPageBreak/>
              <w:drawing>
                <wp:inline distT="0" distB="0" distL="0" distR="0">
                  <wp:extent cx="5156200" cy="2438400"/>
                  <wp:effectExtent l="19050" t="0" r="635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70"/>
                          <a:srcRect b="-104"/>
                          <a:stretch>
                            <a:fillRect/>
                          </a:stretch>
                        </pic:blipFill>
                        <pic:spPr bwMode="auto">
                          <a:xfrm>
                            <a:off x="0" y="0"/>
                            <a:ext cx="5156200" cy="2438400"/>
                          </a:xfrm>
                          <a:prstGeom prst="rect">
                            <a:avLst/>
                          </a:prstGeom>
                          <a:noFill/>
                          <a:ln w="9525">
                            <a:noFill/>
                            <a:miter lim="800000"/>
                            <a:headEnd/>
                            <a:tailEnd/>
                          </a:ln>
                        </pic:spPr>
                      </pic:pic>
                    </a:graphicData>
                  </a:graphic>
                </wp:inline>
              </w:drawing>
            </w:r>
          </w:p>
          <w:p w:rsidR="00FA087C" w:rsidRPr="00FA087C" w:rsidRDefault="00FA087C" w:rsidP="00FA087C">
            <w:pPr>
              <w:widowControl/>
              <w:spacing w:line="360" w:lineRule="auto"/>
              <w:jc w:val="center"/>
              <w:rPr>
                <w:rFonts w:ascii="宋体" w:eastAsia="宋体" w:hAnsi="宋体" w:cs="宋体"/>
                <w:color w:val="333333"/>
                <w:kern w:val="0"/>
                <w:sz w:val="24"/>
                <w:szCs w:val="21"/>
              </w:rPr>
            </w:pPr>
          </w:p>
          <w:p w:rsidR="00FA087C" w:rsidRPr="00FA087C" w:rsidRDefault="00FA087C" w:rsidP="00FA087C">
            <w:pPr>
              <w:widowControl/>
              <w:spacing w:line="360" w:lineRule="auto"/>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图3-5  2007-2010年有偿供应土地中存量和增量比</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90" w:name="_Toc90667050"/>
            <w:bookmarkStart w:id="91" w:name="_Toc91584142"/>
            <w:bookmarkStart w:id="92" w:name="_Toc288721590"/>
            <w:r w:rsidRPr="00FA087C">
              <w:rPr>
                <w:rFonts w:ascii="宋体" w:eastAsia="宋体" w:hAnsi="宋体" w:cs="宋体" w:hint="eastAsia"/>
                <w:b/>
                <w:bCs/>
                <w:color w:val="333333"/>
                <w:kern w:val="0"/>
                <w:sz w:val="28"/>
                <w:szCs w:val="28"/>
              </w:rPr>
              <w:t>3.2007-2010年划拨土地供应分析</w:t>
            </w:r>
            <w:bookmarkEnd w:id="90"/>
            <w:bookmarkEnd w:id="91"/>
            <w:bookmarkEnd w:id="92"/>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93" w:name="_Toc90667051" w:colFirst="0" w:colLast="0"/>
            <w:r w:rsidRPr="00FA087C">
              <w:rPr>
                <w:rFonts w:ascii="宋体" w:eastAsia="宋体" w:hAnsi="宋体" w:cs="宋体" w:hint="eastAsia"/>
                <w:color w:val="000000"/>
                <w:kern w:val="0"/>
                <w:sz w:val="28"/>
                <w:szCs w:val="28"/>
              </w:rPr>
              <w:t>(1)划拨土地供应总量变化分析</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94" w:name="_Toc73195237"/>
            <w:r w:rsidRPr="00FA087C">
              <w:rPr>
                <w:rFonts w:ascii="宋体" w:eastAsia="宋体" w:hAnsi="宋体" w:cs="宋体" w:hint="eastAsia"/>
                <w:color w:val="000000"/>
                <w:kern w:val="0"/>
                <w:sz w:val="28"/>
                <w:szCs w:val="28"/>
              </w:rPr>
              <w:t>2007-2010年，黑河市国土资源局办理划拨城市建设用地累计总面积为544.97公顷。2007-2009年间，划拨土地供应量保持平稳，2010年，划拨土地供应量达到最大值，为409.3122公顷。</w:t>
            </w:r>
          </w:p>
          <w:bookmarkEnd w:id="94"/>
          <w:p w:rsidR="00FA087C" w:rsidRPr="00FA087C" w:rsidRDefault="00FA087C" w:rsidP="00FA087C">
            <w:pPr>
              <w:widowControl/>
              <w:spacing w:before="120" w:after="120" w:line="480" w:lineRule="atLeast"/>
              <w:jc w:val="left"/>
              <w:rPr>
                <w:rFonts w:ascii="ˎ̥" w:eastAsia="宋体" w:hAnsi="ˎ̥" w:cs="宋体" w:hint="eastAsia"/>
                <w:color w:val="333333"/>
                <w:kern w:val="0"/>
                <w:sz w:val="28"/>
                <w:szCs w:val="28"/>
              </w:rPr>
            </w:pPr>
            <w:r w:rsidRPr="00FA087C">
              <w:rPr>
                <w:rFonts w:ascii="宋体" w:eastAsia="宋体" w:hAnsi="宋体" w:cs="宋体"/>
                <w:color w:val="333333"/>
                <w:kern w:val="0"/>
                <w:sz w:val="28"/>
                <w:szCs w:val="28"/>
              </w:rPr>
              <w:t>表3-5 2007-2010年划拨城镇建设用地分年度统计表</w:t>
            </w:r>
          </w:p>
          <w:tbl>
            <w:tblPr>
              <w:tblW w:w="82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tblPr>
            <w:tblGrid>
              <w:gridCol w:w="2250"/>
              <w:gridCol w:w="3012"/>
              <w:gridCol w:w="2950"/>
            </w:tblGrid>
            <w:tr w:rsidR="00FA087C" w:rsidRPr="00FA087C" w:rsidTr="00FA087C">
              <w:trPr>
                <w:trHeight w:val="294"/>
                <w:jc w:val="center"/>
              </w:trPr>
              <w:tc>
                <w:tcPr>
                  <w:tcW w:w="225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bookmarkStart w:id="95" w:name="OLE_LINK2"/>
                  <w:r w:rsidRPr="00FA087C">
                    <w:rPr>
                      <w:rFonts w:ascii="宋体" w:eastAsia="宋体" w:hAnsi="宋体" w:cs="宋体" w:hint="eastAsia"/>
                      <w:color w:val="333333"/>
                      <w:kern w:val="0"/>
                      <w:sz w:val="24"/>
                      <w:szCs w:val="21"/>
                    </w:rPr>
                    <w:t>年度</w:t>
                  </w:r>
                </w:p>
              </w:tc>
              <w:tc>
                <w:tcPr>
                  <w:tcW w:w="3012"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面积(公顷)</w:t>
                  </w:r>
                </w:p>
              </w:tc>
              <w:tc>
                <w:tcPr>
                  <w:tcW w:w="295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比例(%)</w:t>
                  </w:r>
                </w:p>
              </w:tc>
            </w:tr>
            <w:tr w:rsidR="00FA087C" w:rsidRPr="00FA087C" w:rsidTr="00FA087C">
              <w:trPr>
                <w:trHeight w:val="294"/>
                <w:jc w:val="center"/>
              </w:trPr>
              <w:tc>
                <w:tcPr>
                  <w:tcW w:w="0" w:type="auto"/>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2007</w:t>
                  </w:r>
                </w:p>
              </w:tc>
              <w:tc>
                <w:tcPr>
                  <w:tcW w:w="3012"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34.6325</w:t>
                  </w:r>
                </w:p>
              </w:tc>
              <w:tc>
                <w:tcPr>
                  <w:tcW w:w="295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6.36%</w:t>
                  </w:r>
                </w:p>
              </w:tc>
            </w:tr>
            <w:tr w:rsidR="00FA087C" w:rsidRPr="00FA087C" w:rsidTr="00FA087C">
              <w:trPr>
                <w:trHeight w:val="294"/>
                <w:jc w:val="center"/>
              </w:trPr>
              <w:tc>
                <w:tcPr>
                  <w:tcW w:w="0" w:type="auto"/>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2008</w:t>
                  </w:r>
                </w:p>
              </w:tc>
              <w:tc>
                <w:tcPr>
                  <w:tcW w:w="3012"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50.3775</w:t>
                  </w:r>
                </w:p>
              </w:tc>
              <w:tc>
                <w:tcPr>
                  <w:tcW w:w="295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9.25%</w:t>
                  </w:r>
                </w:p>
              </w:tc>
            </w:tr>
            <w:tr w:rsidR="00FA087C" w:rsidRPr="00FA087C" w:rsidTr="00FA087C">
              <w:trPr>
                <w:trHeight w:val="294"/>
                <w:jc w:val="center"/>
              </w:trPr>
              <w:tc>
                <w:tcPr>
                  <w:tcW w:w="0" w:type="auto"/>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2009</w:t>
                  </w:r>
                </w:p>
              </w:tc>
              <w:tc>
                <w:tcPr>
                  <w:tcW w:w="3012"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50.2748</w:t>
                  </w:r>
                </w:p>
              </w:tc>
              <w:tc>
                <w:tcPr>
                  <w:tcW w:w="295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9.23%</w:t>
                  </w:r>
                </w:p>
              </w:tc>
            </w:tr>
            <w:tr w:rsidR="00FA087C" w:rsidRPr="00FA087C" w:rsidTr="00FA087C">
              <w:trPr>
                <w:trHeight w:val="294"/>
                <w:jc w:val="center"/>
              </w:trPr>
              <w:tc>
                <w:tcPr>
                  <w:tcW w:w="0" w:type="auto"/>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2010</w:t>
                  </w:r>
                </w:p>
              </w:tc>
              <w:tc>
                <w:tcPr>
                  <w:tcW w:w="3012"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409.3122</w:t>
                  </w:r>
                </w:p>
              </w:tc>
              <w:tc>
                <w:tcPr>
                  <w:tcW w:w="295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75.16%</w:t>
                  </w:r>
                </w:p>
              </w:tc>
            </w:tr>
            <w:tr w:rsidR="00FA087C" w:rsidRPr="00FA087C" w:rsidTr="00FA087C">
              <w:trPr>
                <w:trHeight w:val="294"/>
                <w:jc w:val="center"/>
              </w:trPr>
              <w:tc>
                <w:tcPr>
                  <w:tcW w:w="0" w:type="auto"/>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Times New Roman" w:eastAsia="宋体" w:hAnsi="Times New Roman" w:cs="宋体" w:hint="eastAsia"/>
                      <w:color w:val="333333"/>
                      <w:kern w:val="0"/>
                      <w:sz w:val="24"/>
                      <w:szCs w:val="21"/>
                    </w:rPr>
                    <w:t>总计</w:t>
                  </w:r>
                </w:p>
              </w:tc>
              <w:tc>
                <w:tcPr>
                  <w:tcW w:w="3012"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544.597</w:t>
                  </w:r>
                </w:p>
              </w:tc>
              <w:tc>
                <w:tcPr>
                  <w:tcW w:w="2950"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100%</w:t>
                  </w:r>
                </w:p>
              </w:tc>
            </w:tr>
          </w:tbl>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(2)划拨土地用途分类分析</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从用途分类来看，公共管理与公共服务用地最多，共72宗，占62.07%，用地面积101.5366公顷，占18.64%；其次是交通运输用地，</w:t>
            </w:r>
            <w:r w:rsidRPr="00FA087C">
              <w:rPr>
                <w:rFonts w:ascii="宋体" w:eastAsia="宋体" w:hAnsi="宋体" w:cs="宋体" w:hint="eastAsia"/>
                <w:color w:val="000000"/>
                <w:kern w:val="0"/>
                <w:sz w:val="28"/>
                <w:szCs w:val="28"/>
              </w:rPr>
              <w:lastRenderedPageBreak/>
              <w:t>共18宗，占15.52％，用地面积为414.4763公顷，占76.11%；经济适用住房，共17宗，占14.66%，用地面积22.7177公顷，占4.17%；廉租房用地2宗，占1.72%，用地面积3.2387公顷，占0.59%；水域及水利设施用地1宗，占0.86%，用地面积0.18公顷，占0.03%。</w:t>
            </w:r>
          </w:p>
          <w:p w:rsidR="00FA087C" w:rsidRPr="00FA087C" w:rsidRDefault="00FA087C" w:rsidP="00FA087C">
            <w:pPr>
              <w:widowControl/>
              <w:spacing w:before="120" w:after="120" w:line="480" w:lineRule="atLeast"/>
              <w:jc w:val="left"/>
              <w:rPr>
                <w:rFonts w:ascii="ˎ̥" w:eastAsia="宋体" w:hAnsi="ˎ̥" w:cs="宋体" w:hint="eastAsia"/>
                <w:color w:val="333333"/>
                <w:kern w:val="0"/>
                <w:sz w:val="28"/>
                <w:szCs w:val="28"/>
              </w:rPr>
            </w:pPr>
            <w:bookmarkStart w:id="96" w:name="_Toc73195238"/>
            <w:r w:rsidRPr="00FA087C">
              <w:rPr>
                <w:rFonts w:ascii="宋体" w:eastAsia="宋体" w:hAnsi="宋体" w:cs="宋体"/>
                <w:color w:val="333333"/>
                <w:kern w:val="0"/>
                <w:sz w:val="28"/>
                <w:szCs w:val="28"/>
              </w:rPr>
              <w:t>表3-6 2007-2010年划拨城镇建设用地分项目统计表</w:t>
            </w:r>
            <w:bookmarkEnd w:id="96"/>
          </w:p>
          <w:tbl>
            <w:tblPr>
              <w:tblW w:w="796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20"/>
            </w:tblPr>
            <w:tblGrid>
              <w:gridCol w:w="2548"/>
              <w:gridCol w:w="1885"/>
              <w:gridCol w:w="1228"/>
              <w:gridCol w:w="889"/>
              <w:gridCol w:w="1418"/>
            </w:tblGrid>
            <w:tr w:rsidR="00FA087C" w:rsidRPr="00FA087C" w:rsidTr="00FA087C">
              <w:trPr>
                <w:trHeight w:val="308"/>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bookmarkStart w:id="97" w:name="RANGE!AA13"/>
                  <w:r w:rsidRPr="00FA087C">
                    <w:rPr>
                      <w:rFonts w:ascii="宋体" w:eastAsia="宋体" w:hAnsi="宋体" w:cs="宋体" w:hint="eastAsia"/>
                      <w:color w:val="333333"/>
                      <w:kern w:val="0"/>
                      <w:sz w:val="24"/>
                      <w:szCs w:val="21"/>
                    </w:rPr>
                    <w:t>项目名称</w:t>
                  </w:r>
                  <w:bookmarkEnd w:id="97"/>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用地面积（公顷）</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比例(%)</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宗数</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比例(%)</w:t>
                  </w:r>
                </w:p>
              </w:tc>
            </w:tr>
            <w:bookmarkEnd w:id="95"/>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经济适用住房</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22.7177</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4.17%</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17</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14.66%</w:t>
                  </w:r>
                </w:p>
              </w:tc>
            </w:tr>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廉租房</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3.2387</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0.59%</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1.72%</w:t>
                  </w:r>
                </w:p>
              </w:tc>
            </w:tr>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公共管理与公共服务用地</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101.5366</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18.64%</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72</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62.07%</w:t>
                  </w:r>
                </w:p>
              </w:tc>
            </w:tr>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特殊用地</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1.2229</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0.22%</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5</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4.31%</w:t>
                  </w:r>
                </w:p>
              </w:tc>
            </w:tr>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交通运输用地</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414.4763</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76.11%</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18</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15.52%</w:t>
                  </w:r>
                </w:p>
              </w:tc>
            </w:tr>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水域及水利设施</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0.18</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0.03%</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0.86%</w:t>
                  </w:r>
                </w:p>
              </w:tc>
            </w:tr>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工矿仓储用地</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1.2248</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0.22%</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0.86%</w:t>
                  </w:r>
                </w:p>
              </w:tc>
            </w:tr>
            <w:tr w:rsidR="00FA087C" w:rsidRPr="00FA087C" w:rsidTr="00FA087C">
              <w:trPr>
                <w:trHeight w:val="414"/>
                <w:jc w:val="center"/>
              </w:trPr>
              <w:tc>
                <w:tcPr>
                  <w:tcW w:w="254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总      计</w:t>
                  </w:r>
                </w:p>
              </w:tc>
              <w:tc>
                <w:tcPr>
                  <w:tcW w:w="1885"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544.597</w:t>
                  </w:r>
                </w:p>
              </w:tc>
              <w:tc>
                <w:tcPr>
                  <w:tcW w:w="122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100%</w:t>
                  </w:r>
                </w:p>
              </w:tc>
              <w:tc>
                <w:tcPr>
                  <w:tcW w:w="889"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116</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100%</w:t>
                  </w:r>
                </w:p>
              </w:tc>
            </w:tr>
          </w:tbl>
          <w:p w:rsidR="00FA087C" w:rsidRPr="00FA087C" w:rsidRDefault="00FA087C" w:rsidP="00FA087C">
            <w:pPr>
              <w:widowControl/>
              <w:spacing w:line="360" w:lineRule="auto"/>
              <w:ind w:firstLineChars="200" w:firstLine="220"/>
              <w:jc w:val="left"/>
              <w:rPr>
                <w:rFonts w:ascii="宋体" w:eastAsia="宋体" w:hAnsi="宋体" w:cs="宋体"/>
                <w:color w:val="000000"/>
                <w:kern w:val="0"/>
                <w:sz w:val="11"/>
                <w:szCs w:val="11"/>
              </w:rPr>
            </w:pP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从2007到2010年，每年黑河市城镇划拨建设用地各类型用地所占比例排序基本一致，公共管理与公共服务用地占主要地位，其余依次是交通运输用地、经济适用房等其他用地。</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98" w:name="_Toc288721591"/>
            <w:r w:rsidRPr="00FA087C">
              <w:rPr>
                <w:rFonts w:ascii="宋体" w:eastAsia="宋体" w:hAnsi="宋体" w:cs="宋体" w:hint="eastAsia"/>
                <w:b/>
                <w:bCs/>
                <w:color w:val="333333"/>
                <w:kern w:val="0"/>
                <w:sz w:val="28"/>
                <w:szCs w:val="28"/>
              </w:rPr>
              <w:t>4.黑河市土地供应存在的问题</w:t>
            </w:r>
            <w:bookmarkEnd w:id="98"/>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99" w:name="_Toc83778907"/>
            <w:r w:rsidRPr="00FA087C">
              <w:rPr>
                <w:rFonts w:ascii="宋体" w:eastAsia="宋体" w:hAnsi="宋体" w:cs="宋体" w:hint="eastAsia"/>
                <w:color w:val="000000"/>
                <w:kern w:val="0"/>
                <w:sz w:val="28"/>
                <w:szCs w:val="28"/>
              </w:rPr>
              <w:t>城市建设用地供给结构欠合理</w:t>
            </w:r>
            <w:bookmarkEnd w:id="99"/>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通过历年供给土地的功能结构回顾, 在总体供给结构方面可以看出, 过去在土地供给方向明显偏重于住宅用地 , 工矿仓储用地比例下</w:t>
            </w:r>
            <w:r w:rsidRPr="00FA087C">
              <w:rPr>
                <w:rFonts w:ascii="宋体" w:eastAsia="宋体" w:hAnsi="宋体" w:cs="宋体" w:hint="eastAsia"/>
                <w:color w:val="000000"/>
                <w:kern w:val="0"/>
                <w:sz w:val="28"/>
                <w:szCs w:val="28"/>
              </w:rPr>
              <w:lastRenderedPageBreak/>
              <w:t>降，忽略了公共设施用地, 绿化用地明显不足。在内部构成方面，住宅用地中房地产开发用地占比例较大。</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工矿仓储用地比例呈现下降的趋势</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通过对有偿供应土地用途的分析，发现近几年黑河市工矿仓储用地有偿供应量呈现下降的趋势，同时在有偿供应的工矿仓储用地中，补办手续的又占据很大一部分，新增的工矿仓储用地数量有限。在城市快速发展的现在，工矿仓储比例的减少在一定程度上与工业化进程相背。</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绿化用地不足</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全市80%的城市人口和建设量都集中在市区，建设用地供需矛盾突出，基础设施、绿化等用地空间不足。</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00" w:name="_Toc288721592"/>
            <w:r w:rsidRPr="00FA087C">
              <w:rPr>
                <w:rFonts w:ascii="宋体" w:eastAsia="宋体" w:hAnsi="宋体" w:cs="宋体"/>
                <w:b/>
                <w:bCs/>
                <w:color w:val="333333"/>
                <w:kern w:val="0"/>
                <w:sz w:val="36"/>
                <w:szCs w:val="36"/>
              </w:rPr>
              <w:t>(二)近期土地供应政策的趋向</w:t>
            </w:r>
            <w:bookmarkEnd w:id="100"/>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通过对黑河市2007年以来历史土地供应数据的分析，针对黑河市宏观经济发展状况和2011年经济工作发展重点和方向，特提出近期黑河市土地供应趋向性建议。</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01" w:name="_Toc288721593"/>
            <w:r w:rsidRPr="00FA087C">
              <w:rPr>
                <w:rFonts w:ascii="宋体" w:eastAsia="宋体" w:hAnsi="宋体" w:cs="宋体" w:hint="eastAsia"/>
                <w:b/>
                <w:bCs/>
                <w:color w:val="333333"/>
                <w:kern w:val="0"/>
                <w:sz w:val="28"/>
                <w:szCs w:val="28"/>
              </w:rPr>
              <w:t>1.针对不同的土地利用方向，制定不同的土地供应政策</w:t>
            </w:r>
            <w:bookmarkEnd w:id="101"/>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为了满足土地管理的需要，国内的很多专家学者都从土地供求关系的角度对土地供给政策进行了有益探讨。按照传统的经济学观点，一般地说，解决供需矛盾，主要是通过增加供给，满足需求，而在土地问题上则有所不同，而是应该必须控制供给，以供给引导需求。土地的供给和需求政策相互配合共同构成一套完整的土地利用政策体系。</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土地利用政策体系可分为供给型和需求型两大类。供给型土地利用政策体系的基本思路是根据供给来安排需求，即首先确定土地供给的原</w:t>
            </w:r>
            <w:r w:rsidRPr="00FA087C">
              <w:rPr>
                <w:rFonts w:ascii="宋体" w:eastAsia="宋体" w:hAnsi="宋体" w:cs="宋体" w:hint="eastAsia"/>
                <w:color w:val="000000"/>
                <w:kern w:val="0"/>
                <w:sz w:val="28"/>
                <w:szCs w:val="28"/>
              </w:rPr>
              <w:lastRenderedPageBreak/>
              <w:t>则及基本目标，规定土地未来的用途，然后安排受供给制约的各种需求。而需求型土地利用政策体系正好相反，其基本思路是根据需求来决定供给，土地需求一旦产生，就必须供给土地。本质上讲．我市过去的土地利用政策是一种需求型政策体系，这种需求型土地利用政策体系存在许多弊端。在城市化进程中，土地的供给除了部分来自因集约利用所产生的城市存量土地的节约外，一部分必然来自于农地的转用，占用耕地。</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为此，应加大对土地资源的管理力度，针对不同用地类型制定不同的供给政策，对城市发展必须的基础设施、公用设施用地的供给采取需求型的供给政策，对经营性房地产项目，采用供给性的供给政策，以土地供应引导需求，合理、有效利用土地。</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02" w:name="_Toc288721594"/>
            <w:r w:rsidRPr="00FA087C">
              <w:rPr>
                <w:rFonts w:ascii="宋体" w:eastAsia="宋体" w:hAnsi="宋体" w:cs="宋体" w:hint="eastAsia"/>
                <w:b/>
                <w:bCs/>
                <w:color w:val="333333"/>
                <w:kern w:val="0"/>
                <w:sz w:val="28"/>
                <w:szCs w:val="28"/>
              </w:rPr>
              <w:t>2.优先供应存量土地，其次考虑增量土地供给</w:t>
            </w:r>
            <w:bookmarkEnd w:id="102"/>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在土地供给中应采用适当从紧的政策，在“严控增量，挖潜存量，保证重点，鼓励储备”总体思想的指导下，以期达到国有建设用地的可持续利用。增量土地供给总体有限，后备资源不足，近期土地供应情况要在这一前提下，加大对存量土地的挖潜，特别是经营性项目用地，应主要利用存量，其次考虑增量用地，从而紧缩供给总量。</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03" w:name="_Toc288721595"/>
            <w:r w:rsidRPr="00FA087C">
              <w:rPr>
                <w:rFonts w:ascii="宋体" w:eastAsia="宋体" w:hAnsi="宋体" w:cs="宋体" w:hint="eastAsia"/>
                <w:b/>
                <w:bCs/>
                <w:color w:val="333333"/>
                <w:kern w:val="0"/>
                <w:sz w:val="28"/>
                <w:szCs w:val="28"/>
              </w:rPr>
              <w:t>3.优先保证国家重点建设项目和基础设施项目用地</w:t>
            </w:r>
            <w:bookmarkEnd w:id="103"/>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过去黑河市城市建设存在的主要问题之一是基础设施建设落后，从土地供给角度应优先安排和保证重点建设项目的用地，特别是交通、能源、水利和环保等城市基础设施和基础产业用地，为实现黑河市城市规划目标，促进重点发展区域的经济发展提供有力的基础保证，为城市各项职能的充分发挥提供必要的土地保障。</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04" w:name="_Toc288721596"/>
            <w:r w:rsidRPr="00FA087C">
              <w:rPr>
                <w:rFonts w:ascii="宋体" w:eastAsia="宋体" w:hAnsi="宋体" w:cs="宋体" w:hint="eastAsia"/>
                <w:b/>
                <w:bCs/>
                <w:color w:val="333333"/>
                <w:kern w:val="0"/>
                <w:sz w:val="28"/>
                <w:szCs w:val="28"/>
              </w:rPr>
              <w:lastRenderedPageBreak/>
              <w:t>4.调整土地供应结构，促进经济健康持续增长</w:t>
            </w:r>
            <w:bookmarkEnd w:id="104"/>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 xml:space="preserve">为促进经济平稳发展，避免大起大落，应该加强土地供应结构的调整，控制固定资产投资规模，促进城市整体经济效益的提高。从城市长远发展来看，应解决城市基础设施建设、公共设施建设滞后的现状，确保城市经济的有机增长，布局结构的均衡合理，促进城市各产业的协调发展。　　　　</w:t>
            </w: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r w:rsidRPr="00FA087C">
              <w:rPr>
                <w:rFonts w:ascii="宋体" w:eastAsia="宋体" w:hAnsi="宋体" w:cs="Times New Roman" w:hint="eastAsia"/>
                <w:color w:val="000000"/>
                <w:kern w:val="36"/>
                <w:sz w:val="28"/>
                <w:szCs w:val="28"/>
              </w:rPr>
              <w:br w:type="page"/>
            </w:r>
            <w:bookmarkStart w:id="105" w:name="_Toc288721597"/>
            <w:r w:rsidRPr="00FA087C">
              <w:rPr>
                <w:rFonts w:ascii="宋体" w:eastAsia="宋体" w:hAnsi="宋体" w:cs="宋体" w:hint="eastAsia"/>
                <w:b/>
                <w:bCs/>
                <w:color w:val="333333"/>
                <w:kern w:val="36"/>
                <w:sz w:val="32"/>
                <w:szCs w:val="32"/>
              </w:rPr>
              <w:t>四  2011年黑河市土地供需分析</w:t>
            </w:r>
            <w:bookmarkEnd w:id="105"/>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06" w:name="_Toc288721598"/>
            <w:r w:rsidRPr="00FA087C">
              <w:rPr>
                <w:rFonts w:ascii="宋体" w:eastAsia="宋体" w:hAnsi="宋体" w:cs="宋体"/>
                <w:b/>
                <w:bCs/>
                <w:color w:val="333333"/>
                <w:kern w:val="0"/>
                <w:sz w:val="36"/>
                <w:szCs w:val="36"/>
              </w:rPr>
              <w:t>（一）2011年黑河市土地需求分析</w:t>
            </w:r>
            <w:bookmarkEnd w:id="106"/>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07" w:name="_Toc91296800"/>
            <w:bookmarkStart w:id="108" w:name="_Toc288721599"/>
            <w:bookmarkStart w:id="109" w:name="_Toc90647428" w:colFirst="0" w:colLast="0"/>
            <w:r w:rsidRPr="00FA087C">
              <w:rPr>
                <w:rFonts w:ascii="宋体" w:eastAsia="宋体" w:hAnsi="宋体" w:cs="宋体" w:hint="eastAsia"/>
                <w:b/>
                <w:bCs/>
                <w:color w:val="333333"/>
                <w:kern w:val="0"/>
                <w:sz w:val="28"/>
                <w:szCs w:val="28"/>
              </w:rPr>
              <w:t>1.住宅用地市场需求</w:t>
            </w:r>
            <w:bookmarkEnd w:id="107"/>
            <w:bookmarkEnd w:id="108"/>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当前对住宅用地的需求主要来自于三个方面：一是居民现有住房的升级换代；二是旧城改造和城镇基础设施建设等造成的拆迁需求；三是城市新增人口和流动人口购房需求。</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从市场经济的住宅用地需求预测角度出发、从影响住房商品货币化进程的角度出发，影响住宅用地需求的主要因素有如下几个：居民收入水平，居民消费结构，城镇化进程，旧城改造等。</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居民收入水平提高带动住宅用地消费需求：居民收入水平是决定居民住房购买力的主要因素，人均可支配收入的逐步增加，才会使得居民对住房的需要成为需求。</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通过近几年的GDP分析，黑河市人均收入在全省仍处于中游水平，消费水平一般，因此，黑河市2011年的住宅用地需求不会因居民的消费结构产生太大变化。</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近几年来黑河市总人口和城镇人口先增加后减少；城镇人口占总人</w:t>
            </w:r>
            <w:r w:rsidRPr="00FA087C">
              <w:rPr>
                <w:rFonts w:ascii="宋体" w:eastAsia="宋体" w:hAnsi="宋体" w:cs="宋体" w:hint="eastAsia"/>
                <w:noProof/>
                <w:color w:val="000000"/>
                <w:kern w:val="0"/>
                <w:sz w:val="28"/>
                <w:szCs w:val="28"/>
              </w:rPr>
              <w:lastRenderedPageBreak/>
              <w:t>口的比重维持在35%-40%之间，理论上应当已经进入城市化加速发展阶段。但是城市化水平未反应出加速特征。主要原因为：</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一、城市化集聚效应，吸引周边农村和外来务工人员进入黑河市；</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二、哈尔滨等大城市的吸引造成城镇居民的流转。农村人口城镇化，城市人口大城市化。</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伴随着黑河国际贸易产业的成长和实现条件的改善，黑河市可能呈现出转折，有加速提升的总体趋势。将会有一部分城镇居民有能力改善住房需求。</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旧城区的危旧房拆迁改造活动依然会持续相当长的时期，与此相适应，必将释放拆迁居民的住房需求，增加住宅用地的需求量。</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本报告在预测住宅物业建筑面积需求量时共用了三种预测方法：</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利用人口增长预测住宅建筑面积需求总量</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首先，根据人口统计资料预测黑河市非农人口规模；其次，预测城市城镇人口人均住宅建筑面积变化趋势；第三，根据非农人口规模、人均住宅建筑面积和存量住宅建筑面积，测算新增住宅建筑面积。</w:t>
            </w:r>
          </w:p>
          <w:p w:rsidR="00FA087C" w:rsidRPr="00FA087C" w:rsidRDefault="00FA087C" w:rsidP="00FA087C">
            <w:pPr>
              <w:widowControl/>
              <w:spacing w:line="360" w:lineRule="auto"/>
              <w:ind w:firstLineChars="200" w:firstLine="562"/>
              <w:jc w:val="center"/>
              <w:rPr>
                <w:rFonts w:ascii="宋体" w:eastAsia="宋体" w:hAnsi="宋体" w:cs="宋体"/>
                <w:b/>
                <w:color w:val="333333"/>
                <w:kern w:val="0"/>
                <w:sz w:val="28"/>
                <w:szCs w:val="28"/>
                <w:vertAlign w:val="subscript"/>
                <w:lang w:val="pl-PL"/>
              </w:rPr>
            </w:pPr>
            <w:r w:rsidRPr="00FA087C">
              <w:rPr>
                <w:rFonts w:ascii="宋体" w:eastAsia="宋体" w:hAnsi="宋体" w:cs="宋体" w:hint="eastAsia"/>
                <w:b/>
                <w:color w:val="333333"/>
                <w:kern w:val="0"/>
                <w:sz w:val="28"/>
                <w:szCs w:val="28"/>
              </w:rPr>
              <w:t>公式：</w:t>
            </w:r>
            <w:r w:rsidRPr="00FA087C">
              <w:rPr>
                <w:rFonts w:ascii="宋体" w:eastAsia="宋体" w:hAnsi="宋体" w:cs="宋体" w:hint="eastAsia"/>
                <w:b/>
                <w:color w:val="333333"/>
                <w:kern w:val="0"/>
                <w:sz w:val="28"/>
                <w:szCs w:val="28"/>
                <w:lang w:val="pl-PL"/>
              </w:rPr>
              <w:t>H</w:t>
            </w:r>
            <w:r w:rsidRPr="00FA087C">
              <w:rPr>
                <w:rFonts w:ascii="宋体" w:eastAsia="宋体" w:hAnsi="宋体" w:cs="宋体" w:hint="eastAsia"/>
                <w:b/>
                <w:color w:val="333333"/>
                <w:kern w:val="0"/>
                <w:sz w:val="28"/>
                <w:szCs w:val="28"/>
                <w:vertAlign w:val="subscript"/>
              </w:rPr>
              <w:t>增</w:t>
            </w:r>
            <w:r w:rsidRPr="00FA087C">
              <w:rPr>
                <w:rFonts w:ascii="宋体" w:eastAsia="宋体" w:hAnsi="宋体" w:cs="宋体" w:hint="eastAsia"/>
                <w:b/>
                <w:color w:val="333333"/>
                <w:kern w:val="0"/>
                <w:sz w:val="28"/>
                <w:szCs w:val="28"/>
                <w:vertAlign w:val="subscript"/>
                <w:lang w:val="pl-PL"/>
              </w:rPr>
              <w:t>i</w:t>
            </w:r>
            <w:r w:rsidRPr="00FA087C">
              <w:rPr>
                <w:rFonts w:ascii="宋体" w:eastAsia="宋体" w:hAnsi="宋体" w:cs="宋体" w:hint="eastAsia"/>
                <w:b/>
                <w:color w:val="333333"/>
                <w:kern w:val="0"/>
                <w:sz w:val="28"/>
                <w:szCs w:val="28"/>
                <w:lang w:val="pl-PL"/>
              </w:rPr>
              <w:t xml:space="preserve"> = U</w:t>
            </w:r>
            <w:r w:rsidRPr="00FA087C">
              <w:rPr>
                <w:rFonts w:ascii="宋体" w:eastAsia="宋体" w:hAnsi="宋体" w:cs="宋体" w:hint="eastAsia"/>
                <w:b/>
                <w:color w:val="333333"/>
                <w:kern w:val="0"/>
                <w:sz w:val="28"/>
                <w:szCs w:val="28"/>
                <w:vertAlign w:val="subscript"/>
                <w:lang w:val="pl-PL"/>
              </w:rPr>
              <w:t>i</w:t>
            </w:r>
            <w:r w:rsidRPr="00FA087C">
              <w:rPr>
                <w:rFonts w:ascii="宋体" w:eastAsia="宋体" w:hAnsi="宋体" w:cs="宋体" w:hint="eastAsia"/>
                <w:b/>
                <w:color w:val="333333"/>
                <w:kern w:val="0"/>
                <w:sz w:val="28"/>
                <w:szCs w:val="28"/>
                <w:lang w:val="pl-PL"/>
              </w:rPr>
              <w:t>*J</w:t>
            </w:r>
            <w:r w:rsidRPr="00FA087C">
              <w:rPr>
                <w:rFonts w:ascii="宋体" w:eastAsia="宋体" w:hAnsi="宋体" w:cs="宋体" w:hint="eastAsia"/>
                <w:b/>
                <w:color w:val="333333"/>
                <w:kern w:val="0"/>
                <w:sz w:val="28"/>
                <w:szCs w:val="28"/>
                <w:vertAlign w:val="subscript"/>
                <w:lang w:val="pl-PL"/>
              </w:rPr>
              <w:t>i</w:t>
            </w:r>
            <w:r w:rsidRPr="00FA087C">
              <w:rPr>
                <w:rFonts w:ascii="宋体" w:eastAsia="宋体" w:hAnsi="宋体" w:cs="宋体" w:hint="eastAsia"/>
                <w:b/>
                <w:color w:val="333333"/>
                <w:kern w:val="0"/>
                <w:sz w:val="28"/>
                <w:szCs w:val="28"/>
                <w:lang w:val="pl-PL"/>
              </w:rPr>
              <w:t xml:space="preserve"> - U</w:t>
            </w:r>
            <w:r w:rsidRPr="00FA087C">
              <w:rPr>
                <w:rFonts w:ascii="宋体" w:eastAsia="宋体" w:hAnsi="宋体" w:cs="宋体" w:hint="eastAsia"/>
                <w:b/>
                <w:color w:val="333333"/>
                <w:kern w:val="0"/>
                <w:sz w:val="28"/>
                <w:szCs w:val="28"/>
                <w:vertAlign w:val="subscript"/>
                <w:lang w:val="pl-PL"/>
              </w:rPr>
              <w:t>i-1</w:t>
            </w:r>
            <w:r w:rsidRPr="00FA087C">
              <w:rPr>
                <w:rFonts w:ascii="宋体" w:eastAsia="宋体" w:hAnsi="宋体" w:cs="宋体" w:hint="eastAsia"/>
                <w:b/>
                <w:color w:val="333333"/>
                <w:kern w:val="0"/>
                <w:sz w:val="28"/>
                <w:szCs w:val="28"/>
                <w:lang w:val="pl-PL"/>
              </w:rPr>
              <w:t>*J</w:t>
            </w:r>
            <w:r w:rsidRPr="00FA087C">
              <w:rPr>
                <w:rFonts w:ascii="宋体" w:eastAsia="宋体" w:hAnsi="宋体" w:cs="宋体" w:hint="eastAsia"/>
                <w:b/>
                <w:color w:val="333333"/>
                <w:kern w:val="0"/>
                <w:sz w:val="28"/>
                <w:szCs w:val="28"/>
                <w:vertAlign w:val="subscript"/>
                <w:lang w:val="pl-PL"/>
              </w:rPr>
              <w:t>i-1</w:t>
            </w:r>
            <w:r w:rsidRPr="00FA087C">
              <w:rPr>
                <w:rFonts w:ascii="宋体" w:eastAsia="宋体" w:hAnsi="宋体" w:cs="宋体" w:hint="eastAsia"/>
                <w:b/>
                <w:color w:val="333333"/>
                <w:kern w:val="0"/>
                <w:sz w:val="28"/>
                <w:szCs w:val="28"/>
                <w:lang w:val="pl-PL"/>
              </w:rPr>
              <w:t xml:space="preserve"> + C</w:t>
            </w:r>
            <w:r w:rsidRPr="00FA087C">
              <w:rPr>
                <w:rFonts w:ascii="宋体" w:eastAsia="宋体" w:hAnsi="宋体" w:cs="宋体" w:hint="eastAsia"/>
                <w:b/>
                <w:color w:val="333333"/>
                <w:kern w:val="0"/>
                <w:sz w:val="28"/>
                <w:szCs w:val="28"/>
                <w:vertAlign w:val="subscript"/>
                <w:lang w:val="pl-PL"/>
              </w:rPr>
              <w:t>i</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其中: H</w:t>
            </w:r>
            <w:r w:rsidRPr="00FA087C">
              <w:rPr>
                <w:rFonts w:ascii="宋体" w:eastAsia="宋体" w:hAnsi="宋体" w:cs="宋体" w:hint="eastAsia"/>
                <w:noProof/>
                <w:color w:val="000000"/>
                <w:kern w:val="0"/>
                <w:sz w:val="28"/>
                <w:szCs w:val="28"/>
                <w:vertAlign w:val="subscript"/>
              </w:rPr>
              <w:t>增i</w:t>
            </w:r>
            <w:r w:rsidRPr="00FA087C">
              <w:rPr>
                <w:rFonts w:ascii="宋体" w:eastAsia="宋体" w:hAnsi="宋体" w:cs="宋体" w:hint="eastAsia"/>
                <w:noProof/>
                <w:color w:val="000000"/>
                <w:kern w:val="0"/>
                <w:sz w:val="28"/>
                <w:szCs w:val="28"/>
              </w:rPr>
              <w:t>表示第i年的城镇新增住宅建筑面积；U</w:t>
            </w:r>
            <w:r w:rsidRPr="00FA087C">
              <w:rPr>
                <w:rFonts w:ascii="宋体" w:eastAsia="宋体" w:hAnsi="宋体" w:cs="宋体" w:hint="eastAsia"/>
                <w:noProof/>
                <w:color w:val="000000"/>
                <w:kern w:val="0"/>
                <w:sz w:val="28"/>
                <w:szCs w:val="28"/>
                <w:vertAlign w:val="subscript"/>
              </w:rPr>
              <w:t>i</w:t>
            </w:r>
            <w:r w:rsidRPr="00FA087C">
              <w:rPr>
                <w:rFonts w:ascii="宋体" w:eastAsia="宋体" w:hAnsi="宋体" w:cs="宋体" w:hint="eastAsia"/>
                <w:noProof/>
                <w:color w:val="000000"/>
                <w:kern w:val="0"/>
                <w:sz w:val="28"/>
                <w:szCs w:val="28"/>
              </w:rPr>
              <w:t>表示第i年的非农人口总量；J</w:t>
            </w:r>
            <w:r w:rsidRPr="00FA087C">
              <w:rPr>
                <w:rFonts w:ascii="宋体" w:eastAsia="宋体" w:hAnsi="宋体" w:cs="宋体" w:hint="eastAsia"/>
                <w:noProof/>
                <w:color w:val="000000"/>
                <w:kern w:val="0"/>
                <w:sz w:val="28"/>
                <w:szCs w:val="28"/>
                <w:vertAlign w:val="subscript"/>
              </w:rPr>
              <w:t>i</w:t>
            </w:r>
            <w:r w:rsidRPr="00FA087C">
              <w:rPr>
                <w:rFonts w:ascii="宋体" w:eastAsia="宋体" w:hAnsi="宋体" w:cs="宋体" w:hint="eastAsia"/>
                <w:noProof/>
                <w:color w:val="000000"/>
                <w:kern w:val="0"/>
                <w:sz w:val="28"/>
                <w:szCs w:val="28"/>
              </w:rPr>
              <w:t>表示第i年的城镇居民人均住宅建筑面积；C</w:t>
            </w:r>
            <w:r w:rsidRPr="00FA087C">
              <w:rPr>
                <w:rFonts w:ascii="宋体" w:eastAsia="宋体" w:hAnsi="宋体" w:cs="宋体" w:hint="eastAsia"/>
                <w:noProof/>
                <w:color w:val="000000"/>
                <w:kern w:val="0"/>
                <w:sz w:val="28"/>
                <w:szCs w:val="28"/>
                <w:vertAlign w:val="subscript"/>
              </w:rPr>
              <w:t>i</w:t>
            </w:r>
            <w:r w:rsidRPr="00FA087C">
              <w:rPr>
                <w:rFonts w:ascii="宋体" w:eastAsia="宋体" w:hAnsi="宋体" w:cs="宋体" w:hint="eastAsia"/>
                <w:noProof/>
                <w:color w:val="000000"/>
                <w:kern w:val="0"/>
                <w:sz w:val="28"/>
                <w:szCs w:val="28"/>
              </w:rPr>
              <w:t>指第i年拆迁的住宅建筑面积。</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灰色系统理论是我国控制理论学者、华中理工大学邓聚龙教授在80年代首先提出来的。所谓灰色系统是介于白色系统和黑箱系统之间的过渡系统，其具体的含义是：如果某一系统的全部信息已知为白色系统，</w:t>
            </w:r>
            <w:r w:rsidRPr="00FA087C">
              <w:rPr>
                <w:rFonts w:ascii="宋体" w:eastAsia="宋体" w:hAnsi="宋体" w:cs="宋体" w:hint="eastAsia"/>
                <w:noProof/>
                <w:color w:val="000000"/>
                <w:kern w:val="0"/>
                <w:sz w:val="28"/>
                <w:szCs w:val="28"/>
              </w:rPr>
              <w:lastRenderedPageBreak/>
              <w:t>全部信息未知为黑箱系统，部分信息已知，部分信息未知，那么这一系统就是灰色系统。①灰色系统主要通过含有灰色系数的灰色方程来描述。研究灰色系统的关键，就是通过对灰色系数进行处理，使之白化、量化、模型化、优化，以求得灰色系统白化的答案。</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利用灰色动态GM模型，可对系统的时间序列进行数量大小的预测。灰色预测方法的基本思想是通过鉴别系统因素之间发展趋势的相异程度，即进行关联分析，并对原始数据进行生成处理来寻找系统变动的规律，生成有较强规律性的数据系列，然后建立相应的灰色预测模型，对具有灰色系统特征的社会、经济等现象进行预测。</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本文将利用灰色系统预测模型ＧＭ(1，1)进行预测。灰色系统模型ＧＭ(1，1)是一阶单序列的线性动态模型，主要用于时间序列预测，其特点是短期预测精度高，且对于时间序列数据的要求较低，短期预测只要最少有4个离散的等时间数列即可应用。</w:t>
            </w:r>
          </w:p>
          <w:p w:rsidR="00FA087C" w:rsidRPr="00FA087C" w:rsidRDefault="00FA087C" w:rsidP="00FA087C">
            <w:pPr>
              <w:widowControl/>
              <w:spacing w:line="360" w:lineRule="auto"/>
              <w:ind w:left="420"/>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1)时间序列模型预测</w:t>
            </w:r>
          </w:p>
          <w:p w:rsidR="00FA087C" w:rsidRPr="00FA087C" w:rsidRDefault="00FA087C" w:rsidP="00FA087C">
            <w:pPr>
              <w:widowControl/>
              <w:spacing w:line="360" w:lineRule="auto"/>
              <w:ind w:firstLineChars="200" w:firstLine="560"/>
              <w:jc w:val="left"/>
              <w:rPr>
                <w:rFonts w:ascii="宋体" w:eastAsia="宋体" w:hAnsi="宋体" w:cs="宋体"/>
                <w:noProof/>
                <w:color w:val="000000"/>
                <w:kern w:val="0"/>
                <w:sz w:val="28"/>
                <w:szCs w:val="28"/>
              </w:rPr>
            </w:pPr>
            <w:r w:rsidRPr="00FA087C">
              <w:rPr>
                <w:rFonts w:ascii="宋体" w:eastAsia="宋体" w:hAnsi="宋体" w:cs="宋体" w:hint="eastAsia"/>
                <w:noProof/>
                <w:color w:val="000000"/>
                <w:kern w:val="0"/>
                <w:sz w:val="28"/>
                <w:szCs w:val="28"/>
              </w:rPr>
              <w:t>时间序列模型主要是通过某个变量自身的过去信息来预测其未来的变化，这种方法是运用回归分析法建立时间序列的各种指数函数方程，去拟合数据列，再利用最为接近的曲线或直线方程，进行趋势预测。</w:t>
            </w:r>
          </w:p>
          <w:p w:rsidR="00FA087C" w:rsidRPr="00FA087C" w:rsidRDefault="00FA087C" w:rsidP="00FA087C">
            <w:pPr>
              <w:widowControl/>
              <w:spacing w:line="360" w:lineRule="auto"/>
              <w:ind w:left="420"/>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2)住宅建筑面积总量需求预测</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本报告采用人口增长预测法对黑河市住宅建筑面积总量进行中长期预测。虽然非农人口可以依据下列公式进行计算，但是基于计算公式中右端的两个变量均需进行相应的预测，同时依据北大报告中预测的非农人口数据与实际统计年鉴中非农人口的统计有所误差，加上非农人口</w:t>
            </w:r>
            <w:r w:rsidRPr="00FA087C">
              <w:rPr>
                <w:rFonts w:ascii="宋体" w:eastAsia="宋体" w:hAnsi="宋体" w:cs="宋体" w:hint="eastAsia"/>
                <w:color w:val="000000"/>
                <w:kern w:val="0"/>
                <w:sz w:val="28"/>
                <w:szCs w:val="28"/>
              </w:rPr>
              <w:lastRenderedPageBreak/>
              <w:t>的变化能够呈现出较强的自身趋势回归，因此在此次人口的预测上将主要选取非农人口自回归进行趋势预测。</w:t>
            </w:r>
          </w:p>
          <w:p w:rsidR="00FA087C" w:rsidRPr="00FA087C" w:rsidRDefault="00FA087C" w:rsidP="00FA087C">
            <w:pPr>
              <w:widowControl/>
              <w:spacing w:line="360" w:lineRule="auto"/>
              <w:ind w:left="420"/>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3) 城镇人口预测</w:t>
            </w:r>
          </w:p>
          <w:p w:rsidR="00FA087C" w:rsidRPr="00FA087C" w:rsidRDefault="00FA087C" w:rsidP="00EE0D6B">
            <w:pPr>
              <w:widowControl/>
              <w:spacing w:beforeLines="50" w:afterLines="50"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根据统计结果显示，黑河市2002-2007年非农人口数量为：</w:t>
            </w:r>
          </w:p>
          <w:p w:rsidR="00FA087C" w:rsidRPr="00FA087C" w:rsidRDefault="00FA087C" w:rsidP="00FA087C">
            <w:pPr>
              <w:widowControl/>
              <w:spacing w:line="360" w:lineRule="auto"/>
              <w:jc w:val="center"/>
              <w:rPr>
                <w:rFonts w:ascii="ˎ̥" w:eastAsia="宋体" w:hAnsi="ˎ̥" w:cs="宋体" w:hint="eastAsia"/>
                <w:bCs/>
                <w:kern w:val="0"/>
                <w:szCs w:val="21"/>
              </w:rPr>
            </w:pPr>
            <w:bookmarkStart w:id="110" w:name="_Toc90670786"/>
            <w:bookmarkStart w:id="111" w:name="_Toc90671325"/>
            <w:bookmarkStart w:id="112" w:name="_Toc90673999"/>
            <w:bookmarkStart w:id="113" w:name="_Toc91617265"/>
            <w:bookmarkStart w:id="114" w:name="_Toc91621916"/>
            <w:r w:rsidRPr="00FA087C">
              <w:rPr>
                <w:rFonts w:ascii="宋体" w:eastAsia="宋体" w:hAnsi="宋体" w:cs="宋体"/>
                <w:bCs/>
                <w:kern w:val="0"/>
                <w:szCs w:val="21"/>
              </w:rPr>
              <w:t>表4-1  黑河市2002-2007城镇人口统计（人）</w:t>
            </w:r>
            <w:bookmarkEnd w:id="110"/>
            <w:bookmarkEnd w:id="111"/>
            <w:bookmarkEnd w:id="112"/>
            <w:bookmarkEnd w:id="113"/>
            <w:bookmarkEnd w:id="114"/>
          </w:p>
          <w:tbl>
            <w:tblPr>
              <w:tblW w:w="6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387"/>
              <w:gridCol w:w="4195"/>
            </w:tblGrid>
            <w:tr w:rsidR="00FA087C" w:rsidRPr="00FA087C" w:rsidTr="00FA087C">
              <w:trPr>
                <w:trHeight w:val="367"/>
                <w:tblHeader/>
                <w:jc w:val="center"/>
              </w:trPr>
              <w:tc>
                <w:tcPr>
                  <w:tcW w:w="2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A087C" w:rsidRPr="00FA087C" w:rsidRDefault="00FA087C" w:rsidP="00FA087C">
                  <w:pPr>
                    <w:widowControl/>
                    <w:spacing w:line="360" w:lineRule="auto"/>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年份</w:t>
                  </w:r>
                </w:p>
              </w:tc>
              <w:tc>
                <w:tcPr>
                  <w:tcW w:w="419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bookmarkStart w:id="115" w:name="OLE_LINK6"/>
                  <w:bookmarkStart w:id="116" w:name="OLE_LINK7"/>
                  <w:bookmarkStart w:id="117" w:name="OLE_LINK10"/>
                  <w:r w:rsidRPr="00FA087C">
                    <w:rPr>
                      <w:rFonts w:ascii="宋体" w:eastAsia="宋体" w:hAnsi="宋体" w:cs="宋体" w:hint="eastAsia"/>
                      <w:color w:val="333333"/>
                      <w:kern w:val="0"/>
                      <w:sz w:val="24"/>
                      <w:szCs w:val="21"/>
                    </w:rPr>
                    <w:t>城镇人口</w:t>
                  </w:r>
                  <w:bookmarkEnd w:id="115"/>
                  <w:bookmarkEnd w:id="116"/>
                  <w:bookmarkEnd w:id="117"/>
                </w:p>
              </w:tc>
            </w:tr>
            <w:bookmarkEnd w:id="93"/>
            <w:tr w:rsidR="00FA087C" w:rsidRPr="00FA087C" w:rsidTr="00FA087C">
              <w:trPr>
                <w:trHeight w:val="367"/>
                <w:jc w:val="center"/>
              </w:trPr>
              <w:tc>
                <w:tcPr>
                  <w:tcW w:w="2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2002</w:t>
                  </w:r>
                </w:p>
              </w:tc>
              <w:tc>
                <w:tcPr>
                  <w:tcW w:w="419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611000</w:t>
                  </w:r>
                </w:p>
              </w:tc>
            </w:tr>
            <w:tr w:rsidR="00FA087C" w:rsidRPr="00FA087C" w:rsidTr="00FA087C">
              <w:trPr>
                <w:trHeight w:val="367"/>
                <w:jc w:val="center"/>
              </w:trPr>
              <w:tc>
                <w:tcPr>
                  <w:tcW w:w="2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2003</w:t>
                  </w:r>
                </w:p>
              </w:tc>
              <w:tc>
                <w:tcPr>
                  <w:tcW w:w="419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634000</w:t>
                  </w:r>
                </w:p>
              </w:tc>
            </w:tr>
            <w:tr w:rsidR="00FA087C" w:rsidRPr="00FA087C" w:rsidTr="00FA087C">
              <w:trPr>
                <w:trHeight w:val="367"/>
                <w:jc w:val="center"/>
              </w:trPr>
              <w:tc>
                <w:tcPr>
                  <w:tcW w:w="2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2004</w:t>
                  </w:r>
                </w:p>
              </w:tc>
              <w:tc>
                <w:tcPr>
                  <w:tcW w:w="419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647000</w:t>
                  </w:r>
                </w:p>
              </w:tc>
            </w:tr>
            <w:tr w:rsidR="00FA087C" w:rsidRPr="00FA087C" w:rsidTr="00FA087C">
              <w:trPr>
                <w:trHeight w:val="367"/>
                <w:jc w:val="center"/>
              </w:trPr>
              <w:tc>
                <w:tcPr>
                  <w:tcW w:w="2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2011</w:t>
                  </w:r>
                </w:p>
              </w:tc>
              <w:tc>
                <w:tcPr>
                  <w:tcW w:w="419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623000</w:t>
                  </w:r>
                </w:p>
              </w:tc>
            </w:tr>
            <w:tr w:rsidR="00FA087C" w:rsidRPr="00FA087C" w:rsidTr="00FA087C">
              <w:trPr>
                <w:trHeight w:val="367"/>
                <w:jc w:val="center"/>
              </w:trPr>
              <w:tc>
                <w:tcPr>
                  <w:tcW w:w="2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2006</w:t>
                  </w:r>
                </w:p>
              </w:tc>
              <w:tc>
                <w:tcPr>
                  <w:tcW w:w="419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bookmarkStart w:id="118" w:name="OLE_LINK4"/>
                  <w:bookmarkStart w:id="119" w:name="OLE_LINK5"/>
                  <w:r w:rsidRPr="00FA087C">
                    <w:rPr>
                      <w:rFonts w:ascii="宋体" w:eastAsia="宋体" w:hAnsi="宋体" w:cs="宋体" w:hint="eastAsia"/>
                      <w:color w:val="333333"/>
                      <w:kern w:val="0"/>
                      <w:sz w:val="24"/>
                      <w:szCs w:val="21"/>
                    </w:rPr>
                    <w:t>620000</w:t>
                  </w:r>
                  <w:bookmarkEnd w:id="118"/>
                  <w:bookmarkEnd w:id="119"/>
                </w:p>
              </w:tc>
            </w:tr>
            <w:tr w:rsidR="00FA087C" w:rsidRPr="00FA087C" w:rsidTr="00FA087C">
              <w:trPr>
                <w:trHeight w:val="367"/>
                <w:jc w:val="center"/>
              </w:trPr>
              <w:tc>
                <w:tcPr>
                  <w:tcW w:w="238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2007</w:t>
                  </w:r>
                </w:p>
              </w:tc>
              <w:tc>
                <w:tcPr>
                  <w:tcW w:w="419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620000</w:t>
                  </w:r>
                </w:p>
              </w:tc>
            </w:tr>
          </w:tbl>
          <w:p w:rsidR="00FA087C" w:rsidRPr="00FA087C" w:rsidRDefault="00FA087C" w:rsidP="00FA087C">
            <w:pPr>
              <w:widowControl/>
              <w:spacing w:line="360" w:lineRule="auto"/>
              <w:ind w:firstLineChars="200" w:firstLine="480"/>
              <w:jc w:val="left"/>
              <w:rPr>
                <w:rFonts w:ascii="宋体" w:eastAsia="宋体" w:hAnsi="宋体" w:cs="宋体"/>
                <w:color w:val="333333"/>
                <w:kern w:val="0"/>
                <w:sz w:val="24"/>
                <w:szCs w:val="21"/>
              </w:rPr>
            </w:pPr>
          </w:p>
          <w:p w:rsidR="00FA087C" w:rsidRPr="00FA087C" w:rsidRDefault="00FA087C" w:rsidP="00FA087C">
            <w:pPr>
              <w:widowControl/>
              <w:spacing w:line="360" w:lineRule="auto"/>
              <w:ind w:firstLineChars="200" w:firstLine="480"/>
              <w:jc w:val="left"/>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1"/>
              </w:rPr>
              <w:t xml:space="preserve">   </w:t>
            </w:r>
            <w:bookmarkStart w:id="120" w:name="_Toc90670787"/>
            <w:bookmarkStart w:id="121" w:name="_Toc90671326"/>
            <w:bookmarkStart w:id="122" w:name="_Toc90672044"/>
            <w:bookmarkStart w:id="123" w:name="_Toc90672691"/>
            <w:bookmarkStart w:id="124" w:name="_Toc91617067"/>
            <w:r>
              <w:rPr>
                <w:rFonts w:ascii="宋体" w:eastAsia="宋体" w:hAnsi="宋体" w:cs="宋体"/>
                <w:noProof/>
                <w:color w:val="333333"/>
                <w:kern w:val="0"/>
                <w:sz w:val="24"/>
                <w:szCs w:val="24"/>
              </w:rPr>
              <w:drawing>
                <wp:inline distT="0" distB="0" distL="0" distR="0">
                  <wp:extent cx="4330700" cy="2260600"/>
                  <wp:effectExtent l="1905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71"/>
                          <a:srcRect b="-84"/>
                          <a:stretch>
                            <a:fillRect/>
                          </a:stretch>
                        </pic:blipFill>
                        <pic:spPr bwMode="auto">
                          <a:xfrm>
                            <a:off x="0" y="0"/>
                            <a:ext cx="4330700" cy="2260600"/>
                          </a:xfrm>
                          <a:prstGeom prst="rect">
                            <a:avLst/>
                          </a:prstGeom>
                          <a:noFill/>
                          <a:ln w="9525">
                            <a:noFill/>
                            <a:miter lim="800000"/>
                            <a:headEnd/>
                            <a:tailEnd/>
                          </a:ln>
                        </pic:spPr>
                      </pic:pic>
                    </a:graphicData>
                  </a:graphic>
                </wp:inline>
              </w:drawing>
            </w:r>
          </w:p>
          <w:p w:rsidR="00FA087C" w:rsidRPr="00FA087C" w:rsidRDefault="00FA087C" w:rsidP="00FA087C">
            <w:pPr>
              <w:widowControl/>
              <w:spacing w:line="360" w:lineRule="auto"/>
              <w:jc w:val="center"/>
              <w:rPr>
                <w:rFonts w:ascii="宋体" w:eastAsia="宋体" w:hAnsi="宋体" w:cs="宋体"/>
                <w:bCs/>
                <w:kern w:val="0"/>
                <w:szCs w:val="21"/>
              </w:rPr>
            </w:pPr>
            <w:r w:rsidRPr="00FA087C">
              <w:rPr>
                <w:rFonts w:ascii="宋体" w:eastAsia="宋体" w:hAnsi="宋体" w:cs="宋体"/>
                <w:bCs/>
                <w:kern w:val="0"/>
                <w:szCs w:val="21"/>
              </w:rPr>
              <w:t>图4-1   黑河市2007-2010城镇人口增长趋势图</w:t>
            </w:r>
            <w:bookmarkEnd w:id="120"/>
            <w:bookmarkEnd w:id="121"/>
            <w:bookmarkEnd w:id="122"/>
            <w:bookmarkEnd w:id="123"/>
            <w:bookmarkEnd w:id="124"/>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125" w:name="_Toc91296803"/>
            <w:r w:rsidRPr="00FA087C">
              <w:rPr>
                <w:rFonts w:ascii="宋体" w:eastAsia="宋体" w:hAnsi="宋体" w:cs="宋体" w:hint="eastAsia"/>
                <w:color w:val="000000"/>
                <w:kern w:val="0"/>
                <w:sz w:val="28"/>
                <w:szCs w:val="28"/>
              </w:rPr>
              <w:t>黑河市城镇人口在2004年达到近几年的最高峰，05年以后逐渐平稳，从城镇人口的需求上看，黑河市2011年住宅用地的需求相比历年不会有太大的起伏。利用历年住宅用地的增长值确定2011年黑河市住宅用地需求量为：39.9公顷。</w:t>
            </w:r>
          </w:p>
          <w:p w:rsidR="00FA087C" w:rsidRPr="00FA087C" w:rsidRDefault="00FA087C" w:rsidP="00FA087C">
            <w:pPr>
              <w:widowControl/>
              <w:spacing w:line="360" w:lineRule="auto"/>
              <w:ind w:firstLineChars="200" w:firstLine="562"/>
              <w:jc w:val="left"/>
              <w:rPr>
                <w:rFonts w:ascii="宋体" w:eastAsia="宋体" w:hAnsi="宋体" w:cs="宋体"/>
                <w:b/>
                <w:color w:val="000000"/>
                <w:kern w:val="0"/>
                <w:sz w:val="28"/>
                <w:szCs w:val="28"/>
              </w:rPr>
            </w:pPr>
            <w:r w:rsidRPr="00FA087C">
              <w:rPr>
                <w:rFonts w:ascii="宋体" w:eastAsia="宋体" w:hAnsi="宋体" w:cs="宋体" w:hint="eastAsia"/>
                <w:b/>
                <w:color w:val="000000"/>
                <w:kern w:val="0"/>
                <w:sz w:val="28"/>
                <w:szCs w:val="28"/>
              </w:rPr>
              <w:lastRenderedPageBreak/>
              <w:t xml:space="preserve"> (2)商服用地需求总量预测</w:t>
            </w:r>
            <w:bookmarkEnd w:id="125"/>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商服用地是指一切为商业目的而占用的城市土地，其中包括商店、库房、饮食业、服务业、市场等所占用的土地。</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城市第三产业的主导功能和贸易中心的地位，要求商服用地在城市用地结构中占有较大的比重。因此，商服用地需求量的预测是城市土地需求预测中重要的内容之一。</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在影响商服用地需求的主要因素中，社会经济发展水平，尤其是第三产业的发展程度占据主导地位。作为不直接生产物质产品的第三产业的发展，需要以第一、二产业的发展为基础。在第一、二产业发展的基础上，第三产业的发展水平从总体上直接决定了对商服用地的需求。因此，社会经济发展水平是一个影响商服用地需求的最为宏观性的决定因素。</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具体而言，影响商服用地需求的具体因素有以下几个方面：</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商业繁华程度。由于第三产业大部分属于服务业的行列，而服务业又具有集聚性的特点，所以在一个商业繁华程度较高的地点其商业设施的未来预期收益也就较高。而商业设施的未来预期收益又直接影响了商服用地的价格以及对商服用地的需求量，因此，商业繁华程度可以说是影响商服用地需求的一个重要因素。</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道路交通通达度。道路交通通达度不仅影响商业运输费用，而且还影响了顾客流的大小。良好的道路交通条件可以有效地降低商家和顾客的交易成本，从而提高了商服用地的预期收益，进而影响了商服用地的价格和需求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lastRenderedPageBreak/>
              <w:t>基础设施完善度。第三产业的发展不仅需要良好的道路交通通达度，而且还需要商业区位内部具有良好的基础设施完善度。优越的基础设施完善度同样是降低商家运营成本以及交易成本的重要方面。没有良好的基础设施完善度，就不可能有第三产业的发展，也就影响了商服用地的需求。</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环境质量优劣度。随着环保观念的日益深入人心，人们越来越注意环境因素的影响。第三产业作为一种服务型、休闲型的产业，也就对环境质量优劣度更加敏感。因此，环境质量优劣度也就成为影响商服用地需求的又一重要因素。</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人口。人口密度对第三产业发展的影响是较为基础性的，第三产业的发展需要一定的人口密度为前提。显然，在一个人口密度较高的社区，其内部商业客流量也就较大，从而为第三产业的发展提供了充足的“门槛人口”。因此，人口密度也是影响商服用地需求量的重要因素。</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总的来说，影响商服用地需求量的因素有很多，有些容易度量，有些则难以直接利用。</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但是，这些影响因素都是由第三产业自身的运行特点所决定的。商服用地的需求量与经济发展，尤其是第三产业发展息息相关，并且严重依赖“门槛人口”的数量。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因此，可以选用最主要的几个可度量指标——第三产业增加量，人口规模等与商服用地密切相关的指标来预测商服用地的需求量。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从总量上看，2010年商业成交面积比2009年有所下降。商服用地与住宅用地最大的不同之处在于，普通消费者并不直接对商服用地的产</w:t>
            </w:r>
            <w:r w:rsidRPr="00FA087C">
              <w:rPr>
                <w:rFonts w:ascii="宋体" w:eastAsia="宋体" w:hAnsi="宋体" w:cs="宋体" w:hint="eastAsia"/>
                <w:color w:val="000000"/>
                <w:kern w:val="0"/>
                <w:sz w:val="28"/>
                <w:szCs w:val="28"/>
              </w:rPr>
              <w:lastRenderedPageBreak/>
              <w:t>品产生购买需求，只是通过对商服用地的产品所提供的服务（即商业服务）间接对商服用地产生需求，而这种需求难以直接度量，更难以转化为商服用地的量。因此，由于商服用地的出让量远远小于住宅用地的出让量，可以假设所有开发企业都不进行囤积，需要的时候就去争取土地，一旦拿到商服用地就立刻进行开发。因此，直接以商服用地的出让量代替需求量将是一个折衷的可操作办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在具体的预测方法上，根据前文对影响商业需求因素的分析，决定采用三条途径：</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第一种，第三产业GDP与商服用地相关关系法：利用第三产业GDP和商服用地出让面积的历年数值，回归得到二者的关系。并以此推算得到商服用地面积需求量的预测值。</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第二种，住宅与商服用地相关比例法：通过计量方法找寻住宅面积与商服用地出让面积的关系，通过预测住宅面积的数值，得到商服用地出让面积的预测值。</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第三种，时间序列外推法：直接根据历年商服用地出让面积的真实值找到其自身的发展趋势和规律，并以此趋势推算未来的预测值。</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最后，对三种方法预测得到的需求量进行分析，通过经验判断和逻辑分析对三个结果进行处理，得到黑河市的商服用地的需求预测最终值。</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但是通过对近几年的黑河供地情况的数据统计，黑河市近几年的商服用地需求非常小，其中2007,2008年均没有供地，2009年为16.8753公顷，其中新增用地4.8477公顷，2010年9.3213公顷，新增用地0.0982</w:t>
            </w:r>
            <w:r w:rsidRPr="00FA087C">
              <w:rPr>
                <w:rFonts w:ascii="宋体" w:eastAsia="宋体" w:hAnsi="宋体" w:cs="宋体" w:hint="eastAsia"/>
                <w:color w:val="000000"/>
                <w:kern w:val="0"/>
                <w:sz w:val="28"/>
                <w:szCs w:val="28"/>
              </w:rPr>
              <w:lastRenderedPageBreak/>
              <w:t>公顷。根据近几年的人口增长勤情况和供地情况，预测2011年度的商服用地需求量为15.57公顷。</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26" w:name="_Toc92011485"/>
            <w:bookmarkStart w:id="127" w:name="_Toc288721600"/>
            <w:r w:rsidRPr="00FA087C">
              <w:rPr>
                <w:rFonts w:ascii="宋体" w:eastAsia="宋体" w:hAnsi="宋体" w:cs="宋体" w:hint="eastAsia"/>
                <w:b/>
                <w:bCs/>
                <w:color w:val="333333"/>
                <w:kern w:val="0"/>
                <w:sz w:val="28"/>
                <w:szCs w:val="28"/>
              </w:rPr>
              <w:t>2.工矿仓储用地需求分析</w:t>
            </w:r>
            <w:bookmarkEnd w:id="126"/>
            <w:bookmarkEnd w:id="127"/>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128" w:name="_Toc60389502"/>
            <w:bookmarkStart w:id="129" w:name="_Toc60397211"/>
            <w:bookmarkStart w:id="130" w:name="_Toc60411620"/>
            <w:bookmarkStart w:id="131" w:name="_Toc65897842"/>
            <w:bookmarkStart w:id="132" w:name="_Toc65919404"/>
            <w:bookmarkStart w:id="133" w:name="_Toc83778930"/>
            <w:r w:rsidRPr="00FA087C">
              <w:rPr>
                <w:rFonts w:ascii="宋体" w:eastAsia="宋体" w:hAnsi="宋体" w:cs="宋体" w:hint="eastAsia"/>
                <w:color w:val="000000"/>
                <w:kern w:val="0"/>
                <w:sz w:val="28"/>
                <w:szCs w:val="28"/>
              </w:rPr>
              <w:t>（1）工矿仓储用地需求影响因素分析</w:t>
            </w:r>
            <w:bookmarkEnd w:id="128"/>
            <w:bookmarkEnd w:id="129"/>
            <w:bookmarkEnd w:id="130"/>
            <w:bookmarkEnd w:id="131"/>
            <w:bookmarkEnd w:id="132"/>
            <w:bookmarkEnd w:id="133"/>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134" w:name="_Toc65897843"/>
            <w:bookmarkStart w:id="135" w:name="_Toc65919405"/>
            <w:r w:rsidRPr="00FA087C">
              <w:rPr>
                <w:rFonts w:ascii="宋体" w:eastAsia="宋体" w:hAnsi="宋体" w:cs="宋体" w:hint="eastAsia"/>
                <w:color w:val="000000"/>
                <w:kern w:val="0"/>
                <w:sz w:val="28"/>
                <w:szCs w:val="28"/>
              </w:rPr>
              <w:t>每年报批获取土地有偿使用权中的工矿仓储用地总量由两部分构成：存量与新增（增量）。由于目前黑河市的土地供给基本由需求决定，这里假设2007—2010年每年的工矿仓储用地需求都得到了满足（供给＝需求），即假定每年实际的工矿仓储用地面积在数量上等于当年的工矿仓储用地需求量。</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bookmarkStart w:id="136" w:name="_Toc65897848"/>
            <w:bookmarkStart w:id="137" w:name="_Toc65919410"/>
            <w:bookmarkStart w:id="138" w:name="_Toc83778931"/>
            <w:bookmarkEnd w:id="134"/>
            <w:bookmarkEnd w:id="135"/>
            <w:r w:rsidRPr="00FA087C">
              <w:rPr>
                <w:rFonts w:ascii="宋体" w:eastAsia="宋体" w:hAnsi="宋体" w:cs="宋体" w:hint="eastAsia"/>
                <w:color w:val="000000"/>
                <w:kern w:val="0"/>
                <w:sz w:val="28"/>
                <w:szCs w:val="28"/>
              </w:rPr>
              <w:t>（2）黑河市工矿仓储用地需求量</w:t>
            </w:r>
            <w:bookmarkEnd w:id="136"/>
            <w:bookmarkEnd w:id="137"/>
            <w:r w:rsidRPr="00FA087C">
              <w:rPr>
                <w:rFonts w:ascii="宋体" w:eastAsia="宋体" w:hAnsi="宋体" w:cs="宋体" w:hint="eastAsia"/>
                <w:color w:val="000000"/>
                <w:kern w:val="0"/>
                <w:sz w:val="28"/>
                <w:szCs w:val="28"/>
              </w:rPr>
              <w:t>预测</w:t>
            </w:r>
            <w:bookmarkEnd w:id="138"/>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就黑河市来看，工矿仓储用地的需求主要一些企业的扩大再生产和新增工业企业两方面带来的需求增长。对于工矿仓储用地需求量的预测，采用了趋势预测法和需求预测法。趋势预测法主要是根据工矿仓储用地需求量自身的时间序列变化，直接对工矿仓储用地需求量本身进行时间序列预测，没有考虑其他任何影响因素，如固定资产投资、第二产业GDP、工业总产值对需求量的影响。</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趋势预测法主要采取适当的曲线拟和历史数据，进行时间序列外推，以图形的方式表示数据系列的趋势，例如，向上倾斜的线表示几个时间段内的增加量，向下倾斜表示几个时间段内的减少量。趋势预测法用于问题预测研究，又称为回归分析。由于趋势预测法假定某一规律在未来的时刻也成立，所以该方法能够较好地适合于短期预测。对于2007年到2010年间工矿仓储用地需求量的这种短期预测，趋势预测法是适</w:t>
            </w:r>
            <w:r w:rsidRPr="00FA087C">
              <w:rPr>
                <w:rFonts w:ascii="宋体" w:eastAsia="宋体" w:hAnsi="宋体" w:cs="宋体" w:hint="eastAsia"/>
                <w:color w:val="000000"/>
                <w:kern w:val="0"/>
                <w:sz w:val="28"/>
                <w:szCs w:val="28"/>
              </w:rPr>
              <w:lastRenderedPageBreak/>
              <w:t>用的。趋势预测法建立的各类模型中，R2（又称决定系数）的取值范围为0～1，它表示拟合趋势线的预测值与对应的实际观察值之间的拟合程度，当R2等于1或接近1时，预测值等于或者接近观察值。根据黑河市2007年至2010年的数据，趋势预测法不能直观表现黑河市工矿仓储供地情况，故采用需求预测。</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根据从黑河市国土局，黑河市合作区，黑河市瑷珲区及各乡镇需求申报了解，黑河市工矿仓储用地以瑷珲区需求量最大，根据历年工矿仓储供地最大值203公顷为标准，结合黑河市发展方向和结构，比较工矿仓储在各地区的比重得出，2011年，黑河市工矿仓储用地为120公顷。</w:t>
            </w:r>
          </w:p>
          <w:p w:rsidR="00FA087C" w:rsidRPr="00FA087C" w:rsidRDefault="00FA087C" w:rsidP="00FA087C">
            <w:pPr>
              <w:widowControl/>
              <w:adjustRightInd w:val="0"/>
              <w:snapToGrid w:val="0"/>
              <w:spacing w:line="360" w:lineRule="auto"/>
              <w:ind w:firstLineChars="200" w:firstLine="480"/>
              <w:jc w:val="left"/>
              <w:rPr>
                <w:rFonts w:ascii="宋体" w:eastAsia="宋体" w:hAnsi="宋体" w:cs="宋体"/>
                <w:bCs/>
                <w:color w:val="333333"/>
                <w:kern w:val="0"/>
                <w:sz w:val="24"/>
                <w:szCs w:val="24"/>
              </w:rPr>
            </w:pPr>
            <w:r>
              <w:rPr>
                <w:rFonts w:ascii="宋体" w:eastAsia="宋体" w:hAnsi="宋体" w:cs="宋体"/>
                <w:noProof/>
                <w:color w:val="333333"/>
                <w:kern w:val="0"/>
                <w:sz w:val="24"/>
                <w:szCs w:val="24"/>
              </w:rPr>
              <w:drawing>
                <wp:inline distT="0" distB="0" distL="0" distR="0">
                  <wp:extent cx="4813300" cy="1854200"/>
                  <wp:effectExtent l="19050" t="0" r="6350" b="0"/>
                  <wp:docPr id="8" name="图表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4"/>
                          <pic:cNvPicPr>
                            <a:picLocks noChangeArrowheads="1"/>
                          </pic:cNvPicPr>
                        </pic:nvPicPr>
                        <pic:blipFill>
                          <a:blip r:embed="rId72"/>
                          <a:srcRect/>
                          <a:stretch>
                            <a:fillRect/>
                          </a:stretch>
                        </pic:blipFill>
                        <pic:spPr bwMode="auto">
                          <a:xfrm>
                            <a:off x="0" y="0"/>
                            <a:ext cx="4813300" cy="1854200"/>
                          </a:xfrm>
                          <a:prstGeom prst="rect">
                            <a:avLst/>
                          </a:prstGeom>
                          <a:noFill/>
                          <a:ln w="9525">
                            <a:noFill/>
                            <a:miter lim="800000"/>
                            <a:headEnd/>
                            <a:tailEnd/>
                          </a:ln>
                        </pic:spPr>
                      </pic:pic>
                    </a:graphicData>
                  </a:graphic>
                </wp:inline>
              </w:drawing>
            </w:r>
          </w:p>
          <w:p w:rsidR="00FA087C" w:rsidRPr="00FA087C" w:rsidRDefault="00FA087C" w:rsidP="00FA087C">
            <w:pPr>
              <w:widowControl/>
              <w:spacing w:line="360" w:lineRule="auto"/>
              <w:jc w:val="center"/>
              <w:rPr>
                <w:rFonts w:ascii="宋体" w:eastAsia="宋体" w:hAnsi="宋体" w:cs="宋体"/>
                <w:bCs/>
                <w:kern w:val="0"/>
                <w:szCs w:val="21"/>
              </w:rPr>
            </w:pPr>
            <w:r w:rsidRPr="00FA087C">
              <w:rPr>
                <w:rFonts w:ascii="宋体" w:eastAsia="宋体" w:hAnsi="宋体" w:cs="宋体"/>
                <w:bCs/>
                <w:kern w:val="0"/>
                <w:szCs w:val="21"/>
              </w:rPr>
              <w:t>图4-2   黑河市2007-2010工矿仓储用地趋势图</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39" w:name="_Toc90647429"/>
            <w:bookmarkStart w:id="140" w:name="_Toc92011486"/>
            <w:bookmarkStart w:id="141" w:name="_Toc288721601"/>
            <w:r w:rsidRPr="00FA087C">
              <w:rPr>
                <w:rFonts w:ascii="宋体" w:eastAsia="宋体" w:hAnsi="宋体" w:cs="宋体" w:hint="eastAsia"/>
                <w:b/>
                <w:bCs/>
                <w:color w:val="333333"/>
                <w:kern w:val="0"/>
                <w:sz w:val="28"/>
                <w:szCs w:val="28"/>
              </w:rPr>
              <w:t>3.公共管理与公共服务用地需求</w:t>
            </w:r>
            <w:bookmarkEnd w:id="139"/>
            <w:r w:rsidRPr="00FA087C">
              <w:rPr>
                <w:rFonts w:ascii="宋体" w:eastAsia="宋体" w:hAnsi="宋体" w:cs="宋体" w:hint="eastAsia"/>
                <w:b/>
                <w:bCs/>
                <w:color w:val="333333"/>
                <w:kern w:val="0"/>
                <w:sz w:val="28"/>
                <w:szCs w:val="28"/>
              </w:rPr>
              <w:t>分析</w:t>
            </w:r>
            <w:bookmarkEnd w:id="140"/>
            <w:bookmarkEnd w:id="141"/>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根据2007-2010年公共管理与公共服务用地的统计，黑河市的公共管理与公共服务用地在2007-2010年间划拨总量为101.5366公顷，年均22.3801公顷，新增3.0041公顷，从发展趋势来看用地数量也是呈总体增长的趋势。预测2011年度，黑河市公共管理与公共服务用地需求为25公顷。</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42" w:name="_Toc65642709"/>
            <w:bookmarkStart w:id="143" w:name="_Toc65642788"/>
            <w:bookmarkStart w:id="144" w:name="_Toc65642854"/>
            <w:bookmarkStart w:id="145" w:name="_Toc65657873"/>
            <w:bookmarkStart w:id="146" w:name="_Toc65897870"/>
            <w:bookmarkStart w:id="147" w:name="_Toc65919422"/>
            <w:bookmarkStart w:id="148" w:name="_Toc83778938"/>
            <w:bookmarkStart w:id="149" w:name="_Toc90647430"/>
            <w:bookmarkStart w:id="150" w:name="_Toc92011487"/>
            <w:bookmarkStart w:id="151" w:name="_Toc288721602"/>
            <w:r w:rsidRPr="00FA087C">
              <w:rPr>
                <w:rFonts w:ascii="宋体" w:eastAsia="宋体" w:hAnsi="宋体" w:cs="宋体" w:hint="eastAsia"/>
                <w:b/>
                <w:bCs/>
                <w:color w:val="333333"/>
                <w:kern w:val="0"/>
                <w:sz w:val="28"/>
                <w:szCs w:val="28"/>
              </w:rPr>
              <w:t>4.交通运输用地需求</w:t>
            </w:r>
            <w:bookmarkEnd w:id="142"/>
            <w:bookmarkEnd w:id="143"/>
            <w:bookmarkEnd w:id="144"/>
            <w:bookmarkEnd w:id="145"/>
            <w:bookmarkEnd w:id="146"/>
            <w:bookmarkEnd w:id="147"/>
            <w:bookmarkEnd w:id="148"/>
            <w:bookmarkEnd w:id="149"/>
            <w:r w:rsidRPr="00FA087C">
              <w:rPr>
                <w:rFonts w:ascii="宋体" w:eastAsia="宋体" w:hAnsi="宋体" w:cs="宋体" w:hint="eastAsia"/>
                <w:b/>
                <w:bCs/>
                <w:color w:val="333333"/>
                <w:kern w:val="0"/>
                <w:sz w:val="28"/>
                <w:szCs w:val="28"/>
              </w:rPr>
              <w:t>分析</w:t>
            </w:r>
            <w:bookmarkEnd w:id="150"/>
            <w:bookmarkEnd w:id="151"/>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lastRenderedPageBreak/>
              <w:t>本部分所指的交通运输用地包括城市对外交通运输用地（主要是高速公路用地与机场用地）、城市道路广场用地。交通运输是维持城市正常运行与持续发展的支持系统，对城市具有极其重要的意义，根据从国土资源局掌握的数据，2007-2010年黑河市交通运输用地414.4763公顷，根据趋势预测法来测算2011年交通运输和公用设施用地需求。根据预测，2011年交通运输和公用设施用地需求量为103.62公顷。</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52" w:name="_Toc288721603"/>
            <w:r w:rsidRPr="00FA087C">
              <w:rPr>
                <w:rFonts w:ascii="宋体" w:eastAsia="宋体" w:hAnsi="宋体" w:cs="宋体" w:hint="eastAsia"/>
                <w:b/>
                <w:bCs/>
                <w:color w:val="333333"/>
                <w:kern w:val="0"/>
                <w:sz w:val="28"/>
                <w:szCs w:val="28"/>
              </w:rPr>
              <w:t>5.2011年土地需求总量</w:t>
            </w:r>
            <w:bookmarkEnd w:id="152"/>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根据测算分析，2011年黑河市用地需求总计为304.09公顷。其中住宅用地39.9公顷；商服用地15.57公顷；公共管理与公共服务用地25公顷；工矿仓储用地203公顷；交通运输用地103.62公顷。</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53" w:name="_Toc288721604"/>
            <w:r w:rsidRPr="00FA087C">
              <w:rPr>
                <w:rFonts w:ascii="宋体" w:eastAsia="宋体" w:hAnsi="宋体" w:cs="宋体"/>
                <w:b/>
                <w:bCs/>
                <w:color w:val="333333"/>
                <w:kern w:val="0"/>
                <w:sz w:val="36"/>
                <w:szCs w:val="36"/>
              </w:rPr>
              <w:t>（二）2011年土地供应分析</w:t>
            </w:r>
            <w:bookmarkEnd w:id="153"/>
          </w:p>
          <w:p w:rsidR="00FA087C" w:rsidRPr="00FA087C" w:rsidRDefault="00FA087C" w:rsidP="00EE0D6B">
            <w:pPr>
              <w:widowControl/>
              <w:spacing w:beforeLines="50" w:afterLines="50" w:line="360" w:lineRule="auto"/>
              <w:ind w:firstLineChars="200" w:firstLine="562"/>
              <w:jc w:val="left"/>
              <w:outlineLvl w:val="2"/>
              <w:rPr>
                <w:rFonts w:ascii="宋体" w:eastAsia="宋体" w:hAnsi="宋体" w:cs="宋体"/>
                <w:b/>
                <w:bCs/>
                <w:color w:val="333333"/>
                <w:kern w:val="0"/>
                <w:sz w:val="28"/>
                <w:szCs w:val="28"/>
              </w:rPr>
            </w:pPr>
            <w:bookmarkStart w:id="154" w:name="_Toc288721605"/>
            <w:r w:rsidRPr="00FA087C">
              <w:rPr>
                <w:rFonts w:ascii="宋体" w:eastAsia="宋体" w:hAnsi="宋体" w:cs="宋体" w:hint="eastAsia"/>
                <w:b/>
                <w:bCs/>
                <w:color w:val="333333"/>
                <w:kern w:val="0"/>
                <w:sz w:val="28"/>
                <w:szCs w:val="28"/>
              </w:rPr>
              <w:t>1.国有建设用地供应总量的确定</w:t>
            </w:r>
            <w:bookmarkEnd w:id="154"/>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000000"/>
                <w:kern w:val="0"/>
                <w:sz w:val="28"/>
                <w:szCs w:val="28"/>
              </w:rPr>
              <w:t>国有建设用地供应总量的确定通过线性回归分析法与灰色模型预测法两种方法进行预测</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a</w:t>
            </w:r>
            <w:r w:rsidRPr="00FA087C">
              <w:rPr>
                <w:rFonts w:ascii="Times New Roman" w:eastAsia="宋体" w:hAnsi="Times New Roman" w:cs="宋体" w:hint="eastAsia"/>
                <w:color w:val="333333"/>
                <w:kern w:val="0"/>
                <w:sz w:val="28"/>
                <w:szCs w:val="28"/>
              </w:rPr>
              <w:t>、线性回归分析预测法</w:t>
            </w:r>
          </w:p>
          <w:p w:rsidR="00FA087C" w:rsidRPr="00FA087C" w:rsidRDefault="00FA087C" w:rsidP="00FA087C">
            <w:pPr>
              <w:widowControl/>
              <w:spacing w:line="360" w:lineRule="auto"/>
              <w:ind w:firstLineChars="200" w:firstLine="560"/>
              <w:jc w:val="left"/>
              <w:rPr>
                <w:rFonts w:ascii="宋体" w:eastAsia="宋体" w:hAnsi="宋体" w:cs="宋体"/>
                <w:color w:val="000000"/>
                <w:kern w:val="0"/>
                <w:sz w:val="28"/>
                <w:szCs w:val="28"/>
              </w:rPr>
            </w:pPr>
            <w:r w:rsidRPr="00FA087C">
              <w:rPr>
                <w:rFonts w:ascii="宋体" w:eastAsia="宋体" w:hAnsi="宋体" w:cs="宋体" w:hint="eastAsia"/>
                <w:color w:val="000000"/>
                <w:kern w:val="0"/>
                <w:sz w:val="28"/>
                <w:szCs w:val="28"/>
              </w:rPr>
              <w:t>下表为黑河市国有建设用地2007-2010年历年供应总量与经济、社会驱动因子统计表。y表示某年的国有建设用地供应量，x1表示国内生产总值(GDP)，x2表示工业总产值，x3表示某年第二三产业比重，x4表示固定资产投资x5表示某年总人口数，x6表示城市化率。</w:t>
            </w:r>
          </w:p>
          <w:p w:rsidR="00FA087C" w:rsidRPr="00FA087C" w:rsidRDefault="00FA087C" w:rsidP="00FA087C">
            <w:pPr>
              <w:widowControl/>
              <w:spacing w:line="360" w:lineRule="auto"/>
              <w:jc w:val="center"/>
              <w:rPr>
                <w:rFonts w:ascii="宋体" w:eastAsia="宋体" w:hAnsi="宋体" w:cs="宋体"/>
                <w:b/>
                <w:color w:val="333333"/>
                <w:kern w:val="0"/>
                <w:sz w:val="24"/>
                <w:szCs w:val="21"/>
              </w:rPr>
            </w:pPr>
            <w:r w:rsidRPr="00FA087C">
              <w:rPr>
                <w:rFonts w:ascii="Times New Roman" w:eastAsia="宋体" w:hAnsi="宋体" w:cs="宋体" w:hint="eastAsia"/>
                <w:b/>
                <w:color w:val="333333"/>
                <w:kern w:val="0"/>
                <w:sz w:val="24"/>
                <w:szCs w:val="21"/>
              </w:rPr>
              <w:t>表</w:t>
            </w:r>
            <w:r w:rsidRPr="00FA087C">
              <w:rPr>
                <w:rFonts w:ascii="宋体" w:eastAsia="宋体" w:hAnsi="宋体" w:cs="宋体"/>
                <w:b/>
                <w:color w:val="333333"/>
                <w:kern w:val="0"/>
                <w:sz w:val="24"/>
                <w:szCs w:val="21"/>
              </w:rPr>
              <w:t>4-1</w:t>
            </w:r>
            <w:r w:rsidRPr="00FA087C">
              <w:rPr>
                <w:rFonts w:ascii="Times New Roman" w:eastAsia="宋体" w:hAnsi="宋体" w:cs="宋体" w:hint="eastAsia"/>
                <w:b/>
                <w:color w:val="333333"/>
                <w:kern w:val="0"/>
                <w:sz w:val="24"/>
                <w:szCs w:val="21"/>
              </w:rPr>
              <w:t>：</w:t>
            </w:r>
            <w:r w:rsidRPr="00FA087C">
              <w:rPr>
                <w:rFonts w:ascii="宋体" w:eastAsia="宋体" w:hAnsi="宋体" w:cs="宋体"/>
                <w:b/>
                <w:color w:val="333333"/>
                <w:kern w:val="0"/>
                <w:sz w:val="24"/>
                <w:szCs w:val="21"/>
              </w:rPr>
              <w:t>2007-2010</w:t>
            </w:r>
            <w:r w:rsidRPr="00FA087C">
              <w:rPr>
                <w:rFonts w:ascii="Times New Roman" w:eastAsia="宋体" w:hAnsi="宋体" w:cs="宋体" w:hint="eastAsia"/>
                <w:b/>
                <w:color w:val="333333"/>
                <w:kern w:val="0"/>
                <w:sz w:val="24"/>
                <w:szCs w:val="21"/>
              </w:rPr>
              <w:t>年黑河市国有建设用地历年供应总量与经济、社会驱动因子统计表</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1332"/>
              <w:gridCol w:w="1249"/>
              <w:gridCol w:w="1118"/>
              <w:gridCol w:w="1023"/>
              <w:gridCol w:w="1072"/>
              <w:gridCol w:w="898"/>
              <w:gridCol w:w="918"/>
            </w:tblGrid>
            <w:tr w:rsidR="00FA087C" w:rsidRPr="00FA087C" w:rsidTr="00FA087C">
              <w:trPr>
                <w:trHeight w:val="553"/>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年份</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Y(公顷）</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left"/>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 xml:space="preserve"> x</w:t>
                  </w:r>
                  <w:r w:rsidRPr="00FA087C">
                    <w:rPr>
                      <w:rFonts w:ascii="宋体" w:eastAsia="宋体" w:hAnsi="宋体" w:cs="宋体" w:hint="eastAsia"/>
                      <w:color w:val="333333"/>
                      <w:kern w:val="0"/>
                      <w:sz w:val="24"/>
                      <w:szCs w:val="21"/>
                      <w:vertAlign w:val="subscript"/>
                    </w:rPr>
                    <w:t>1</w:t>
                  </w:r>
                  <w:r w:rsidRPr="00FA087C">
                    <w:rPr>
                      <w:rFonts w:ascii="宋体" w:eastAsia="宋体" w:hAnsi="宋体" w:cs="宋体" w:hint="eastAsia"/>
                      <w:color w:val="333333"/>
                      <w:kern w:val="0"/>
                      <w:sz w:val="24"/>
                      <w:szCs w:val="21"/>
                    </w:rPr>
                    <w:t>(亿)</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2</w:t>
                  </w:r>
                  <w:r w:rsidRPr="00FA087C">
                    <w:rPr>
                      <w:rFonts w:ascii="宋体" w:eastAsia="宋体" w:hAnsi="宋体" w:cs="宋体" w:hint="eastAsia"/>
                      <w:color w:val="333333"/>
                      <w:kern w:val="0"/>
                      <w:sz w:val="24"/>
                      <w:szCs w:val="21"/>
                    </w:rPr>
                    <w:t xml:space="preserve"> (亿)</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3</w:t>
                  </w:r>
                  <w:r w:rsidRPr="00FA087C">
                    <w:rPr>
                      <w:rFonts w:ascii="宋体" w:eastAsia="宋体" w:hAnsi="宋体" w:cs="宋体" w:hint="eastAsia"/>
                      <w:color w:val="333333"/>
                      <w:kern w:val="0"/>
                      <w:sz w:val="24"/>
                      <w:szCs w:val="21"/>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 xml:space="preserve">4 </w:t>
                  </w:r>
                  <w:r w:rsidRPr="00FA087C">
                    <w:rPr>
                      <w:rFonts w:ascii="宋体" w:eastAsia="宋体" w:hAnsi="宋体" w:cs="宋体" w:hint="eastAsia"/>
                      <w:color w:val="333333"/>
                      <w:kern w:val="0"/>
                      <w:sz w:val="24"/>
                      <w:szCs w:val="21"/>
                    </w:rPr>
                    <w:t>(亿)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5</w:t>
                  </w:r>
                  <w:r w:rsidRPr="00FA087C">
                    <w:rPr>
                      <w:rFonts w:ascii="宋体" w:eastAsia="宋体" w:hAnsi="宋体" w:cs="宋体" w:hint="eastAsia"/>
                      <w:color w:val="333333"/>
                      <w:kern w:val="0"/>
                      <w:sz w:val="24"/>
                      <w:szCs w:val="21"/>
                    </w:rPr>
                    <w:t xml:space="preserve"> </w:t>
                  </w:r>
                  <w:r w:rsidRPr="00FA087C">
                    <w:rPr>
                      <w:rFonts w:ascii="宋体" w:eastAsia="宋体" w:hAnsi="宋体" w:cs="宋体" w:hint="eastAsia"/>
                      <w:color w:val="333333"/>
                      <w:kern w:val="0"/>
                      <w:sz w:val="24"/>
                      <w:szCs w:val="21"/>
                    </w:rPr>
                    <w:lastRenderedPageBreak/>
                    <w:t>(万)</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lastRenderedPageBreak/>
                    <w:t>x</w:t>
                  </w:r>
                  <w:r w:rsidRPr="00FA087C">
                    <w:rPr>
                      <w:rFonts w:ascii="宋体" w:eastAsia="宋体" w:hAnsi="宋体" w:cs="宋体" w:hint="eastAsia"/>
                      <w:color w:val="333333"/>
                      <w:kern w:val="0"/>
                      <w:sz w:val="24"/>
                      <w:szCs w:val="21"/>
                      <w:vertAlign w:val="subscript"/>
                    </w:rPr>
                    <w:t>6</w:t>
                  </w:r>
                  <w:r w:rsidRPr="00FA087C">
                    <w:rPr>
                      <w:rFonts w:ascii="宋体" w:eastAsia="宋体" w:hAnsi="宋体" w:cs="宋体" w:hint="eastAsia"/>
                      <w:color w:val="333333"/>
                      <w:kern w:val="0"/>
                      <w:sz w:val="24"/>
                      <w:szCs w:val="21"/>
                    </w:rPr>
                    <w:t>(%)</w:t>
                  </w:r>
                </w:p>
              </w:tc>
            </w:tr>
            <w:bookmarkEnd w:id="109"/>
            <w:tr w:rsidR="00FA087C" w:rsidRPr="00FA087C" w:rsidTr="00FA087C">
              <w:trPr>
                <w:trHeight w:val="553"/>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lastRenderedPageBreak/>
                    <w:t>2007</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158.16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43.09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4.30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46.46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11.05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89.23</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32.57 </w:t>
                  </w:r>
                </w:p>
              </w:tc>
            </w:tr>
            <w:tr w:rsidR="00FA087C" w:rsidRPr="00FA087C" w:rsidTr="00FA087C">
              <w:trPr>
                <w:trHeight w:val="553"/>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2008</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191.48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49.54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5.10</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46.59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16.75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89.70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32.64 </w:t>
                  </w:r>
                </w:p>
              </w:tc>
            </w:tr>
            <w:tr w:rsidR="00FA087C" w:rsidRPr="00FA087C" w:rsidTr="00FA087C">
              <w:trPr>
                <w:trHeight w:val="553"/>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2009</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112.29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57.31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5.98</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46.90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30.14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89.91</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32.72 </w:t>
                  </w:r>
                </w:p>
              </w:tc>
            </w:tr>
            <w:tr w:rsidR="00FA087C" w:rsidRPr="00FA087C" w:rsidTr="00FA087C">
              <w:trPr>
                <w:trHeight w:val="553"/>
                <w:jc w:val="center"/>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2010</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296.48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64.65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6.95</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47.49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42.05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89.95</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32.84 </w:t>
                  </w:r>
                </w:p>
              </w:tc>
            </w:tr>
          </w:tbl>
          <w:p w:rsidR="00FA087C" w:rsidRPr="00FA087C" w:rsidRDefault="00FA087C" w:rsidP="00EE0D6B">
            <w:pPr>
              <w:widowControl/>
              <w:spacing w:afterLines="100" w:line="400" w:lineRule="exact"/>
              <w:jc w:val="left"/>
              <w:rPr>
                <w:rFonts w:ascii="宋体" w:eastAsia="宋体" w:hAnsi="宋体" w:cs="宋体"/>
                <w:b/>
                <w:color w:val="333333"/>
                <w:kern w:val="0"/>
                <w:sz w:val="24"/>
                <w:szCs w:val="24"/>
              </w:rPr>
            </w:pPr>
            <w:r w:rsidRPr="00FA087C">
              <w:rPr>
                <w:rFonts w:ascii="Times New Roman" w:eastAsia="宋体" w:hAnsi="宋体" w:cs="宋体" w:hint="eastAsia"/>
                <w:b/>
                <w:color w:val="333333"/>
                <w:kern w:val="0"/>
                <w:sz w:val="24"/>
                <w:szCs w:val="28"/>
              </w:rPr>
              <w:t>图</w:t>
            </w:r>
            <w:r w:rsidRPr="00FA087C">
              <w:rPr>
                <w:rFonts w:ascii="宋体" w:eastAsia="宋体" w:hAnsi="宋体" w:cs="宋体"/>
                <w:b/>
                <w:color w:val="333333"/>
                <w:kern w:val="0"/>
                <w:sz w:val="24"/>
                <w:szCs w:val="28"/>
              </w:rPr>
              <w:t>4-1</w:t>
            </w:r>
            <w:r w:rsidRPr="00FA087C">
              <w:rPr>
                <w:rFonts w:ascii="Times New Roman" w:eastAsia="宋体" w:hAnsi="宋体" w:cs="宋体" w:hint="eastAsia"/>
                <w:b/>
                <w:color w:val="333333"/>
                <w:kern w:val="0"/>
                <w:sz w:val="24"/>
                <w:szCs w:val="28"/>
              </w:rPr>
              <w:t>：</w:t>
            </w:r>
            <w:r w:rsidRPr="00FA087C">
              <w:rPr>
                <w:rFonts w:ascii="宋体" w:eastAsia="宋体" w:hAnsi="宋体" w:cs="宋体"/>
                <w:b/>
                <w:color w:val="333333"/>
                <w:kern w:val="0"/>
                <w:sz w:val="24"/>
                <w:szCs w:val="28"/>
              </w:rPr>
              <w:t>2007-2010</w:t>
            </w:r>
            <w:r w:rsidRPr="00FA087C">
              <w:rPr>
                <w:rFonts w:ascii="Times New Roman" w:eastAsia="宋体" w:hAnsi="宋体" w:cs="宋体" w:hint="eastAsia"/>
                <w:b/>
                <w:color w:val="333333"/>
                <w:kern w:val="0"/>
                <w:sz w:val="24"/>
                <w:szCs w:val="28"/>
              </w:rPr>
              <w:t>年黑河市国有建设用地历年供应总量与经济、社会驱动因子相关关系</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年到</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年国有建设用地供应总量在数量上存在一定规律，但是由于</w:t>
            </w:r>
            <w:r w:rsidRPr="00FA087C">
              <w:rPr>
                <w:rFonts w:ascii="宋体" w:eastAsia="宋体" w:hAnsi="宋体" w:cs="宋体"/>
                <w:color w:val="333333"/>
                <w:kern w:val="0"/>
                <w:sz w:val="28"/>
                <w:szCs w:val="28"/>
              </w:rPr>
              <w:t>2009</w:t>
            </w:r>
            <w:r w:rsidRPr="00FA087C">
              <w:rPr>
                <w:rFonts w:ascii="Times New Roman" w:eastAsia="宋体" w:hAnsi="Times New Roman" w:cs="宋体" w:hint="eastAsia"/>
                <w:color w:val="333333"/>
                <w:kern w:val="0"/>
                <w:sz w:val="28"/>
                <w:szCs w:val="28"/>
              </w:rPr>
              <w:t>年是一个特殊的年份，受经济形势影响较为严重，</w:t>
            </w:r>
            <w:r w:rsidRPr="00FA087C">
              <w:rPr>
                <w:rFonts w:ascii="宋体" w:eastAsia="宋体" w:hAnsi="宋体" w:cs="宋体"/>
                <w:color w:val="333333"/>
                <w:kern w:val="0"/>
                <w:sz w:val="28"/>
                <w:szCs w:val="28"/>
              </w:rPr>
              <w:t>2009</w:t>
            </w:r>
            <w:r w:rsidRPr="00FA087C">
              <w:rPr>
                <w:rFonts w:ascii="Times New Roman" w:eastAsia="宋体" w:hAnsi="Times New Roman" w:cs="宋体" w:hint="eastAsia"/>
                <w:color w:val="333333"/>
                <w:kern w:val="0"/>
                <w:sz w:val="28"/>
                <w:szCs w:val="28"/>
              </w:rPr>
              <w:t>年国有建设用地供应总量远远小于以前年度，致使</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年国有建设用地供应总量大幅增加。我们将</w:t>
            </w:r>
            <w:r w:rsidRPr="00FA087C">
              <w:rPr>
                <w:rFonts w:ascii="宋体" w:eastAsia="宋体" w:hAnsi="宋体" w:cs="宋体"/>
                <w:color w:val="333333"/>
                <w:kern w:val="0"/>
                <w:sz w:val="28"/>
                <w:szCs w:val="28"/>
              </w:rPr>
              <w:t>2009</w:t>
            </w:r>
            <w:r w:rsidRPr="00FA087C">
              <w:rPr>
                <w:rFonts w:ascii="Times New Roman" w:eastAsia="宋体" w:hAnsi="Times New Roman" w:cs="宋体" w:hint="eastAsia"/>
                <w:color w:val="333333"/>
                <w:kern w:val="0"/>
                <w:sz w:val="28"/>
                <w:szCs w:val="28"/>
              </w:rPr>
              <w:t>年国有建设用地供应总量进行修正，修正到正常年度的供地水平。</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利用</w:t>
            </w:r>
            <w:r w:rsidRPr="00FA087C">
              <w:rPr>
                <w:rFonts w:ascii="宋体" w:eastAsia="宋体" w:hAnsi="宋体" w:cs="宋体"/>
                <w:color w:val="333333"/>
                <w:kern w:val="0"/>
                <w:sz w:val="28"/>
                <w:szCs w:val="28"/>
              </w:rPr>
              <w:t>SPSS</w:t>
            </w:r>
            <w:r w:rsidRPr="00FA087C">
              <w:rPr>
                <w:rFonts w:ascii="Times New Roman" w:eastAsia="宋体" w:hAnsi="Times New Roman" w:cs="宋体" w:hint="eastAsia"/>
                <w:color w:val="333333"/>
                <w:kern w:val="0"/>
                <w:sz w:val="28"/>
                <w:szCs w:val="28"/>
              </w:rPr>
              <w:t>统计软件将历年国有建设用地供应总量与经济、社会驱动因子做回归，得到如下回归方程：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y=-40681.9-5.275×x</w:t>
            </w:r>
            <w:r w:rsidRPr="00FA087C">
              <w:rPr>
                <w:rFonts w:ascii="宋体" w:eastAsia="宋体" w:hAnsi="宋体" w:cs="宋体"/>
                <w:color w:val="333333"/>
                <w:kern w:val="0"/>
                <w:sz w:val="28"/>
                <w:szCs w:val="28"/>
                <w:vertAlign w:val="subscript"/>
              </w:rPr>
              <w:t>4</w:t>
            </w:r>
            <w:r w:rsidRPr="00FA087C">
              <w:rPr>
                <w:rFonts w:ascii="宋体" w:eastAsia="宋体" w:hAnsi="宋体" w:cs="宋体"/>
                <w:color w:val="333333"/>
                <w:kern w:val="0"/>
                <w:sz w:val="28"/>
                <w:szCs w:val="28"/>
              </w:rPr>
              <w:t>-155.596×x</w:t>
            </w:r>
            <w:r w:rsidRPr="00FA087C">
              <w:rPr>
                <w:rFonts w:ascii="宋体" w:eastAsia="宋体" w:hAnsi="宋体" w:cs="宋体"/>
                <w:color w:val="333333"/>
                <w:kern w:val="0"/>
                <w:sz w:val="28"/>
                <w:szCs w:val="28"/>
                <w:vertAlign w:val="subscript"/>
              </w:rPr>
              <w:t>5</w:t>
            </w:r>
            <w:r w:rsidRPr="00FA087C">
              <w:rPr>
                <w:rFonts w:ascii="宋体" w:eastAsia="宋体" w:hAnsi="宋体" w:cs="宋体"/>
                <w:color w:val="333333"/>
                <w:kern w:val="0"/>
                <w:sz w:val="28"/>
                <w:szCs w:val="28"/>
              </w:rPr>
              <w:t>+1394.535×x</w:t>
            </w:r>
            <w:r w:rsidRPr="00FA087C">
              <w:rPr>
                <w:rFonts w:ascii="宋体" w:eastAsia="宋体" w:hAnsi="宋体" w:cs="宋体"/>
                <w:color w:val="333333"/>
                <w:kern w:val="0"/>
                <w:sz w:val="28"/>
                <w:szCs w:val="28"/>
                <w:vertAlign w:val="subscript"/>
              </w:rPr>
              <w:t>6</w:t>
            </w:r>
            <w:r w:rsidRPr="00FA087C">
              <w:rPr>
                <w:rFonts w:ascii="宋体" w:eastAsia="宋体" w:hAnsi="宋体" w:cs="宋体"/>
                <w:color w:val="333333"/>
                <w:kern w:val="0"/>
                <w:sz w:val="28"/>
                <w:szCs w:val="28"/>
              </w:rPr>
              <w:t xml:space="preserve">      </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1</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y</w:t>
            </w:r>
            <w:r w:rsidRPr="00FA087C">
              <w:rPr>
                <w:rFonts w:ascii="Times New Roman" w:eastAsia="宋体" w:hAnsi="Times New Roman" w:cs="宋体" w:hint="eastAsia"/>
                <w:color w:val="333333"/>
                <w:kern w:val="0"/>
                <w:sz w:val="28"/>
                <w:szCs w:val="28"/>
              </w:rPr>
              <w:t>表示某年的国有建设用地供应总量，</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4</w:t>
            </w:r>
            <w:r w:rsidRPr="00FA087C">
              <w:rPr>
                <w:rFonts w:ascii="Times New Roman" w:eastAsia="宋体" w:hAnsi="Times New Roman" w:cs="宋体" w:hint="eastAsia"/>
                <w:color w:val="333333"/>
                <w:kern w:val="0"/>
                <w:sz w:val="28"/>
                <w:szCs w:val="28"/>
              </w:rPr>
              <w:t>表示固定资产投资，</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5</w:t>
            </w:r>
            <w:r w:rsidRPr="00FA087C">
              <w:rPr>
                <w:rFonts w:ascii="Times New Roman" w:eastAsia="宋体" w:hAnsi="Times New Roman" w:cs="宋体" w:hint="eastAsia"/>
                <w:color w:val="333333"/>
                <w:kern w:val="0"/>
                <w:sz w:val="28"/>
                <w:szCs w:val="28"/>
              </w:rPr>
              <w:t>表示某年总人口数，</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6</w:t>
            </w:r>
            <w:r w:rsidRPr="00FA087C">
              <w:rPr>
                <w:rFonts w:ascii="Times New Roman" w:eastAsia="宋体" w:hAnsi="Times New Roman" w:cs="宋体" w:hint="eastAsia"/>
                <w:color w:val="333333"/>
                <w:kern w:val="0"/>
                <w:sz w:val="28"/>
                <w:szCs w:val="28"/>
              </w:rPr>
              <w:t>表示城市化率。</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根据历年固定资产投资（</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4</w:t>
            </w:r>
            <w:r w:rsidRPr="00FA087C">
              <w:rPr>
                <w:rFonts w:ascii="Times New Roman" w:eastAsia="宋体" w:hAnsi="Times New Roman" w:cs="宋体" w:hint="eastAsia"/>
                <w:color w:val="333333"/>
                <w:kern w:val="0"/>
                <w:sz w:val="28"/>
                <w:szCs w:val="28"/>
              </w:rPr>
              <w:t>），总人口数（</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5</w:t>
            </w:r>
            <w:r w:rsidRPr="00FA087C">
              <w:rPr>
                <w:rFonts w:ascii="Times New Roman" w:eastAsia="宋体" w:hAnsi="Times New Roman" w:cs="宋体" w:hint="eastAsia"/>
                <w:color w:val="333333"/>
                <w:kern w:val="0"/>
                <w:sz w:val="28"/>
                <w:szCs w:val="28"/>
              </w:rPr>
              <w:t>），城市化率（</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6</w:t>
            </w:r>
            <w:r w:rsidRPr="00FA087C">
              <w:rPr>
                <w:rFonts w:ascii="Times New Roman" w:eastAsia="宋体" w:hAnsi="Times New Roman" w:cs="宋体" w:hint="eastAsia"/>
                <w:color w:val="333333"/>
                <w:kern w:val="0"/>
                <w:sz w:val="28"/>
                <w:szCs w:val="28"/>
              </w:rPr>
              <w:t>），与年份</w:t>
            </w:r>
            <w:r w:rsidRPr="00FA087C">
              <w:rPr>
                <w:rFonts w:ascii="宋体" w:eastAsia="宋体" w:hAnsi="宋体" w:cs="宋体"/>
                <w:color w:val="333333"/>
                <w:kern w:val="0"/>
                <w:sz w:val="28"/>
                <w:szCs w:val="28"/>
              </w:rPr>
              <w:t>T</w:t>
            </w:r>
            <w:r w:rsidRPr="00FA087C">
              <w:rPr>
                <w:rFonts w:ascii="Times New Roman" w:eastAsia="宋体" w:hAnsi="Times New Roman" w:cs="宋体" w:hint="eastAsia"/>
                <w:color w:val="333333"/>
                <w:kern w:val="0"/>
                <w:sz w:val="28"/>
                <w:szCs w:val="28"/>
              </w:rPr>
              <w:t>表示，</w:t>
            </w: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为第一年，即</w:t>
            </w:r>
            <w:r w:rsidRPr="00FA087C">
              <w:rPr>
                <w:rFonts w:ascii="宋体" w:eastAsia="宋体" w:hAnsi="宋体" w:cs="宋体"/>
                <w:color w:val="333333"/>
                <w:kern w:val="0"/>
                <w:sz w:val="28"/>
                <w:szCs w:val="28"/>
              </w:rPr>
              <w:t>T=1</w:t>
            </w:r>
            <w:r w:rsidRPr="00FA087C">
              <w:rPr>
                <w:rFonts w:ascii="Times New Roman" w:eastAsia="宋体" w:hAnsi="Times New Roman" w:cs="宋体" w:hint="eastAsia"/>
                <w:color w:val="333333"/>
                <w:kern w:val="0"/>
                <w:sz w:val="28"/>
                <w:szCs w:val="28"/>
              </w:rPr>
              <w:t>，其次依次类推</w:t>
            </w:r>
            <w:r w:rsidRPr="00FA087C">
              <w:rPr>
                <w:rFonts w:ascii="宋体" w:eastAsia="宋体" w:hAnsi="宋体" w:cs="宋体"/>
                <w:color w:val="333333"/>
                <w:kern w:val="0"/>
                <w:sz w:val="28"/>
                <w:szCs w:val="28"/>
              </w:rPr>
              <w:t>)</w:t>
            </w:r>
            <w:r w:rsidRPr="00FA087C">
              <w:rPr>
                <w:rFonts w:ascii="Times New Roman" w:eastAsia="宋体" w:hAnsi="Times New Roman" w:cs="宋体" w:hint="eastAsia"/>
                <w:color w:val="333333"/>
                <w:kern w:val="0"/>
                <w:sz w:val="28"/>
                <w:szCs w:val="28"/>
              </w:rPr>
              <w:t>的回归方程利用</w:t>
            </w:r>
            <w:r w:rsidRPr="00FA087C">
              <w:rPr>
                <w:rFonts w:ascii="宋体" w:eastAsia="宋体" w:hAnsi="宋体" w:cs="宋体"/>
                <w:color w:val="333333"/>
                <w:kern w:val="0"/>
                <w:sz w:val="28"/>
                <w:szCs w:val="28"/>
              </w:rPr>
              <w:t>SPSS</w:t>
            </w:r>
            <w:r w:rsidRPr="00FA087C">
              <w:rPr>
                <w:rFonts w:ascii="Times New Roman" w:eastAsia="宋体" w:hAnsi="Times New Roman" w:cs="宋体" w:hint="eastAsia"/>
                <w:color w:val="333333"/>
                <w:kern w:val="0"/>
                <w:sz w:val="28"/>
                <w:szCs w:val="28"/>
              </w:rPr>
              <w:t>统计软件做线性回归，得到如下的回归方程：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lang w:val="de-DE"/>
              </w:rPr>
            </w:pPr>
            <w:r w:rsidRPr="00FA087C">
              <w:rPr>
                <w:rFonts w:ascii="宋体" w:eastAsia="宋体" w:hAnsi="宋体" w:cs="宋体"/>
                <w:color w:val="333333"/>
                <w:kern w:val="0"/>
                <w:sz w:val="28"/>
                <w:szCs w:val="28"/>
                <w:lang w:val="de-DE"/>
              </w:rPr>
              <w:t>x</w:t>
            </w:r>
            <w:r w:rsidRPr="00FA087C">
              <w:rPr>
                <w:rFonts w:ascii="宋体" w:eastAsia="宋体" w:hAnsi="宋体" w:cs="宋体"/>
                <w:color w:val="333333"/>
                <w:kern w:val="0"/>
                <w:sz w:val="28"/>
                <w:szCs w:val="28"/>
                <w:vertAlign w:val="subscript"/>
                <w:lang w:val="de-DE"/>
              </w:rPr>
              <w:t>4</w:t>
            </w:r>
            <w:r w:rsidRPr="00FA087C">
              <w:rPr>
                <w:rFonts w:ascii="宋体" w:eastAsia="宋体" w:hAnsi="宋体" w:cs="宋体"/>
                <w:color w:val="333333"/>
                <w:kern w:val="0"/>
                <w:sz w:val="28"/>
                <w:szCs w:val="28"/>
                <w:lang w:val="de-DE"/>
              </w:rPr>
              <w:t>=-1.600+10.639</w:t>
            </w:r>
            <w:r w:rsidRPr="00FA087C">
              <w:rPr>
                <w:rFonts w:ascii="Times New Roman" w:eastAsia="宋体" w:hAnsi="Times New Roman" w:cs="宋体" w:hint="eastAsia"/>
                <w:color w:val="333333"/>
                <w:kern w:val="0"/>
                <w:sz w:val="28"/>
                <w:szCs w:val="28"/>
                <w:lang w:val="de-DE"/>
              </w:rPr>
              <w:t>×</w:t>
            </w:r>
            <w:r w:rsidRPr="00FA087C">
              <w:rPr>
                <w:rFonts w:ascii="宋体" w:eastAsia="宋体" w:hAnsi="宋体" w:cs="宋体"/>
                <w:color w:val="333333"/>
                <w:kern w:val="0"/>
                <w:sz w:val="28"/>
                <w:szCs w:val="28"/>
                <w:lang w:val="de-DE"/>
              </w:rPr>
              <w:t>T      R</w:t>
            </w:r>
            <w:r w:rsidRPr="00FA087C">
              <w:rPr>
                <w:rFonts w:ascii="宋体" w:eastAsia="宋体" w:hAnsi="宋体" w:cs="宋体"/>
                <w:color w:val="333333"/>
                <w:kern w:val="0"/>
                <w:sz w:val="28"/>
                <w:szCs w:val="28"/>
                <w:vertAlign w:val="superscript"/>
                <w:lang w:val="de-DE"/>
              </w:rPr>
              <w:t>2</w:t>
            </w:r>
            <w:r w:rsidRPr="00FA087C">
              <w:rPr>
                <w:rFonts w:ascii="宋体" w:eastAsia="宋体" w:hAnsi="宋体" w:cs="宋体"/>
                <w:color w:val="333333"/>
                <w:kern w:val="0"/>
                <w:sz w:val="28"/>
                <w:szCs w:val="28"/>
                <w:lang w:val="de-DE"/>
              </w:rPr>
              <w:t xml:space="preserve">=0.988                </w:t>
            </w:r>
            <w:r w:rsidRPr="00FA087C">
              <w:rPr>
                <w:rFonts w:ascii="Times New Roman" w:eastAsia="宋体" w:hAnsi="Times New Roman" w:cs="宋体" w:hint="eastAsia"/>
                <w:color w:val="333333"/>
                <w:kern w:val="0"/>
                <w:sz w:val="28"/>
                <w:szCs w:val="28"/>
                <w:lang w:val="de-DE"/>
              </w:rPr>
              <w:t>（</w:t>
            </w:r>
            <w:r w:rsidRPr="00FA087C">
              <w:rPr>
                <w:rFonts w:ascii="宋体" w:eastAsia="宋体" w:hAnsi="宋体" w:cs="宋体"/>
                <w:color w:val="333333"/>
                <w:kern w:val="0"/>
                <w:sz w:val="28"/>
                <w:szCs w:val="28"/>
                <w:lang w:val="de-DE"/>
              </w:rPr>
              <w:t>2</w:t>
            </w:r>
            <w:r w:rsidRPr="00FA087C">
              <w:rPr>
                <w:rFonts w:ascii="Times New Roman" w:eastAsia="宋体" w:hAnsi="Times New Roman" w:cs="宋体" w:hint="eastAsia"/>
                <w:color w:val="333333"/>
                <w:kern w:val="0"/>
                <w:sz w:val="28"/>
                <w:szCs w:val="28"/>
                <w:lang w:val="de-DE"/>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lang w:val="de-DE"/>
              </w:rPr>
            </w:pPr>
            <w:r w:rsidRPr="00FA087C">
              <w:rPr>
                <w:rFonts w:ascii="宋体" w:eastAsia="宋体" w:hAnsi="宋体" w:cs="宋体"/>
                <w:color w:val="333333"/>
                <w:kern w:val="0"/>
                <w:sz w:val="28"/>
                <w:szCs w:val="28"/>
                <w:lang w:val="de-DE"/>
              </w:rPr>
              <w:t>x</w:t>
            </w:r>
            <w:r w:rsidRPr="00FA087C">
              <w:rPr>
                <w:rFonts w:ascii="宋体" w:eastAsia="宋体" w:hAnsi="宋体" w:cs="宋体"/>
                <w:color w:val="333333"/>
                <w:kern w:val="0"/>
                <w:sz w:val="28"/>
                <w:szCs w:val="28"/>
                <w:vertAlign w:val="subscript"/>
                <w:lang w:val="de-DE"/>
              </w:rPr>
              <w:t>5</w:t>
            </w:r>
            <w:r w:rsidRPr="00FA087C">
              <w:rPr>
                <w:rFonts w:ascii="宋体" w:eastAsia="宋体" w:hAnsi="宋体" w:cs="宋体"/>
                <w:color w:val="333333"/>
                <w:kern w:val="0"/>
                <w:sz w:val="28"/>
                <w:szCs w:val="28"/>
                <w:lang w:val="de-DE"/>
              </w:rPr>
              <w:t>=28.930+0.158</w:t>
            </w:r>
            <w:r w:rsidRPr="00FA087C">
              <w:rPr>
                <w:rFonts w:ascii="Times New Roman" w:eastAsia="宋体" w:hAnsi="Times New Roman" w:cs="宋体" w:hint="eastAsia"/>
                <w:color w:val="333333"/>
                <w:kern w:val="0"/>
                <w:sz w:val="28"/>
                <w:szCs w:val="28"/>
                <w:lang w:val="de-DE"/>
              </w:rPr>
              <w:t>×</w:t>
            </w:r>
            <w:r w:rsidRPr="00FA087C">
              <w:rPr>
                <w:rFonts w:ascii="宋体" w:eastAsia="宋体" w:hAnsi="宋体" w:cs="宋体"/>
                <w:color w:val="333333"/>
                <w:kern w:val="0"/>
                <w:sz w:val="28"/>
                <w:szCs w:val="28"/>
                <w:lang w:val="de-DE"/>
              </w:rPr>
              <w:t>T       R</w:t>
            </w:r>
            <w:r w:rsidRPr="00FA087C">
              <w:rPr>
                <w:rFonts w:ascii="宋体" w:eastAsia="宋体" w:hAnsi="宋体" w:cs="宋体"/>
                <w:color w:val="333333"/>
                <w:kern w:val="0"/>
                <w:sz w:val="28"/>
                <w:szCs w:val="28"/>
                <w:vertAlign w:val="superscript"/>
                <w:lang w:val="de-DE"/>
              </w:rPr>
              <w:t>2</w:t>
            </w:r>
            <w:r w:rsidRPr="00FA087C">
              <w:rPr>
                <w:rFonts w:ascii="宋体" w:eastAsia="宋体" w:hAnsi="宋体" w:cs="宋体"/>
                <w:color w:val="333333"/>
                <w:kern w:val="0"/>
                <w:sz w:val="28"/>
                <w:szCs w:val="28"/>
                <w:lang w:val="de-DE"/>
              </w:rPr>
              <w:t xml:space="preserve">=0.989                </w:t>
            </w:r>
            <w:r w:rsidRPr="00FA087C">
              <w:rPr>
                <w:rFonts w:ascii="Times New Roman" w:eastAsia="宋体" w:hAnsi="Times New Roman" w:cs="宋体" w:hint="eastAsia"/>
                <w:color w:val="333333"/>
                <w:kern w:val="0"/>
                <w:sz w:val="28"/>
                <w:szCs w:val="28"/>
                <w:lang w:val="de-DE"/>
              </w:rPr>
              <w:t>（</w:t>
            </w:r>
            <w:r w:rsidRPr="00FA087C">
              <w:rPr>
                <w:rFonts w:ascii="宋体" w:eastAsia="宋体" w:hAnsi="宋体" w:cs="宋体"/>
                <w:color w:val="333333"/>
                <w:kern w:val="0"/>
                <w:sz w:val="28"/>
                <w:szCs w:val="28"/>
                <w:lang w:val="de-DE"/>
              </w:rPr>
              <w:t>3</w:t>
            </w:r>
            <w:r w:rsidRPr="00FA087C">
              <w:rPr>
                <w:rFonts w:ascii="Times New Roman" w:eastAsia="宋体" w:hAnsi="Times New Roman" w:cs="宋体" w:hint="eastAsia"/>
                <w:color w:val="333333"/>
                <w:kern w:val="0"/>
                <w:sz w:val="28"/>
                <w:szCs w:val="28"/>
                <w:lang w:val="de-DE"/>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lang w:val="de-DE"/>
              </w:rPr>
              <w:t>x</w:t>
            </w:r>
            <w:r w:rsidRPr="00FA087C">
              <w:rPr>
                <w:rFonts w:ascii="宋体" w:eastAsia="宋体" w:hAnsi="宋体" w:cs="宋体"/>
                <w:color w:val="333333"/>
                <w:kern w:val="0"/>
                <w:sz w:val="28"/>
                <w:szCs w:val="28"/>
                <w:vertAlign w:val="subscript"/>
                <w:lang w:val="de-DE"/>
              </w:rPr>
              <w:t>6</w:t>
            </w:r>
            <w:r w:rsidRPr="00FA087C">
              <w:rPr>
                <w:rFonts w:ascii="宋体" w:eastAsia="宋体" w:hAnsi="宋体" w:cs="宋体"/>
                <w:color w:val="333333"/>
                <w:kern w:val="0"/>
                <w:sz w:val="28"/>
                <w:szCs w:val="28"/>
                <w:lang w:val="de-DE"/>
              </w:rPr>
              <w:t>=32.470+0.089</w:t>
            </w:r>
            <w:r w:rsidRPr="00FA087C">
              <w:rPr>
                <w:rFonts w:ascii="Times New Roman" w:eastAsia="宋体" w:hAnsi="Times New Roman" w:cs="宋体" w:hint="eastAsia"/>
                <w:color w:val="333333"/>
                <w:kern w:val="0"/>
                <w:sz w:val="28"/>
                <w:szCs w:val="28"/>
                <w:lang w:val="de-DE"/>
              </w:rPr>
              <w:t>×</w:t>
            </w:r>
            <w:r w:rsidRPr="00FA087C">
              <w:rPr>
                <w:rFonts w:ascii="宋体" w:eastAsia="宋体" w:hAnsi="宋体" w:cs="宋体"/>
                <w:color w:val="333333"/>
                <w:kern w:val="0"/>
                <w:sz w:val="28"/>
                <w:szCs w:val="28"/>
                <w:lang w:val="de-DE"/>
              </w:rPr>
              <w:t>T       R</w:t>
            </w:r>
            <w:r w:rsidRPr="00FA087C">
              <w:rPr>
                <w:rFonts w:ascii="宋体" w:eastAsia="宋体" w:hAnsi="宋体" w:cs="宋体"/>
                <w:color w:val="333333"/>
                <w:kern w:val="0"/>
                <w:sz w:val="28"/>
                <w:szCs w:val="28"/>
                <w:vertAlign w:val="superscript"/>
                <w:lang w:val="de-DE"/>
              </w:rPr>
              <w:t>2</w:t>
            </w:r>
            <w:r w:rsidRPr="00FA087C">
              <w:rPr>
                <w:rFonts w:ascii="宋体" w:eastAsia="宋体" w:hAnsi="宋体" w:cs="宋体"/>
                <w:color w:val="333333"/>
                <w:kern w:val="0"/>
                <w:sz w:val="28"/>
                <w:szCs w:val="28"/>
                <w:lang w:val="de-DE"/>
              </w:rPr>
              <w:t xml:space="preserve">=0. </w:t>
            </w:r>
            <w:r w:rsidRPr="00FA087C">
              <w:rPr>
                <w:rFonts w:ascii="宋体" w:eastAsia="宋体" w:hAnsi="宋体" w:cs="宋体"/>
                <w:color w:val="333333"/>
                <w:kern w:val="0"/>
                <w:sz w:val="28"/>
                <w:szCs w:val="28"/>
              </w:rPr>
              <w:t xml:space="preserve">992               </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4</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lastRenderedPageBreak/>
              <w:t>根据上述（</w:t>
            </w:r>
            <w:r w:rsidRPr="00FA087C">
              <w:rPr>
                <w:rFonts w:ascii="宋体" w:eastAsia="宋体" w:hAnsi="宋体" w:cs="宋体"/>
                <w:color w:val="333333"/>
                <w:kern w:val="0"/>
                <w:sz w:val="28"/>
                <w:szCs w:val="28"/>
              </w:rPr>
              <w:t>2</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3</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4</w:t>
            </w:r>
            <w:r w:rsidRPr="00FA087C">
              <w:rPr>
                <w:rFonts w:ascii="Times New Roman" w:eastAsia="宋体" w:hAnsi="Times New Roman" w:cs="宋体" w:hint="eastAsia"/>
                <w:color w:val="333333"/>
                <w:kern w:val="0"/>
                <w:sz w:val="28"/>
                <w:szCs w:val="28"/>
              </w:rPr>
              <w:t>）回归方程，我们可以预测出黑河市</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年固定资产投资（</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4</w:t>
            </w:r>
            <w:r w:rsidRPr="00FA087C">
              <w:rPr>
                <w:rFonts w:ascii="Times New Roman" w:eastAsia="宋体" w:hAnsi="Times New Roman" w:cs="宋体" w:hint="eastAsia"/>
                <w:color w:val="333333"/>
                <w:kern w:val="0"/>
                <w:sz w:val="28"/>
                <w:szCs w:val="28"/>
              </w:rPr>
              <w:t>）将达到</w:t>
            </w:r>
            <w:r w:rsidRPr="00FA087C">
              <w:rPr>
                <w:rFonts w:ascii="宋体" w:eastAsia="宋体" w:hAnsi="宋体" w:cs="宋体"/>
                <w:color w:val="333333"/>
                <w:kern w:val="0"/>
                <w:sz w:val="28"/>
                <w:szCs w:val="28"/>
              </w:rPr>
              <w:t>42.8</w:t>
            </w:r>
            <w:r w:rsidRPr="00FA087C">
              <w:rPr>
                <w:rFonts w:ascii="Times New Roman" w:eastAsia="宋体" w:hAnsi="Times New Roman" w:cs="宋体" w:hint="eastAsia"/>
                <w:color w:val="333333"/>
                <w:kern w:val="0"/>
                <w:sz w:val="28"/>
                <w:szCs w:val="28"/>
              </w:rPr>
              <w:t>亿元，</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年总人口数（</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5</w:t>
            </w:r>
            <w:r w:rsidRPr="00FA087C">
              <w:rPr>
                <w:rFonts w:ascii="Times New Roman" w:eastAsia="宋体" w:hAnsi="Times New Roman" w:cs="宋体" w:hint="eastAsia"/>
                <w:color w:val="333333"/>
                <w:kern w:val="0"/>
                <w:sz w:val="28"/>
                <w:szCs w:val="28"/>
              </w:rPr>
              <w:t>）将达到</w:t>
            </w:r>
            <w:r w:rsidRPr="00FA087C">
              <w:rPr>
                <w:rFonts w:ascii="宋体" w:eastAsia="宋体" w:hAnsi="宋体" w:cs="宋体"/>
                <w:color w:val="333333"/>
                <w:kern w:val="0"/>
                <w:sz w:val="28"/>
                <w:szCs w:val="28"/>
              </w:rPr>
              <w:t>70</w:t>
            </w:r>
            <w:r w:rsidRPr="00FA087C">
              <w:rPr>
                <w:rFonts w:ascii="Times New Roman" w:eastAsia="宋体" w:hAnsi="Times New Roman" w:cs="宋体" w:hint="eastAsia"/>
                <w:color w:val="333333"/>
                <w:kern w:val="0"/>
                <w:sz w:val="28"/>
                <w:szCs w:val="28"/>
              </w:rPr>
              <w:t>万，</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年城市化率（</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6</w:t>
            </w:r>
            <w:r w:rsidRPr="00FA087C">
              <w:rPr>
                <w:rFonts w:ascii="Times New Roman" w:eastAsia="宋体" w:hAnsi="Times New Roman" w:cs="宋体" w:hint="eastAsia"/>
                <w:color w:val="333333"/>
                <w:kern w:val="0"/>
                <w:sz w:val="28"/>
                <w:szCs w:val="28"/>
              </w:rPr>
              <w:t>）将达到</w:t>
            </w:r>
            <w:r w:rsidRPr="00FA087C">
              <w:rPr>
                <w:rFonts w:ascii="宋体" w:eastAsia="宋体" w:hAnsi="宋体" w:cs="宋体"/>
                <w:color w:val="333333"/>
                <w:kern w:val="0"/>
                <w:sz w:val="28"/>
                <w:szCs w:val="28"/>
              </w:rPr>
              <w:t>32.92%</w:t>
            </w:r>
            <w:r w:rsidRPr="00FA087C">
              <w:rPr>
                <w:rFonts w:ascii="Times New Roman" w:eastAsia="宋体" w:hAnsi="Times New Roman" w:cs="宋体" w:hint="eastAsia"/>
                <w:color w:val="333333"/>
                <w:kern w:val="0"/>
                <w:sz w:val="28"/>
                <w:szCs w:val="28"/>
              </w:rPr>
              <w:t>，根据上述（</w:t>
            </w:r>
            <w:r w:rsidRPr="00FA087C">
              <w:rPr>
                <w:rFonts w:ascii="宋体" w:eastAsia="宋体" w:hAnsi="宋体" w:cs="宋体"/>
                <w:color w:val="333333"/>
                <w:kern w:val="0"/>
                <w:sz w:val="28"/>
                <w:szCs w:val="28"/>
              </w:rPr>
              <w:t>1</w:t>
            </w:r>
            <w:r w:rsidRPr="00FA087C">
              <w:rPr>
                <w:rFonts w:ascii="Times New Roman" w:eastAsia="宋体" w:hAnsi="Times New Roman" w:cs="宋体" w:hint="eastAsia"/>
                <w:color w:val="333333"/>
                <w:kern w:val="0"/>
                <w:sz w:val="28"/>
                <w:szCs w:val="28"/>
              </w:rPr>
              <w:t>）回归方程，可以预测</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年黑河市市国有建设用地供应总量为</w:t>
            </w:r>
            <w:r w:rsidRPr="00FA087C">
              <w:rPr>
                <w:rFonts w:ascii="宋体" w:eastAsia="宋体" w:hAnsi="宋体" w:cs="宋体"/>
                <w:color w:val="333333"/>
                <w:kern w:val="0"/>
                <w:sz w:val="28"/>
                <w:szCs w:val="28"/>
              </w:rPr>
              <w:t>288.04</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b</w:t>
            </w:r>
            <w:r w:rsidRPr="00FA087C">
              <w:rPr>
                <w:rFonts w:ascii="Times New Roman" w:eastAsia="宋体" w:hAnsi="Times New Roman" w:cs="宋体" w:hint="eastAsia"/>
                <w:color w:val="333333"/>
                <w:kern w:val="0"/>
                <w:sz w:val="28"/>
                <w:szCs w:val="28"/>
              </w:rPr>
              <w:t>、灰色模型预测法</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根据</w:t>
            </w:r>
            <w:r w:rsidRPr="00FA087C">
              <w:rPr>
                <w:rFonts w:ascii="宋体" w:eastAsia="宋体" w:hAnsi="宋体" w:cs="宋体"/>
                <w:color w:val="333333"/>
                <w:kern w:val="0"/>
                <w:sz w:val="28"/>
                <w:szCs w:val="28"/>
              </w:rPr>
              <w:t>2007-2010</w:t>
            </w:r>
            <w:r w:rsidRPr="00FA087C">
              <w:rPr>
                <w:rFonts w:ascii="Times New Roman" w:eastAsia="宋体" w:hAnsi="Times New Roman" w:cs="宋体" w:hint="eastAsia"/>
                <w:color w:val="333333"/>
                <w:kern w:val="0"/>
                <w:sz w:val="28"/>
                <w:szCs w:val="28"/>
              </w:rPr>
              <w:t>年黑河市市国有建设用地历年供应总量，利用灰色模型预测法，设定</w:t>
            </w: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年为初始时间</w:t>
            </w:r>
            <w:r w:rsidRPr="00FA087C">
              <w:rPr>
                <w:rFonts w:ascii="宋体" w:eastAsia="宋体" w:hAnsi="宋体" w:cs="宋体"/>
                <w:color w:val="333333"/>
                <w:kern w:val="0"/>
                <w:sz w:val="28"/>
                <w:szCs w:val="28"/>
              </w:rPr>
              <w:t>t=0,</w:t>
            </w:r>
            <w:r w:rsidRPr="00FA087C">
              <w:rPr>
                <w:rFonts w:ascii="Times New Roman" w:eastAsia="宋体" w:hAnsi="Times New Roman" w:cs="宋体" w:hint="eastAsia"/>
                <w:color w:val="333333"/>
                <w:kern w:val="0"/>
                <w:sz w:val="28"/>
                <w:szCs w:val="28"/>
              </w:rPr>
              <w:t>其他年份依次类推，建立国有建设用地供应总量预测模型为：</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Y=674.22×e</w:t>
            </w:r>
            <w:r w:rsidRPr="00FA087C">
              <w:rPr>
                <w:rFonts w:ascii="宋体" w:eastAsia="宋体" w:hAnsi="宋体" w:cs="宋体"/>
                <w:color w:val="333333"/>
                <w:kern w:val="0"/>
                <w:sz w:val="28"/>
                <w:szCs w:val="28"/>
                <w:vertAlign w:val="superscript"/>
              </w:rPr>
              <w:t>0.2356t</w:t>
            </w:r>
            <w:r w:rsidRPr="00FA087C">
              <w:rPr>
                <w:rFonts w:ascii="宋体" w:eastAsia="宋体" w:hAnsi="宋体" w:cs="宋体"/>
                <w:color w:val="333333"/>
                <w:kern w:val="0"/>
                <w:sz w:val="28"/>
                <w:szCs w:val="28"/>
              </w:rPr>
              <w:t xml:space="preserve">+516.06(t=0,1,2….)       </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5</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计算出</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年国有建设用地供应总量为</w:t>
            </w:r>
            <w:r w:rsidRPr="00FA087C">
              <w:rPr>
                <w:rFonts w:ascii="宋体" w:eastAsia="宋体" w:hAnsi="宋体" w:cs="宋体"/>
                <w:color w:val="333333"/>
                <w:kern w:val="0"/>
                <w:sz w:val="28"/>
                <w:szCs w:val="28"/>
              </w:rPr>
              <w:t>307.22</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通过线性回归分析预测法与灰色模型预测法分别计算出</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年黑河市国有建设用地供应总量为</w:t>
            </w:r>
            <w:r w:rsidRPr="00FA087C">
              <w:rPr>
                <w:rFonts w:ascii="宋体" w:eastAsia="宋体" w:hAnsi="宋体" w:cs="宋体"/>
                <w:color w:val="333333"/>
                <w:kern w:val="0"/>
                <w:sz w:val="28"/>
                <w:szCs w:val="28"/>
              </w:rPr>
              <w:t>288.04</w:t>
            </w:r>
            <w:r w:rsidRPr="00FA087C">
              <w:rPr>
                <w:rFonts w:ascii="Times New Roman" w:eastAsia="宋体" w:hAnsi="Times New Roman" w:cs="宋体" w:hint="eastAsia"/>
                <w:color w:val="333333"/>
                <w:kern w:val="0"/>
                <w:sz w:val="28"/>
                <w:szCs w:val="28"/>
              </w:rPr>
              <w:t>公顷、</w:t>
            </w:r>
            <w:r w:rsidRPr="00FA087C">
              <w:rPr>
                <w:rFonts w:ascii="宋体" w:eastAsia="宋体" w:hAnsi="宋体" w:cs="宋体"/>
                <w:color w:val="333333"/>
                <w:kern w:val="0"/>
                <w:sz w:val="28"/>
                <w:szCs w:val="28"/>
              </w:rPr>
              <w:t>307.22</w:t>
            </w:r>
            <w:r w:rsidRPr="00FA087C">
              <w:rPr>
                <w:rFonts w:ascii="Times New Roman" w:eastAsia="宋体" w:hAnsi="Times New Roman" w:cs="宋体" w:hint="eastAsia"/>
                <w:color w:val="333333"/>
                <w:kern w:val="0"/>
                <w:sz w:val="28"/>
                <w:szCs w:val="28"/>
              </w:rPr>
              <w:t>公顷，通过两种方法的加权求和计算</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年黑河市国有建设用地供应总量，取线性回归分析预测法权重</w:t>
            </w:r>
            <w:r w:rsidRPr="00FA087C">
              <w:rPr>
                <w:rFonts w:ascii="宋体" w:eastAsia="宋体" w:hAnsi="宋体" w:cs="宋体"/>
                <w:color w:val="333333"/>
                <w:kern w:val="0"/>
                <w:sz w:val="28"/>
                <w:szCs w:val="28"/>
              </w:rPr>
              <w:t>0.1</w:t>
            </w:r>
            <w:r w:rsidRPr="00FA087C">
              <w:rPr>
                <w:rFonts w:ascii="Times New Roman" w:eastAsia="宋体" w:hAnsi="Times New Roman" w:cs="宋体" w:hint="eastAsia"/>
                <w:color w:val="333333"/>
                <w:kern w:val="0"/>
                <w:sz w:val="28"/>
                <w:szCs w:val="28"/>
              </w:rPr>
              <w:t>，灰色模型预测法权重</w:t>
            </w:r>
            <w:r w:rsidRPr="00FA087C">
              <w:rPr>
                <w:rFonts w:ascii="宋体" w:eastAsia="宋体" w:hAnsi="宋体" w:cs="宋体"/>
                <w:color w:val="333333"/>
                <w:kern w:val="0"/>
                <w:sz w:val="28"/>
                <w:szCs w:val="28"/>
              </w:rPr>
              <w:t>0.9</w:t>
            </w:r>
            <w:r w:rsidRPr="00FA087C">
              <w:rPr>
                <w:rFonts w:ascii="Times New Roman" w:eastAsia="宋体" w:hAnsi="Times New Roman" w:cs="宋体" w:hint="eastAsia"/>
                <w:color w:val="333333"/>
                <w:kern w:val="0"/>
                <w:sz w:val="28"/>
                <w:szCs w:val="28"/>
              </w:rPr>
              <w:t>。计算得</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年黑河市国有建设用地供应总量预计为</w:t>
            </w:r>
            <w:r w:rsidRPr="00FA087C">
              <w:rPr>
                <w:rFonts w:ascii="宋体" w:eastAsia="宋体" w:hAnsi="宋体" w:cs="宋体"/>
                <w:color w:val="333333"/>
                <w:kern w:val="0"/>
                <w:sz w:val="28"/>
                <w:szCs w:val="28"/>
              </w:rPr>
              <w:t>297.63</w:t>
            </w:r>
            <w:r w:rsidRPr="00FA087C">
              <w:rPr>
                <w:rFonts w:ascii="Times New Roman" w:eastAsia="宋体" w:hAnsi="Times New Roman" w:cs="宋体" w:hint="eastAsia"/>
                <w:color w:val="333333"/>
                <w:kern w:val="0"/>
                <w:sz w:val="28"/>
                <w:szCs w:val="28"/>
              </w:rPr>
              <w:t>公顷。</w:t>
            </w:r>
          </w:p>
          <w:p w:rsidR="00FA087C" w:rsidRPr="00FA087C" w:rsidRDefault="00FA087C" w:rsidP="00EE0D6B">
            <w:pPr>
              <w:widowControl/>
              <w:spacing w:beforeLines="50" w:line="360" w:lineRule="auto"/>
              <w:ind w:firstLineChars="200" w:firstLine="562"/>
              <w:jc w:val="left"/>
              <w:outlineLvl w:val="2"/>
              <w:rPr>
                <w:rFonts w:ascii="宋体" w:eastAsia="宋体" w:hAnsi="宋体" w:cs="宋体"/>
                <w:b/>
                <w:bCs/>
                <w:color w:val="333333"/>
                <w:kern w:val="0"/>
                <w:sz w:val="28"/>
                <w:szCs w:val="28"/>
              </w:rPr>
            </w:pPr>
            <w:bookmarkStart w:id="155" w:name="_Toc288721606"/>
            <w:r w:rsidRPr="00FA087C">
              <w:rPr>
                <w:rFonts w:ascii="宋体" w:eastAsia="宋体" w:hAnsi="宋体" w:cs="宋体" w:hint="eastAsia"/>
                <w:b/>
                <w:bCs/>
                <w:color w:val="333333"/>
                <w:kern w:val="0"/>
                <w:sz w:val="28"/>
                <w:szCs w:val="28"/>
              </w:rPr>
              <w:t>2.国有建设用地供应量分项指标的确定</w:t>
            </w:r>
            <w:bookmarkEnd w:id="155"/>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1</w:t>
            </w:r>
            <w:r w:rsidRPr="00FA087C">
              <w:rPr>
                <w:rFonts w:ascii="Times New Roman" w:eastAsia="宋体" w:hAnsi="Times New Roman" w:cs="宋体" w:hint="eastAsia"/>
                <w:color w:val="333333"/>
                <w:kern w:val="0"/>
                <w:sz w:val="28"/>
                <w:szCs w:val="28"/>
              </w:rPr>
              <w:t>）住宅用地预测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年到</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年住宅用地供应量在数量上存在一定规律，但是由于</w:t>
            </w:r>
            <w:r w:rsidRPr="00FA087C">
              <w:rPr>
                <w:rFonts w:ascii="宋体" w:eastAsia="宋体" w:hAnsi="宋体" w:cs="宋体"/>
                <w:color w:val="333333"/>
                <w:kern w:val="0"/>
                <w:sz w:val="28"/>
                <w:szCs w:val="28"/>
              </w:rPr>
              <w:t>2008</w:t>
            </w:r>
            <w:r w:rsidRPr="00FA087C">
              <w:rPr>
                <w:rFonts w:ascii="Times New Roman" w:eastAsia="宋体" w:hAnsi="Times New Roman" w:cs="宋体" w:hint="eastAsia"/>
                <w:color w:val="333333"/>
                <w:kern w:val="0"/>
                <w:sz w:val="28"/>
                <w:szCs w:val="28"/>
              </w:rPr>
              <w:t>年是一个特殊的年份，供应量大幅增加，</w:t>
            </w:r>
            <w:r w:rsidRPr="00FA087C">
              <w:rPr>
                <w:rFonts w:ascii="宋体" w:eastAsia="宋体" w:hAnsi="宋体" w:cs="宋体"/>
                <w:color w:val="333333"/>
                <w:kern w:val="0"/>
                <w:sz w:val="28"/>
                <w:szCs w:val="28"/>
              </w:rPr>
              <w:t>2008</w:t>
            </w:r>
            <w:r w:rsidRPr="00FA087C">
              <w:rPr>
                <w:rFonts w:ascii="Times New Roman" w:eastAsia="宋体" w:hAnsi="Times New Roman" w:cs="宋体" w:hint="eastAsia"/>
                <w:color w:val="333333"/>
                <w:kern w:val="0"/>
                <w:sz w:val="28"/>
                <w:szCs w:val="28"/>
              </w:rPr>
              <w:t>年住宅用地供应量远远大于以前年度，我们将</w:t>
            </w:r>
            <w:r w:rsidRPr="00FA087C">
              <w:rPr>
                <w:rFonts w:ascii="宋体" w:eastAsia="宋体" w:hAnsi="宋体" w:cs="宋体"/>
                <w:color w:val="333333"/>
                <w:kern w:val="0"/>
                <w:sz w:val="28"/>
                <w:szCs w:val="28"/>
              </w:rPr>
              <w:t>2009</w:t>
            </w:r>
            <w:r w:rsidRPr="00FA087C">
              <w:rPr>
                <w:rFonts w:ascii="Times New Roman" w:eastAsia="宋体" w:hAnsi="Times New Roman" w:cs="宋体" w:hint="eastAsia"/>
                <w:color w:val="333333"/>
                <w:kern w:val="0"/>
                <w:sz w:val="28"/>
                <w:szCs w:val="28"/>
              </w:rPr>
              <w:t>年和</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年住宅用地供应量进行修正，来预测</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年住宅用地供应量。</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lastRenderedPageBreak/>
              <w:t>a</w:t>
            </w:r>
            <w:r w:rsidRPr="00FA087C">
              <w:rPr>
                <w:rFonts w:ascii="Times New Roman" w:eastAsia="宋体" w:hAnsi="Times New Roman" w:cs="宋体" w:hint="eastAsia"/>
                <w:color w:val="333333"/>
                <w:kern w:val="0"/>
                <w:sz w:val="28"/>
                <w:szCs w:val="28"/>
              </w:rPr>
              <w:t>、灰色模型预测法</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根据</w:t>
            </w:r>
            <w:r w:rsidRPr="00FA087C">
              <w:rPr>
                <w:rFonts w:ascii="宋体" w:eastAsia="宋体" w:hAnsi="宋体" w:cs="宋体"/>
                <w:color w:val="333333"/>
                <w:kern w:val="0"/>
                <w:sz w:val="28"/>
                <w:szCs w:val="28"/>
              </w:rPr>
              <w:t>2007-2010</w:t>
            </w:r>
            <w:r w:rsidRPr="00FA087C">
              <w:rPr>
                <w:rFonts w:ascii="Times New Roman" w:eastAsia="宋体" w:hAnsi="Times New Roman" w:cs="宋体" w:hint="eastAsia"/>
                <w:color w:val="333333"/>
                <w:kern w:val="0"/>
                <w:sz w:val="28"/>
                <w:szCs w:val="28"/>
              </w:rPr>
              <w:t>年黑河市市住宅用地历年供应总量，利用灰色模型预测法，设定</w:t>
            </w: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年为初始时间</w:t>
            </w:r>
            <w:r w:rsidRPr="00FA087C">
              <w:rPr>
                <w:rFonts w:ascii="宋体" w:eastAsia="宋体" w:hAnsi="宋体" w:cs="宋体"/>
                <w:color w:val="333333"/>
                <w:kern w:val="0"/>
                <w:sz w:val="28"/>
                <w:szCs w:val="28"/>
              </w:rPr>
              <w:t>t=0,</w:t>
            </w:r>
            <w:r w:rsidRPr="00FA087C">
              <w:rPr>
                <w:rFonts w:ascii="Times New Roman" w:eastAsia="宋体" w:hAnsi="Times New Roman" w:cs="宋体" w:hint="eastAsia"/>
                <w:color w:val="333333"/>
                <w:kern w:val="0"/>
                <w:sz w:val="28"/>
                <w:szCs w:val="28"/>
              </w:rPr>
              <w:t>其他年份依次类推，得出住宅用地供应总量预测方程为：</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Y=1842.35×e</w:t>
            </w:r>
            <w:r w:rsidRPr="00FA087C">
              <w:rPr>
                <w:rFonts w:ascii="宋体" w:eastAsia="宋体" w:hAnsi="宋体" w:cs="宋体"/>
                <w:color w:val="333333"/>
                <w:kern w:val="0"/>
                <w:sz w:val="28"/>
                <w:szCs w:val="28"/>
                <w:vertAlign w:val="superscript"/>
              </w:rPr>
              <w:t>0.0692t</w:t>
            </w:r>
            <w:r w:rsidRPr="00FA087C">
              <w:rPr>
                <w:rFonts w:ascii="宋体" w:eastAsia="宋体" w:hAnsi="宋体" w:cs="宋体"/>
                <w:color w:val="333333"/>
                <w:kern w:val="0"/>
                <w:sz w:val="28"/>
                <w:szCs w:val="28"/>
              </w:rPr>
              <w:t xml:space="preserve">-1729.93(t=0,1,2….)          </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6</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得</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年住宅用地供应总量为</w:t>
            </w:r>
            <w:r w:rsidRPr="00FA087C">
              <w:rPr>
                <w:rFonts w:ascii="宋体" w:eastAsia="宋体" w:hAnsi="宋体" w:cs="宋体"/>
                <w:color w:val="333333"/>
                <w:kern w:val="0"/>
                <w:sz w:val="28"/>
                <w:szCs w:val="28"/>
              </w:rPr>
              <w:t>38.38</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b</w:t>
            </w:r>
            <w:r w:rsidRPr="00FA087C">
              <w:rPr>
                <w:rFonts w:ascii="Times New Roman" w:eastAsia="宋体" w:hAnsi="Times New Roman" w:cs="宋体" w:hint="eastAsia"/>
                <w:color w:val="333333"/>
                <w:kern w:val="0"/>
                <w:sz w:val="28"/>
                <w:szCs w:val="28"/>
              </w:rPr>
              <w:t>、线性回归分析预测法</w:t>
            </w:r>
          </w:p>
          <w:p w:rsidR="00FA087C" w:rsidRPr="00FA087C" w:rsidRDefault="00FA087C" w:rsidP="00EE0D6B">
            <w:pPr>
              <w:widowControl/>
              <w:spacing w:beforeLines="100" w:line="480" w:lineRule="atLeast"/>
              <w:ind w:firstLine="573"/>
              <w:jc w:val="center"/>
              <w:rPr>
                <w:rFonts w:ascii="宋体" w:eastAsia="宋体" w:hAnsi="宋体" w:cs="宋体"/>
                <w:b/>
                <w:color w:val="333333"/>
                <w:kern w:val="0"/>
                <w:sz w:val="24"/>
                <w:szCs w:val="28"/>
              </w:rPr>
            </w:pPr>
            <w:r w:rsidRPr="00FA087C">
              <w:rPr>
                <w:rFonts w:ascii="宋体" w:eastAsia="宋体" w:hAnsi="宋体" w:cs="宋体"/>
                <w:b/>
                <w:color w:val="333333"/>
                <w:kern w:val="0"/>
                <w:sz w:val="24"/>
                <w:szCs w:val="28"/>
              </w:rPr>
              <w:t>2010</w:t>
            </w:r>
            <w:r w:rsidRPr="00FA087C">
              <w:rPr>
                <w:rFonts w:ascii="Times New Roman" w:eastAsia="宋体" w:hAnsi="宋体" w:cs="宋体" w:hint="eastAsia"/>
                <w:b/>
                <w:color w:val="333333"/>
                <w:kern w:val="0"/>
                <w:sz w:val="24"/>
                <w:szCs w:val="28"/>
              </w:rPr>
              <w:t>年住宅用地历年供应总量与经济、社会驱动因子统计表</w:t>
            </w:r>
          </w:p>
          <w:p w:rsidR="00FA087C" w:rsidRPr="00FA087C" w:rsidRDefault="00FA087C" w:rsidP="00FA087C">
            <w:pPr>
              <w:widowControl/>
              <w:spacing w:line="480" w:lineRule="atLeast"/>
              <w:ind w:firstLine="573"/>
              <w:jc w:val="center"/>
              <w:rPr>
                <w:rFonts w:ascii="宋体" w:eastAsia="宋体" w:hAnsi="宋体" w:cs="宋体"/>
                <w:b/>
                <w:color w:val="333333"/>
                <w:kern w:val="0"/>
                <w:sz w:val="24"/>
                <w:szCs w:val="28"/>
              </w:rPr>
            </w:pPr>
          </w:p>
          <w:tbl>
            <w:tblPr>
              <w:tblW w:w="8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1319"/>
              <w:gridCol w:w="1235"/>
              <w:gridCol w:w="1107"/>
              <w:gridCol w:w="1014"/>
              <w:gridCol w:w="1062"/>
              <w:gridCol w:w="890"/>
              <w:gridCol w:w="911"/>
            </w:tblGrid>
            <w:tr w:rsidR="00FA087C" w:rsidRPr="00FA087C" w:rsidTr="00FA087C">
              <w:trPr>
                <w:trHeight w:val="335"/>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年份</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Y(公顷）</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1</w:t>
                  </w:r>
                  <w:r w:rsidRPr="00FA087C">
                    <w:rPr>
                      <w:rFonts w:ascii="宋体" w:eastAsia="宋体" w:hAnsi="宋体" w:cs="宋体" w:hint="eastAsia"/>
                      <w:color w:val="333333"/>
                      <w:kern w:val="0"/>
                      <w:sz w:val="24"/>
                      <w:szCs w:val="21"/>
                    </w:rPr>
                    <w:t xml:space="preserve"> (亿)</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2</w:t>
                  </w:r>
                  <w:r w:rsidRPr="00FA087C">
                    <w:rPr>
                      <w:rFonts w:ascii="宋体" w:eastAsia="宋体" w:hAnsi="宋体" w:cs="宋体" w:hint="eastAsia"/>
                      <w:color w:val="333333"/>
                      <w:kern w:val="0"/>
                      <w:sz w:val="24"/>
                      <w:szCs w:val="21"/>
                    </w:rPr>
                    <w:t xml:space="preserve"> (亿)</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3</w:t>
                  </w:r>
                  <w:r w:rsidRPr="00FA087C">
                    <w:rPr>
                      <w:rFonts w:ascii="宋体" w:eastAsia="宋体" w:hAnsi="宋体" w:cs="宋体" w:hint="eastAsia"/>
                      <w:color w:val="333333"/>
                      <w:kern w:val="0"/>
                      <w:sz w:val="24"/>
                      <w:szCs w:val="21"/>
                    </w:rPr>
                    <w:t>(%)</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4</w:t>
                  </w:r>
                  <w:r w:rsidRPr="00FA087C">
                    <w:rPr>
                      <w:rFonts w:ascii="宋体" w:eastAsia="宋体" w:hAnsi="宋体" w:cs="宋体" w:hint="eastAsia"/>
                      <w:color w:val="333333"/>
                      <w:kern w:val="0"/>
                      <w:sz w:val="24"/>
                      <w:szCs w:val="21"/>
                    </w:rPr>
                    <w:t xml:space="preserve"> (亿)</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 xml:space="preserve">5 </w:t>
                  </w:r>
                  <w:r w:rsidRPr="00FA087C">
                    <w:rPr>
                      <w:rFonts w:ascii="宋体" w:eastAsia="宋体" w:hAnsi="宋体" w:cs="宋体" w:hint="eastAsia"/>
                      <w:color w:val="333333"/>
                      <w:kern w:val="0"/>
                      <w:sz w:val="24"/>
                      <w:szCs w:val="21"/>
                    </w:rPr>
                    <w:t>(万)</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x</w:t>
                  </w:r>
                  <w:r w:rsidRPr="00FA087C">
                    <w:rPr>
                      <w:rFonts w:ascii="宋体" w:eastAsia="宋体" w:hAnsi="宋体" w:cs="宋体" w:hint="eastAsia"/>
                      <w:color w:val="333333"/>
                      <w:kern w:val="0"/>
                      <w:sz w:val="24"/>
                      <w:szCs w:val="21"/>
                      <w:vertAlign w:val="subscript"/>
                    </w:rPr>
                    <w:t>6</w:t>
                  </w:r>
                  <w:r w:rsidRPr="00FA087C">
                    <w:rPr>
                      <w:rFonts w:ascii="宋体" w:eastAsia="宋体" w:hAnsi="宋体" w:cs="宋体" w:hint="eastAsia"/>
                      <w:color w:val="333333"/>
                      <w:kern w:val="0"/>
                      <w:sz w:val="24"/>
                      <w:szCs w:val="21"/>
                    </w:rPr>
                    <w:t>(%)</w:t>
                  </w:r>
                </w:p>
              </w:tc>
            </w:tr>
            <w:tr w:rsidR="00FA087C" w:rsidRPr="00FA087C" w:rsidTr="00FA087C">
              <w:trPr>
                <w:trHeight w:val="335"/>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2007</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112.42</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43.09</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4.30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46.46 </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11.05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89.23</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32.57 </w:t>
                  </w:r>
                </w:p>
              </w:tc>
            </w:tr>
            <w:tr w:rsidR="00FA087C" w:rsidRPr="00FA087C" w:rsidTr="00FA087C">
              <w:trPr>
                <w:trHeight w:val="335"/>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2008</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130.82</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49.54</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5.10</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46.59 </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16.75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89.70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32.64 </w:t>
                  </w:r>
                </w:p>
              </w:tc>
            </w:tr>
            <w:tr w:rsidR="00FA087C" w:rsidRPr="00FA087C" w:rsidTr="00FA087C">
              <w:trPr>
                <w:trHeight w:val="335"/>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2009</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42.49</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57.31</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5.98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46.90 </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30.14</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89.91</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32.72 </w:t>
                  </w:r>
                </w:p>
              </w:tc>
            </w:tr>
            <w:tr w:rsidR="00FA087C" w:rsidRPr="00FA087C" w:rsidTr="00FA087C">
              <w:trPr>
                <w:trHeight w:val="335"/>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2010</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color w:val="333333"/>
                      <w:kern w:val="0"/>
                      <w:sz w:val="24"/>
                      <w:szCs w:val="21"/>
                    </w:rPr>
                    <w:t>204.41</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64.65</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6.95</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47.49 </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4"/>
                    </w:rPr>
                  </w:pPr>
                  <w:r w:rsidRPr="00FA087C">
                    <w:rPr>
                      <w:rFonts w:ascii="宋体" w:eastAsia="宋体" w:hAnsi="宋体" w:cs="宋体"/>
                      <w:bCs/>
                      <w:color w:val="333333"/>
                      <w:kern w:val="0"/>
                      <w:sz w:val="24"/>
                      <w:szCs w:val="24"/>
                    </w:rPr>
                    <w:t>42.05</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89.95</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right"/>
                    <w:rPr>
                      <w:rFonts w:ascii="宋体" w:eastAsia="宋体" w:hAnsi="宋体" w:cs="宋体"/>
                      <w:color w:val="333333"/>
                      <w:kern w:val="0"/>
                      <w:sz w:val="24"/>
                      <w:szCs w:val="24"/>
                    </w:rPr>
                  </w:pPr>
                  <w:r w:rsidRPr="00FA087C">
                    <w:rPr>
                      <w:rFonts w:ascii="宋体" w:eastAsia="宋体" w:hAnsi="宋体" w:cs="宋体"/>
                      <w:color w:val="333333"/>
                      <w:kern w:val="0"/>
                      <w:sz w:val="24"/>
                      <w:szCs w:val="24"/>
                    </w:rPr>
                    <w:t xml:space="preserve">32.84 </w:t>
                  </w:r>
                </w:p>
              </w:tc>
            </w:tr>
          </w:tbl>
          <w:p w:rsidR="00FA087C" w:rsidRPr="00FA087C" w:rsidRDefault="00FA087C" w:rsidP="00FA087C">
            <w:pPr>
              <w:widowControl/>
              <w:spacing w:line="480" w:lineRule="atLeast"/>
              <w:jc w:val="left"/>
              <w:rPr>
                <w:rFonts w:ascii="宋体" w:eastAsia="宋体" w:hAnsi="宋体" w:cs="宋体"/>
                <w:color w:val="333333"/>
                <w:kern w:val="0"/>
                <w:sz w:val="24"/>
                <w:szCs w:val="24"/>
              </w:rPr>
            </w:pPr>
          </w:p>
          <w:p w:rsidR="00FA087C" w:rsidRPr="00FA087C" w:rsidRDefault="00FA087C" w:rsidP="00EE0D6B">
            <w:pPr>
              <w:widowControl/>
              <w:spacing w:afterLines="100" w:line="480" w:lineRule="atLeast"/>
              <w:ind w:left="482" w:hangingChars="200" w:hanging="482"/>
              <w:jc w:val="left"/>
              <w:rPr>
                <w:rFonts w:ascii="宋体" w:eastAsia="宋体" w:hAnsi="宋体" w:cs="宋体"/>
                <w:color w:val="333333"/>
                <w:kern w:val="0"/>
                <w:sz w:val="24"/>
                <w:szCs w:val="28"/>
              </w:rPr>
            </w:pPr>
            <w:r w:rsidRPr="00FA087C">
              <w:rPr>
                <w:rFonts w:ascii="Times New Roman" w:eastAsia="宋体" w:hAnsi="宋体" w:cs="宋体" w:hint="eastAsia"/>
                <w:b/>
                <w:color w:val="333333"/>
                <w:kern w:val="0"/>
                <w:sz w:val="24"/>
                <w:szCs w:val="28"/>
              </w:rPr>
              <w:t>图</w:t>
            </w:r>
            <w:r w:rsidRPr="00FA087C">
              <w:rPr>
                <w:rFonts w:ascii="宋体" w:eastAsia="宋体" w:hAnsi="宋体" w:cs="宋体"/>
                <w:b/>
                <w:color w:val="333333"/>
                <w:kern w:val="0"/>
                <w:sz w:val="24"/>
                <w:szCs w:val="28"/>
              </w:rPr>
              <w:t>4-2</w:t>
            </w:r>
            <w:r w:rsidRPr="00FA087C">
              <w:rPr>
                <w:rFonts w:ascii="Times New Roman" w:eastAsia="宋体" w:hAnsi="宋体" w:cs="宋体" w:hint="eastAsia"/>
                <w:b/>
                <w:color w:val="333333"/>
                <w:kern w:val="0"/>
                <w:sz w:val="24"/>
                <w:szCs w:val="28"/>
              </w:rPr>
              <w:t>：</w:t>
            </w:r>
            <w:r w:rsidRPr="00FA087C">
              <w:rPr>
                <w:rFonts w:ascii="宋体" w:eastAsia="宋体" w:hAnsi="宋体" w:cs="宋体"/>
                <w:b/>
                <w:color w:val="333333"/>
                <w:kern w:val="0"/>
                <w:sz w:val="24"/>
                <w:szCs w:val="28"/>
              </w:rPr>
              <w:t>2007-2010</w:t>
            </w:r>
            <w:r w:rsidRPr="00FA087C">
              <w:rPr>
                <w:rFonts w:ascii="Times New Roman" w:eastAsia="宋体" w:hAnsi="宋体" w:cs="宋体" w:hint="eastAsia"/>
                <w:b/>
                <w:color w:val="333333"/>
                <w:kern w:val="0"/>
                <w:sz w:val="24"/>
                <w:szCs w:val="28"/>
              </w:rPr>
              <w:t>年黑河市市住宅用地历年供应总量与经济、社会驱动因子相关关系</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年到</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年住宅用地供应量在数量上存在一定规律，除</w:t>
            </w:r>
            <w:r w:rsidRPr="00FA087C">
              <w:rPr>
                <w:rFonts w:ascii="宋体" w:eastAsia="宋体" w:hAnsi="宋体" w:cs="宋体"/>
                <w:color w:val="333333"/>
                <w:kern w:val="0"/>
                <w:sz w:val="28"/>
                <w:szCs w:val="28"/>
              </w:rPr>
              <w:t>2008</w:t>
            </w:r>
            <w:r w:rsidRPr="00FA087C">
              <w:rPr>
                <w:rFonts w:ascii="Times New Roman" w:eastAsia="宋体" w:hAnsi="Times New Roman" w:cs="宋体" w:hint="eastAsia"/>
                <w:color w:val="333333"/>
                <w:kern w:val="0"/>
                <w:sz w:val="28"/>
                <w:szCs w:val="28"/>
              </w:rPr>
              <w:t>年受经济影响；呈逐年上升趋势。随着经济增长，人口的增加，住宅、商业用地需求量在不断扩大；所以，对</w:t>
            </w:r>
            <w:r w:rsidRPr="00FA087C">
              <w:rPr>
                <w:rFonts w:ascii="宋体" w:eastAsia="宋体" w:hAnsi="宋体" w:cs="宋体"/>
                <w:color w:val="333333"/>
                <w:kern w:val="0"/>
                <w:sz w:val="28"/>
                <w:szCs w:val="28"/>
              </w:rPr>
              <w:t>2008</w:t>
            </w:r>
            <w:r w:rsidRPr="00FA087C">
              <w:rPr>
                <w:rFonts w:ascii="Times New Roman" w:eastAsia="宋体" w:hAnsi="Times New Roman" w:cs="宋体" w:hint="eastAsia"/>
                <w:color w:val="333333"/>
                <w:kern w:val="0"/>
                <w:sz w:val="28"/>
                <w:szCs w:val="28"/>
              </w:rPr>
              <w:t>年住宅用地供应量进行政策修正，利用</w:t>
            </w:r>
            <w:r w:rsidRPr="00FA087C">
              <w:rPr>
                <w:rFonts w:ascii="宋体" w:eastAsia="宋体" w:hAnsi="宋体" w:cs="宋体"/>
                <w:color w:val="333333"/>
                <w:kern w:val="0"/>
                <w:sz w:val="28"/>
                <w:szCs w:val="28"/>
              </w:rPr>
              <w:t>SPSS</w:t>
            </w:r>
            <w:r w:rsidRPr="00FA087C">
              <w:rPr>
                <w:rFonts w:ascii="Times New Roman" w:eastAsia="宋体" w:hAnsi="Times New Roman" w:cs="宋体" w:hint="eastAsia"/>
                <w:color w:val="333333"/>
                <w:kern w:val="0"/>
                <w:sz w:val="28"/>
                <w:szCs w:val="28"/>
              </w:rPr>
              <w:t>统计软件将历年住宅用地供应量与经济、社会驱动因子做回归，得到如下回归方程：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y=172.145+0.473×x</w:t>
            </w:r>
            <w:r w:rsidRPr="00FA087C">
              <w:rPr>
                <w:rFonts w:ascii="宋体" w:eastAsia="宋体" w:hAnsi="宋体" w:cs="宋体"/>
                <w:color w:val="333333"/>
                <w:kern w:val="0"/>
                <w:sz w:val="28"/>
                <w:szCs w:val="28"/>
                <w:vertAlign w:val="subscript"/>
              </w:rPr>
              <w:t>4</w:t>
            </w:r>
            <w:r w:rsidRPr="00FA087C">
              <w:rPr>
                <w:rFonts w:ascii="宋体" w:eastAsia="宋体" w:hAnsi="宋体" w:cs="宋体"/>
                <w:color w:val="333333"/>
                <w:kern w:val="0"/>
                <w:sz w:val="28"/>
                <w:szCs w:val="28"/>
              </w:rPr>
              <w:t>+100.549×x</w:t>
            </w:r>
            <w:r w:rsidRPr="00FA087C">
              <w:rPr>
                <w:rFonts w:ascii="宋体" w:eastAsia="宋体" w:hAnsi="宋体" w:cs="宋体"/>
                <w:color w:val="333333"/>
                <w:kern w:val="0"/>
                <w:sz w:val="28"/>
                <w:szCs w:val="28"/>
                <w:vertAlign w:val="subscript"/>
              </w:rPr>
              <w:t>5</w:t>
            </w:r>
            <w:r w:rsidRPr="00FA087C">
              <w:rPr>
                <w:rFonts w:ascii="宋体" w:eastAsia="宋体" w:hAnsi="宋体" w:cs="宋体"/>
                <w:color w:val="333333"/>
                <w:kern w:val="0"/>
                <w:sz w:val="28"/>
                <w:szCs w:val="28"/>
              </w:rPr>
              <w:t>-91.707×x</w:t>
            </w:r>
            <w:r w:rsidRPr="00FA087C">
              <w:rPr>
                <w:rFonts w:ascii="宋体" w:eastAsia="宋体" w:hAnsi="宋体" w:cs="宋体"/>
                <w:color w:val="333333"/>
                <w:kern w:val="0"/>
                <w:sz w:val="28"/>
                <w:szCs w:val="28"/>
                <w:vertAlign w:val="subscript"/>
              </w:rPr>
              <w:t>6</w:t>
            </w:r>
            <w:r w:rsidRPr="00FA087C">
              <w:rPr>
                <w:rFonts w:ascii="宋体" w:eastAsia="宋体" w:hAnsi="宋体" w:cs="宋体"/>
                <w:color w:val="333333"/>
                <w:kern w:val="0"/>
                <w:sz w:val="28"/>
                <w:szCs w:val="28"/>
              </w:rPr>
              <w:t xml:space="preserve">            </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7</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lastRenderedPageBreak/>
              <w:t>根据上述回归方程，可以预测</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年黑河市住宅用地供应量为</w:t>
            </w:r>
            <w:r w:rsidRPr="00FA087C">
              <w:rPr>
                <w:rFonts w:ascii="宋体" w:eastAsia="宋体" w:hAnsi="宋体" w:cs="宋体"/>
                <w:color w:val="333333"/>
                <w:kern w:val="0"/>
                <w:sz w:val="28"/>
                <w:szCs w:val="28"/>
              </w:rPr>
              <w:t>32.48</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通过线性回归分析预测法与灰色模型预测法分别得出</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年黑河市住宅用地供应量为</w:t>
            </w:r>
            <w:r w:rsidRPr="00FA087C">
              <w:rPr>
                <w:rFonts w:ascii="宋体" w:eastAsia="宋体" w:hAnsi="宋体" w:cs="宋体"/>
                <w:color w:val="333333"/>
                <w:kern w:val="0"/>
                <w:sz w:val="28"/>
                <w:szCs w:val="28"/>
              </w:rPr>
              <w:t>38.38</w:t>
            </w:r>
            <w:r w:rsidRPr="00FA087C">
              <w:rPr>
                <w:rFonts w:ascii="Times New Roman" w:eastAsia="宋体" w:hAnsi="Times New Roman" w:cs="宋体" w:hint="eastAsia"/>
                <w:color w:val="333333"/>
                <w:kern w:val="0"/>
                <w:sz w:val="28"/>
                <w:szCs w:val="28"/>
              </w:rPr>
              <w:t>公顷、</w:t>
            </w:r>
            <w:r w:rsidRPr="00FA087C">
              <w:rPr>
                <w:rFonts w:ascii="宋体" w:eastAsia="宋体" w:hAnsi="宋体" w:cs="宋体"/>
                <w:color w:val="333333"/>
                <w:kern w:val="0"/>
                <w:sz w:val="28"/>
                <w:szCs w:val="28"/>
              </w:rPr>
              <w:t>32.48</w:t>
            </w:r>
            <w:r w:rsidRPr="00FA087C">
              <w:rPr>
                <w:rFonts w:ascii="Times New Roman" w:eastAsia="宋体" w:hAnsi="Times New Roman" w:cs="宋体" w:hint="eastAsia"/>
                <w:color w:val="333333"/>
                <w:kern w:val="0"/>
                <w:sz w:val="28"/>
                <w:szCs w:val="28"/>
              </w:rPr>
              <w:t>公顷，故采用两种预测方法的算术平均值做为最终结果即</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年黑河市住宅用地供应量预计为</w:t>
            </w:r>
            <w:r w:rsidRPr="00FA087C">
              <w:rPr>
                <w:rFonts w:ascii="宋体" w:eastAsia="宋体" w:hAnsi="宋体" w:cs="宋体"/>
                <w:color w:val="333333"/>
                <w:kern w:val="0"/>
                <w:sz w:val="28"/>
                <w:szCs w:val="28"/>
              </w:rPr>
              <w:t>35.43</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2</w:t>
            </w:r>
            <w:r w:rsidRPr="00FA087C">
              <w:rPr>
                <w:rFonts w:ascii="Times New Roman" w:eastAsia="宋体" w:hAnsi="Times New Roman" w:cs="宋体" w:hint="eastAsia"/>
                <w:color w:val="333333"/>
                <w:kern w:val="0"/>
                <w:sz w:val="28"/>
                <w:szCs w:val="28"/>
              </w:rPr>
              <w:t>）商服用地预测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商服用地与住宅用地匹配法</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由于商服用地与住宅用地具有相关联的关系，利用</w:t>
            </w:r>
            <w:r w:rsidRPr="00FA087C">
              <w:rPr>
                <w:rFonts w:ascii="宋体" w:eastAsia="宋体" w:hAnsi="宋体" w:cs="宋体"/>
                <w:color w:val="333333"/>
                <w:kern w:val="0"/>
                <w:sz w:val="28"/>
                <w:szCs w:val="28"/>
              </w:rPr>
              <w:t>2007-2010</w:t>
            </w:r>
            <w:r w:rsidRPr="00FA087C">
              <w:rPr>
                <w:rFonts w:ascii="Times New Roman" w:eastAsia="宋体" w:hAnsi="Times New Roman" w:cs="宋体" w:hint="eastAsia"/>
                <w:color w:val="333333"/>
                <w:kern w:val="0"/>
                <w:sz w:val="28"/>
                <w:szCs w:val="28"/>
              </w:rPr>
              <w:t>年商服用地供地量与住宅用地供应量的比例关系，来确定</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商服用地与住宅用地比例，由上面预测的</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年住宅用地供地量，计算出黑河市</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年商服用地供应总量为</w:t>
            </w:r>
            <w:r w:rsidRPr="00FA087C">
              <w:rPr>
                <w:rFonts w:ascii="宋体" w:eastAsia="宋体" w:hAnsi="宋体" w:cs="宋体"/>
                <w:color w:val="333333"/>
                <w:kern w:val="0"/>
                <w:sz w:val="28"/>
                <w:szCs w:val="28"/>
              </w:rPr>
              <w:t>18.10</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3</w:t>
            </w:r>
            <w:r w:rsidRPr="00FA087C">
              <w:rPr>
                <w:rFonts w:ascii="Times New Roman" w:eastAsia="宋体" w:hAnsi="Times New Roman" w:cs="宋体" w:hint="eastAsia"/>
                <w:color w:val="333333"/>
                <w:kern w:val="0"/>
                <w:sz w:val="28"/>
                <w:szCs w:val="28"/>
              </w:rPr>
              <w:t>）工矿仓储用地预测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根据</w:t>
            </w:r>
            <w:r w:rsidRPr="00FA087C">
              <w:rPr>
                <w:rFonts w:ascii="宋体" w:eastAsia="宋体" w:hAnsi="宋体" w:cs="宋体"/>
                <w:color w:val="333333"/>
                <w:kern w:val="0"/>
                <w:sz w:val="28"/>
                <w:szCs w:val="28"/>
              </w:rPr>
              <w:t>2007-2010</w:t>
            </w:r>
            <w:r w:rsidRPr="00FA087C">
              <w:rPr>
                <w:rFonts w:ascii="Times New Roman" w:eastAsia="宋体" w:hAnsi="Times New Roman" w:cs="宋体" w:hint="eastAsia"/>
                <w:color w:val="333333"/>
                <w:kern w:val="0"/>
                <w:sz w:val="28"/>
                <w:szCs w:val="28"/>
              </w:rPr>
              <w:t>年黑河市工矿仓储用地历年供应总量，利用灰色模型预测法，设定</w:t>
            </w: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年为初始时间</w:t>
            </w:r>
            <w:r w:rsidRPr="00FA087C">
              <w:rPr>
                <w:rFonts w:ascii="宋体" w:eastAsia="宋体" w:hAnsi="宋体" w:cs="宋体"/>
                <w:color w:val="333333"/>
                <w:kern w:val="0"/>
                <w:sz w:val="28"/>
                <w:szCs w:val="28"/>
              </w:rPr>
              <w:t>t=0,</w:t>
            </w:r>
            <w:r w:rsidRPr="00FA087C">
              <w:rPr>
                <w:rFonts w:ascii="Times New Roman" w:eastAsia="宋体" w:hAnsi="Times New Roman" w:cs="宋体" w:hint="eastAsia"/>
                <w:color w:val="333333"/>
                <w:kern w:val="0"/>
                <w:sz w:val="28"/>
                <w:szCs w:val="28"/>
              </w:rPr>
              <w:t>其他年份依次类推，建立工矿仓储用地供应总量预测模型为：</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Y=161.58×e</w:t>
            </w:r>
            <w:r w:rsidRPr="00FA087C">
              <w:rPr>
                <w:rFonts w:ascii="宋体" w:eastAsia="宋体" w:hAnsi="宋体" w:cs="宋体"/>
                <w:color w:val="333333"/>
                <w:kern w:val="0"/>
                <w:sz w:val="28"/>
                <w:szCs w:val="28"/>
                <w:vertAlign w:val="superscript"/>
              </w:rPr>
              <w:t>0.2309t</w:t>
            </w:r>
            <w:r w:rsidRPr="00FA087C">
              <w:rPr>
                <w:rFonts w:ascii="宋体" w:eastAsia="宋体" w:hAnsi="宋体" w:cs="宋体"/>
                <w:color w:val="333333"/>
                <w:kern w:val="0"/>
                <w:sz w:val="28"/>
                <w:szCs w:val="28"/>
              </w:rPr>
              <w:t xml:space="preserve">-127.07(t=0,1,2….)       </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9</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计算</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年工矿仓储用地供应量为</w:t>
            </w:r>
            <w:r w:rsidRPr="00FA087C">
              <w:rPr>
                <w:rFonts w:ascii="宋体" w:eastAsia="宋体" w:hAnsi="宋体" w:cs="宋体"/>
                <w:color w:val="333333"/>
                <w:kern w:val="0"/>
                <w:sz w:val="28"/>
                <w:szCs w:val="28"/>
              </w:rPr>
              <w:t>135.46</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4</w:t>
            </w:r>
            <w:r w:rsidRPr="00FA087C">
              <w:rPr>
                <w:rFonts w:ascii="Times New Roman" w:eastAsia="宋体" w:hAnsi="Times New Roman" w:cs="宋体" w:hint="eastAsia"/>
                <w:color w:val="333333"/>
                <w:kern w:val="0"/>
                <w:sz w:val="28"/>
                <w:szCs w:val="28"/>
              </w:rPr>
              <w:t>）公共管理与公共服务用地预测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a</w:t>
            </w:r>
            <w:r w:rsidRPr="00FA087C">
              <w:rPr>
                <w:rFonts w:ascii="Times New Roman" w:eastAsia="宋体" w:hAnsi="Times New Roman" w:cs="宋体" w:hint="eastAsia"/>
                <w:color w:val="333333"/>
                <w:kern w:val="0"/>
                <w:sz w:val="28"/>
                <w:szCs w:val="28"/>
              </w:rPr>
              <w:t>、利用</w:t>
            </w:r>
            <w:r w:rsidRPr="00FA087C">
              <w:rPr>
                <w:rFonts w:ascii="宋体" w:eastAsia="宋体" w:hAnsi="宋体" w:cs="宋体"/>
                <w:color w:val="333333"/>
                <w:kern w:val="0"/>
                <w:sz w:val="28"/>
                <w:szCs w:val="28"/>
              </w:rPr>
              <w:t>SPSS</w:t>
            </w:r>
            <w:r w:rsidRPr="00FA087C">
              <w:rPr>
                <w:rFonts w:ascii="Times New Roman" w:eastAsia="宋体" w:hAnsi="Times New Roman" w:cs="宋体" w:hint="eastAsia"/>
                <w:color w:val="333333"/>
                <w:kern w:val="0"/>
                <w:sz w:val="28"/>
                <w:szCs w:val="28"/>
              </w:rPr>
              <w:t>统计软件将历年公共管理与公共服务用地供应量与经济、社会驱动因子做回归，得到如下回归方程：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y=11956.35+90.47</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3</w:t>
            </w:r>
            <w:r w:rsidRPr="00FA087C">
              <w:rPr>
                <w:rFonts w:ascii="宋体" w:eastAsia="宋体" w:hAnsi="宋体" w:cs="宋体"/>
                <w:color w:val="333333"/>
                <w:kern w:val="0"/>
                <w:sz w:val="28"/>
                <w:szCs w:val="28"/>
              </w:rPr>
              <w:t>-202.64</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5</w:t>
            </w:r>
            <w:r w:rsidRPr="00FA087C">
              <w:rPr>
                <w:rFonts w:ascii="宋体" w:eastAsia="宋体" w:hAnsi="宋体" w:cs="宋体"/>
                <w:color w:val="333333"/>
                <w:kern w:val="0"/>
                <w:sz w:val="28"/>
                <w:szCs w:val="28"/>
              </w:rPr>
              <w:t>-82.48</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x</w:t>
            </w:r>
            <w:r w:rsidRPr="00FA087C">
              <w:rPr>
                <w:rFonts w:ascii="宋体" w:eastAsia="宋体" w:hAnsi="宋体" w:cs="宋体"/>
                <w:color w:val="333333"/>
                <w:kern w:val="0"/>
                <w:sz w:val="28"/>
                <w:szCs w:val="28"/>
                <w:vertAlign w:val="subscript"/>
              </w:rPr>
              <w:t>6</w:t>
            </w:r>
            <w:r w:rsidRPr="00FA087C">
              <w:rPr>
                <w:rFonts w:ascii="宋体" w:eastAsia="宋体" w:hAnsi="宋体" w:cs="宋体"/>
                <w:color w:val="333333"/>
                <w:kern w:val="0"/>
                <w:sz w:val="28"/>
                <w:szCs w:val="28"/>
              </w:rPr>
              <w:t xml:space="preserve">       </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11</w:t>
            </w:r>
            <w:r w:rsidRPr="00FA087C">
              <w:rPr>
                <w:rFonts w:ascii="Times New Roman" w:eastAsia="宋体" w:hAnsi="Times New Roman"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lastRenderedPageBreak/>
              <w:t>根据上述（</w:t>
            </w:r>
            <w:r w:rsidRPr="00FA087C">
              <w:rPr>
                <w:rFonts w:ascii="宋体" w:eastAsia="宋体" w:hAnsi="宋体" w:cs="宋体"/>
                <w:color w:val="333333"/>
                <w:kern w:val="0"/>
                <w:sz w:val="28"/>
                <w:szCs w:val="28"/>
              </w:rPr>
              <w:t>2</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3</w:t>
            </w: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4</w:t>
            </w:r>
            <w:r w:rsidRPr="00FA087C">
              <w:rPr>
                <w:rFonts w:ascii="Times New Roman" w:eastAsia="宋体" w:hAnsi="Times New Roman" w:cs="宋体" w:hint="eastAsia"/>
                <w:color w:val="333333"/>
                <w:kern w:val="0"/>
                <w:sz w:val="28"/>
                <w:szCs w:val="28"/>
              </w:rPr>
              <w:t>）回归方程，根据上述回归方程，可以预测</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年黑河市公共管理与公共服务用地供应总量为</w:t>
            </w:r>
            <w:r w:rsidRPr="00FA087C">
              <w:rPr>
                <w:rFonts w:ascii="宋体" w:eastAsia="宋体" w:hAnsi="宋体" w:cs="宋体"/>
                <w:color w:val="333333"/>
                <w:kern w:val="0"/>
                <w:sz w:val="28"/>
                <w:szCs w:val="28"/>
              </w:rPr>
              <w:t>27</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480"/>
              <w:jc w:val="left"/>
              <w:rPr>
                <w:rFonts w:ascii="宋体" w:eastAsia="宋体" w:hAnsi="宋体" w:cs="宋体"/>
                <w:color w:val="333333"/>
                <w:kern w:val="0"/>
                <w:sz w:val="28"/>
                <w:szCs w:val="28"/>
              </w:rPr>
            </w:pPr>
            <w:r w:rsidRPr="00FA087C">
              <w:rPr>
                <w:rFonts w:ascii="Times New Roman" w:eastAsia="宋体" w:hAnsi="宋体" w:cs="宋体" w:hint="eastAsia"/>
                <w:color w:val="333333"/>
                <w:kern w:val="0"/>
                <w:sz w:val="24"/>
                <w:szCs w:val="28"/>
              </w:rPr>
              <w:t>（</w:t>
            </w:r>
            <w:r w:rsidRPr="00FA087C">
              <w:rPr>
                <w:rFonts w:ascii="宋体" w:eastAsia="宋体" w:hAnsi="宋体" w:cs="宋体"/>
                <w:color w:val="333333"/>
                <w:kern w:val="0"/>
                <w:sz w:val="28"/>
                <w:szCs w:val="28"/>
              </w:rPr>
              <w:t>5</w:t>
            </w:r>
            <w:r w:rsidRPr="00FA087C">
              <w:rPr>
                <w:rFonts w:ascii="Times New Roman" w:eastAsia="宋体" w:hAnsi="Times New Roman" w:cs="宋体" w:hint="eastAsia"/>
                <w:color w:val="333333"/>
                <w:kern w:val="0"/>
                <w:sz w:val="28"/>
                <w:szCs w:val="28"/>
              </w:rPr>
              <w:t>）交通运输用地预测</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根据黑河市国土资源局提供的</w:t>
            </w: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年交通运输用地年度供应量基本没有，由于供应数量较少，预测模型难以确定。根据黑河市国土资源局</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年国有建设用地拟供应计划，其预计交通运输用地年度供应量为</w:t>
            </w:r>
            <w:r w:rsidRPr="00FA087C">
              <w:rPr>
                <w:rFonts w:ascii="宋体" w:eastAsia="宋体" w:hAnsi="宋体" w:cs="宋体"/>
                <w:color w:val="333333"/>
                <w:kern w:val="0"/>
                <w:sz w:val="28"/>
                <w:szCs w:val="28"/>
              </w:rPr>
              <w:t>80.00</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w:t>
            </w:r>
            <w:r w:rsidRPr="00FA087C">
              <w:rPr>
                <w:rFonts w:ascii="宋体" w:eastAsia="宋体" w:hAnsi="宋体" w:cs="宋体"/>
                <w:color w:val="333333"/>
                <w:kern w:val="0"/>
                <w:sz w:val="28"/>
                <w:szCs w:val="28"/>
              </w:rPr>
              <w:t>6</w:t>
            </w:r>
            <w:r w:rsidRPr="00FA087C">
              <w:rPr>
                <w:rFonts w:ascii="Times New Roman" w:eastAsia="宋体" w:hAnsi="Times New Roman" w:cs="宋体" w:hint="eastAsia"/>
                <w:color w:val="333333"/>
                <w:kern w:val="0"/>
                <w:sz w:val="28"/>
                <w:szCs w:val="28"/>
              </w:rPr>
              <w:t>）特殊用地</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按照《全国土地分类标准》，特殊用地指军事设施、涉外、宗教、监狱、墓地、旅游等用地。根据对黑河市</w:t>
            </w: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年到</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年间的特殊用地使用情况，近几年间特殊用地基本没有供地，根据黑河市国土资源局</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年国有建设用地拟供应计划确定其特殊用地供应量为</w:t>
            </w:r>
            <w:r w:rsidRPr="00FA087C">
              <w:rPr>
                <w:rFonts w:ascii="宋体" w:eastAsia="宋体" w:hAnsi="宋体" w:cs="宋体"/>
                <w:color w:val="333333"/>
                <w:kern w:val="0"/>
                <w:sz w:val="28"/>
                <w:szCs w:val="28"/>
              </w:rPr>
              <w:t>1.64</w:t>
            </w:r>
            <w:r w:rsidRPr="00FA087C">
              <w:rPr>
                <w:rFonts w:ascii="Times New Roman" w:eastAsia="宋体" w:hAnsi="Times New Roman" w:cs="宋体" w:hint="eastAsia"/>
                <w:color w:val="333333"/>
                <w:kern w:val="0"/>
                <w:sz w:val="28"/>
                <w:szCs w:val="28"/>
              </w:rPr>
              <w:t>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3</w:t>
            </w:r>
            <w:r w:rsidRPr="00FA087C">
              <w:rPr>
                <w:rFonts w:ascii="Times New Roman" w:eastAsia="宋体" w:hAnsi="Times New Roman" w:cs="宋体" w:hint="eastAsia"/>
                <w:color w:val="333333"/>
                <w:kern w:val="0"/>
                <w:sz w:val="28"/>
                <w:szCs w:val="28"/>
              </w:rPr>
              <w:t>、黑河市</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年国有建设用地总量及各类用地分项指标的确定</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通过对黑河市</w:t>
            </w:r>
            <w:r w:rsidRPr="00FA087C">
              <w:rPr>
                <w:rFonts w:ascii="宋体" w:eastAsia="宋体" w:hAnsi="宋体" w:cs="宋体"/>
                <w:color w:val="333333"/>
                <w:kern w:val="0"/>
                <w:sz w:val="28"/>
                <w:szCs w:val="28"/>
              </w:rPr>
              <w:t>2007</w:t>
            </w:r>
            <w:r w:rsidRPr="00FA087C">
              <w:rPr>
                <w:rFonts w:ascii="Times New Roman" w:eastAsia="宋体" w:hAnsi="Times New Roman" w:cs="宋体" w:hint="eastAsia"/>
                <w:color w:val="333333"/>
                <w:kern w:val="0"/>
                <w:sz w:val="28"/>
                <w:szCs w:val="28"/>
              </w:rPr>
              <w:t>年</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年间建设用地供应总量及各类用地分项指标的分析预测得如下表所示：</w:t>
            </w:r>
          </w:p>
          <w:p w:rsidR="00FA087C" w:rsidRPr="00FA087C" w:rsidRDefault="00FA087C" w:rsidP="00EE0D6B">
            <w:pPr>
              <w:widowControl/>
              <w:spacing w:beforeLines="100" w:line="400" w:lineRule="exact"/>
              <w:ind w:firstLine="573"/>
              <w:jc w:val="center"/>
              <w:rPr>
                <w:rFonts w:ascii="宋体" w:eastAsia="宋体" w:hAnsi="宋体" w:cs="宋体"/>
                <w:b/>
                <w:color w:val="333333"/>
                <w:kern w:val="0"/>
                <w:sz w:val="24"/>
                <w:szCs w:val="28"/>
              </w:rPr>
            </w:pPr>
            <w:r w:rsidRPr="00FA087C">
              <w:rPr>
                <w:rFonts w:ascii="Times New Roman" w:eastAsia="宋体" w:hAnsi="宋体" w:cs="宋体" w:hint="eastAsia"/>
                <w:b/>
                <w:color w:val="333333"/>
                <w:kern w:val="0"/>
                <w:sz w:val="24"/>
                <w:szCs w:val="28"/>
              </w:rPr>
              <w:t>表</w:t>
            </w:r>
            <w:r w:rsidRPr="00FA087C">
              <w:rPr>
                <w:rFonts w:ascii="宋体" w:eastAsia="宋体" w:hAnsi="宋体" w:cs="宋体"/>
                <w:b/>
                <w:color w:val="333333"/>
                <w:kern w:val="0"/>
                <w:sz w:val="24"/>
                <w:szCs w:val="28"/>
              </w:rPr>
              <w:t>4-5</w:t>
            </w:r>
            <w:r w:rsidRPr="00FA087C">
              <w:rPr>
                <w:rFonts w:ascii="Times New Roman" w:eastAsia="宋体" w:hAnsi="宋体" w:cs="宋体" w:hint="eastAsia"/>
                <w:b/>
                <w:color w:val="333333"/>
                <w:kern w:val="0"/>
                <w:sz w:val="24"/>
                <w:szCs w:val="28"/>
              </w:rPr>
              <w:t>：国有建设用地各类用地分项指标供应量（公顷）</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6"/>
              <w:gridCol w:w="1011"/>
              <w:gridCol w:w="1429"/>
              <w:gridCol w:w="816"/>
              <w:gridCol w:w="1613"/>
              <w:gridCol w:w="696"/>
              <w:gridCol w:w="696"/>
              <w:gridCol w:w="1368"/>
            </w:tblGrid>
            <w:tr w:rsidR="00FA087C" w:rsidRPr="00FA087C" w:rsidTr="00FA087C">
              <w:trPr>
                <w:trHeight w:val="1190"/>
                <w:jc w:val="center"/>
              </w:trPr>
              <w:tc>
                <w:tcPr>
                  <w:tcW w:w="5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地类</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商服用地</w:t>
                  </w:r>
                </w:p>
              </w:tc>
              <w:tc>
                <w:tcPr>
                  <w:tcW w:w="8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工矿仓储用地</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住宅</w:t>
                  </w:r>
                </w:p>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用地</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公共管理与</w:t>
                  </w:r>
                </w:p>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公共服务用地</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特殊</w:t>
                  </w:r>
                </w:p>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用地</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交通</w:t>
                  </w:r>
                </w:p>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运输</w:t>
                  </w:r>
                </w:p>
              </w:tc>
              <w:tc>
                <w:tcPr>
                  <w:tcW w:w="8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水域及水利</w:t>
                  </w:r>
                </w:p>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设施用地</w:t>
                  </w:r>
                </w:p>
              </w:tc>
            </w:tr>
            <w:tr w:rsidR="00FA087C" w:rsidRPr="00FA087C" w:rsidTr="00FA087C">
              <w:trPr>
                <w:trHeight w:val="434"/>
                <w:jc w:val="center"/>
              </w:trPr>
              <w:tc>
                <w:tcPr>
                  <w:tcW w:w="5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供应量</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13.10</w:t>
                  </w:r>
                </w:p>
              </w:tc>
              <w:tc>
                <w:tcPr>
                  <w:tcW w:w="8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135.46</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35.43</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27.0</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1.64</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80.0</w:t>
                  </w:r>
                </w:p>
              </w:tc>
              <w:tc>
                <w:tcPr>
                  <w:tcW w:w="8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0</w:t>
                  </w:r>
                </w:p>
              </w:tc>
            </w:tr>
            <w:tr w:rsidR="00FA087C" w:rsidRPr="00FA087C" w:rsidTr="00FA087C">
              <w:trPr>
                <w:trHeight w:val="434"/>
                <w:jc w:val="center"/>
              </w:trPr>
              <w:tc>
                <w:tcPr>
                  <w:tcW w:w="5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合计</w:t>
                  </w:r>
                </w:p>
              </w:tc>
              <w:tc>
                <w:tcPr>
                  <w:tcW w:w="4466"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24"/>
                      <w:szCs w:val="21"/>
                    </w:rPr>
                  </w:pPr>
                  <w:r w:rsidRPr="00FA087C">
                    <w:rPr>
                      <w:rFonts w:ascii="宋体" w:eastAsia="宋体" w:hAnsi="宋体" w:cs="宋体" w:hint="eastAsia"/>
                      <w:color w:val="333333"/>
                      <w:kern w:val="0"/>
                      <w:sz w:val="24"/>
                      <w:szCs w:val="21"/>
                    </w:rPr>
                    <w:t>292.63</w:t>
                  </w:r>
                </w:p>
              </w:tc>
            </w:tr>
          </w:tbl>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根据上表得黑河市国有建设用地</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年度供应总量为</w:t>
            </w:r>
            <w:r w:rsidRPr="00FA087C">
              <w:rPr>
                <w:rFonts w:ascii="宋体" w:eastAsia="宋体" w:hAnsi="宋体" w:cs="宋体"/>
                <w:color w:val="333333"/>
                <w:kern w:val="0"/>
                <w:sz w:val="28"/>
                <w:szCs w:val="28"/>
              </w:rPr>
              <w:t>292.63</w:t>
            </w:r>
            <w:r w:rsidRPr="00FA087C">
              <w:rPr>
                <w:rFonts w:ascii="Times New Roman" w:eastAsia="宋体" w:hAnsi="Times New Roman" w:cs="宋体" w:hint="eastAsia"/>
                <w:color w:val="333333"/>
                <w:kern w:val="0"/>
                <w:sz w:val="28"/>
                <w:szCs w:val="28"/>
              </w:rPr>
              <w:t>公</w:t>
            </w:r>
            <w:r w:rsidRPr="00FA087C">
              <w:rPr>
                <w:rFonts w:ascii="Times New Roman" w:eastAsia="宋体" w:hAnsi="Times New Roman" w:cs="宋体" w:hint="eastAsia"/>
                <w:color w:val="333333"/>
                <w:kern w:val="0"/>
                <w:sz w:val="28"/>
                <w:szCs w:val="28"/>
              </w:rPr>
              <w:lastRenderedPageBreak/>
              <w:t>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4</w:t>
            </w:r>
            <w:r w:rsidRPr="00FA087C">
              <w:rPr>
                <w:rFonts w:ascii="Times New Roman" w:eastAsia="宋体" w:hAnsi="Times New Roman" w:cs="宋体" w:hint="eastAsia"/>
                <w:color w:val="333333"/>
                <w:kern w:val="0"/>
                <w:sz w:val="28"/>
                <w:szCs w:val="28"/>
              </w:rPr>
              <w:t>、保障性住房、棚改用地、中小套型商品房用地指标的确定</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年黑河市国有建设用地供地计划的编制将</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年住房用地计划纳入其中，这样会有效地保障了住房用地计划的实施。</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保障性住房，是与商品性住房（简称商品房）相对应的一个概念，保障性住房是指政府为中低收入住房困难家庭所提供的限定标准、限定价格或租金的住房，由廉租住房、经济适用住房和政策性租赁住房构成。</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两限商品住房：即“限套型、限房价、竞地价、竞房价”。为降低房价，解决本地居民自住需求，保证中低价位、中小套型普通商品住房土地供应。目前情况来看，首批限价房规定：限价房的套型建筑面积全部为</w:t>
            </w:r>
            <w:r w:rsidRPr="00FA087C">
              <w:rPr>
                <w:rFonts w:ascii="宋体" w:eastAsia="宋体" w:hAnsi="宋体" w:cs="宋体"/>
                <w:color w:val="333333"/>
                <w:kern w:val="0"/>
                <w:sz w:val="28"/>
                <w:szCs w:val="28"/>
              </w:rPr>
              <w:t>90</w:t>
            </w:r>
            <w:r w:rsidRPr="00FA087C">
              <w:rPr>
                <w:rFonts w:ascii="Times New Roman" w:eastAsia="宋体" w:hAnsi="Times New Roman" w:cs="宋体" w:hint="eastAsia"/>
                <w:color w:val="333333"/>
                <w:kern w:val="0"/>
                <w:sz w:val="28"/>
                <w:szCs w:val="28"/>
              </w:rPr>
              <w:t>平方米以下。</w:t>
            </w:r>
            <w:r w:rsidRPr="00FA087C">
              <w:rPr>
                <w:rFonts w:ascii="宋体" w:eastAsia="宋体" w:hAnsi="宋体" w:cs="宋体"/>
                <w:color w:val="333333"/>
                <w:kern w:val="0"/>
                <w:sz w:val="28"/>
                <w:szCs w:val="28"/>
              </w:rPr>
              <w:t xml:space="preserve"> </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经济适用房：指具有社会保障性质的商品住宅，具有经济性和适用性的特点。经济性是指住宅价格相对于市场价格比较适中，能够适应中低收入家庭的承受能力；适用性是指在住房设计及其建筑标准上强调住房的使用效果，而非建筑标准。</w:t>
            </w:r>
            <w:r w:rsidRPr="00FA087C">
              <w:rPr>
                <w:rFonts w:ascii="宋体" w:eastAsia="宋体" w:hAnsi="宋体" w:cs="宋体"/>
                <w:color w:val="333333"/>
                <w:kern w:val="0"/>
                <w:sz w:val="28"/>
                <w:szCs w:val="28"/>
              </w:rPr>
              <w:t xml:space="preserve"> </w:t>
            </w:r>
            <w:r w:rsidRPr="00FA087C">
              <w:rPr>
                <w:rFonts w:ascii="Times New Roman" w:eastAsia="宋体" w:hAnsi="Times New Roman" w:cs="宋体" w:hint="eastAsia"/>
                <w:color w:val="333333"/>
                <w:kern w:val="0"/>
                <w:sz w:val="28"/>
                <w:szCs w:val="28"/>
              </w:rPr>
              <w:t>经济适用住房面积需要严格控制在中小套型，中套住房面积控制在</w:t>
            </w:r>
            <w:r w:rsidRPr="00FA087C">
              <w:rPr>
                <w:rFonts w:ascii="宋体" w:eastAsia="宋体" w:hAnsi="宋体" w:cs="宋体"/>
                <w:color w:val="333333"/>
                <w:kern w:val="0"/>
                <w:sz w:val="28"/>
                <w:szCs w:val="28"/>
              </w:rPr>
              <w:t>80</w:t>
            </w:r>
            <w:r w:rsidRPr="00FA087C">
              <w:rPr>
                <w:rFonts w:ascii="Times New Roman" w:eastAsia="宋体" w:hAnsi="Times New Roman" w:cs="宋体" w:hint="eastAsia"/>
                <w:color w:val="333333"/>
                <w:kern w:val="0"/>
                <w:sz w:val="28"/>
                <w:szCs w:val="28"/>
              </w:rPr>
              <w:t>平方米左右，小套住房面积控制在</w:t>
            </w:r>
            <w:r w:rsidRPr="00FA087C">
              <w:rPr>
                <w:rFonts w:ascii="宋体" w:eastAsia="宋体" w:hAnsi="宋体" w:cs="宋体"/>
                <w:color w:val="333333"/>
                <w:kern w:val="0"/>
                <w:sz w:val="28"/>
                <w:szCs w:val="28"/>
              </w:rPr>
              <w:t>60</w:t>
            </w:r>
            <w:r w:rsidRPr="00FA087C">
              <w:rPr>
                <w:rFonts w:ascii="Times New Roman" w:eastAsia="宋体" w:hAnsi="Times New Roman" w:cs="宋体" w:hint="eastAsia"/>
                <w:color w:val="333333"/>
                <w:kern w:val="0"/>
                <w:sz w:val="28"/>
                <w:szCs w:val="28"/>
              </w:rPr>
              <w:t>平方米左右。</w:t>
            </w:r>
            <w:r w:rsidRPr="00FA087C">
              <w:rPr>
                <w:rFonts w:ascii="宋体" w:eastAsia="宋体" w:hAnsi="宋体" w:cs="宋体"/>
                <w:color w:val="333333"/>
                <w:kern w:val="0"/>
                <w:sz w:val="28"/>
                <w:szCs w:val="28"/>
              </w:rPr>
              <w:t xml:space="preserve"> </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廉租房：廉租房只租不售，出租给城镇居民中最低收入者。在房价疯涨，经济适用房走入困境，百姓居住难的背景下，廉租房便成为了社会关注的焦点，能成为了低收入家庭住房的“救命草”。据调查，廉租房户型设定是以一居室、两居室为主，建筑面积原则上按一居室套型建筑面积</w:t>
            </w:r>
            <w:r w:rsidRPr="00FA087C">
              <w:rPr>
                <w:rFonts w:ascii="宋体" w:eastAsia="宋体" w:hAnsi="宋体" w:cs="宋体"/>
                <w:color w:val="333333"/>
                <w:kern w:val="0"/>
                <w:sz w:val="28"/>
                <w:szCs w:val="28"/>
              </w:rPr>
              <w:t>35</w:t>
            </w:r>
            <w:r w:rsidRPr="00FA087C">
              <w:rPr>
                <w:rFonts w:ascii="Times New Roman" w:eastAsia="宋体" w:hAnsi="Times New Roman" w:cs="宋体" w:hint="eastAsia"/>
                <w:color w:val="333333"/>
                <w:kern w:val="0"/>
                <w:sz w:val="28"/>
                <w:szCs w:val="28"/>
              </w:rPr>
              <w:t>平方米，两居室套型建筑面积</w:t>
            </w:r>
            <w:r w:rsidRPr="00FA087C">
              <w:rPr>
                <w:rFonts w:ascii="宋体" w:eastAsia="宋体" w:hAnsi="宋体" w:cs="宋体"/>
                <w:color w:val="333333"/>
                <w:kern w:val="0"/>
                <w:sz w:val="28"/>
                <w:szCs w:val="28"/>
              </w:rPr>
              <w:t>45</w:t>
            </w:r>
            <w:r w:rsidRPr="00FA087C">
              <w:rPr>
                <w:rFonts w:ascii="Times New Roman" w:eastAsia="宋体" w:hAnsi="Times New Roman" w:cs="宋体" w:hint="eastAsia"/>
                <w:color w:val="333333"/>
                <w:kern w:val="0"/>
                <w:sz w:val="28"/>
                <w:szCs w:val="28"/>
              </w:rPr>
              <w:t>平方米，三居室套型建筑面</w:t>
            </w:r>
            <w:r w:rsidRPr="00FA087C">
              <w:rPr>
                <w:rFonts w:ascii="Times New Roman" w:eastAsia="宋体" w:hAnsi="Times New Roman" w:cs="宋体" w:hint="eastAsia"/>
                <w:color w:val="333333"/>
                <w:kern w:val="0"/>
                <w:sz w:val="28"/>
                <w:szCs w:val="28"/>
              </w:rPr>
              <w:lastRenderedPageBreak/>
              <w:t>积</w:t>
            </w:r>
            <w:r w:rsidRPr="00FA087C">
              <w:rPr>
                <w:rFonts w:ascii="宋体" w:eastAsia="宋体" w:hAnsi="宋体" w:cs="宋体"/>
                <w:color w:val="333333"/>
                <w:kern w:val="0"/>
                <w:sz w:val="28"/>
                <w:szCs w:val="28"/>
              </w:rPr>
              <w:t>55</w:t>
            </w:r>
            <w:r w:rsidRPr="00FA087C">
              <w:rPr>
                <w:rFonts w:ascii="Times New Roman" w:eastAsia="宋体" w:hAnsi="Times New Roman" w:cs="宋体" w:hint="eastAsia"/>
                <w:color w:val="333333"/>
                <w:kern w:val="0"/>
                <w:sz w:val="28"/>
                <w:szCs w:val="28"/>
              </w:rPr>
              <w:t>平方米。三个项目中的三居都不高于</w:t>
            </w:r>
            <w:r w:rsidRPr="00FA087C">
              <w:rPr>
                <w:rFonts w:ascii="宋体" w:eastAsia="宋体" w:hAnsi="宋体" w:cs="宋体"/>
                <w:color w:val="333333"/>
                <w:kern w:val="0"/>
                <w:sz w:val="28"/>
                <w:szCs w:val="28"/>
              </w:rPr>
              <w:t>55</w:t>
            </w:r>
            <w:r w:rsidRPr="00FA087C">
              <w:rPr>
                <w:rFonts w:ascii="Times New Roman" w:eastAsia="宋体" w:hAnsi="Times New Roman" w:cs="宋体" w:hint="eastAsia"/>
                <w:color w:val="333333"/>
                <w:kern w:val="0"/>
                <w:sz w:val="28"/>
                <w:szCs w:val="28"/>
              </w:rPr>
              <w:t>平方米，名副其实的“袖珍”小户型。</w:t>
            </w:r>
            <w:r w:rsidRPr="00FA087C">
              <w:rPr>
                <w:rFonts w:ascii="宋体" w:eastAsia="宋体" w:hAnsi="宋体" w:cs="宋体"/>
                <w:color w:val="333333"/>
                <w:kern w:val="0"/>
                <w:sz w:val="28"/>
                <w:szCs w:val="28"/>
              </w:rPr>
              <w:t xml:space="preserve"> </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政策性租赁房：指通过政府或政府委托的机构，按照市场租价向中低收入的住房困难家庭提供可租赁的住房，同时，政府对承租家庭按月支付相应标准的租房补贴。其目的是解决家庭收入高于享受廉租房标准而又无力购买经济适用房的低收入家庭的住房困难。这个概念正好被定格在新出炉的“租赁型经济适用房”。经济适用房以租代售，可以说是将经济适用房变成“扩大版的廉租房”。</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由于黑河市位于黑龙江省省中北部地区，属于中型城市，其进城务工人口相对较少，大部分以当地居民为主，对保障性住房要求相对较少，根据黑河市房产管理局、黑河市市国土资源局</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年国有建设用地拟供应计划、历年住宅用地预测结果，确定其住宅建设用地面积为</w:t>
            </w:r>
            <w:r w:rsidRPr="00FA087C">
              <w:rPr>
                <w:rFonts w:ascii="宋体" w:eastAsia="宋体" w:hAnsi="宋体" w:cs="宋体"/>
                <w:color w:val="333333"/>
                <w:kern w:val="0"/>
                <w:sz w:val="28"/>
                <w:szCs w:val="28"/>
              </w:rPr>
              <w:t>35.43</w:t>
            </w:r>
            <w:r w:rsidRPr="00FA087C">
              <w:rPr>
                <w:rFonts w:ascii="Times New Roman" w:eastAsia="宋体" w:hAnsi="Times New Roman" w:cs="宋体" w:hint="eastAsia"/>
                <w:color w:val="333333"/>
                <w:kern w:val="0"/>
                <w:sz w:val="28"/>
                <w:szCs w:val="28"/>
              </w:rPr>
              <w:t>公顷，其中保障性住房用地为</w:t>
            </w:r>
            <w:r w:rsidRPr="00FA087C">
              <w:rPr>
                <w:rFonts w:ascii="宋体" w:eastAsia="宋体" w:hAnsi="宋体" w:cs="宋体"/>
                <w:color w:val="333333"/>
                <w:kern w:val="0"/>
                <w:sz w:val="28"/>
                <w:szCs w:val="28"/>
              </w:rPr>
              <w:t>2.3</w:t>
            </w:r>
            <w:r w:rsidRPr="00FA087C">
              <w:rPr>
                <w:rFonts w:ascii="Times New Roman" w:eastAsia="宋体" w:hAnsi="Times New Roman" w:cs="宋体" w:hint="eastAsia"/>
                <w:color w:val="333333"/>
                <w:kern w:val="0"/>
                <w:sz w:val="28"/>
                <w:szCs w:val="28"/>
              </w:rPr>
              <w:t>公顷、棚户区改造用地为</w:t>
            </w:r>
            <w:r w:rsidRPr="00FA087C">
              <w:rPr>
                <w:rFonts w:ascii="宋体" w:eastAsia="宋体" w:hAnsi="宋体" w:cs="宋体"/>
                <w:color w:val="333333"/>
                <w:kern w:val="0"/>
                <w:sz w:val="28"/>
                <w:szCs w:val="28"/>
              </w:rPr>
              <w:t>3.5</w:t>
            </w:r>
            <w:r w:rsidRPr="00FA087C">
              <w:rPr>
                <w:rFonts w:ascii="Times New Roman" w:eastAsia="宋体" w:hAnsi="Times New Roman" w:cs="宋体" w:hint="eastAsia"/>
                <w:color w:val="333333"/>
                <w:kern w:val="0"/>
                <w:sz w:val="28"/>
                <w:szCs w:val="28"/>
              </w:rPr>
              <w:t>公顷、中小套型商品房用地为</w:t>
            </w:r>
            <w:r w:rsidRPr="00FA087C">
              <w:rPr>
                <w:rFonts w:ascii="宋体" w:eastAsia="宋体" w:hAnsi="宋体" w:cs="宋体"/>
                <w:color w:val="333333"/>
                <w:kern w:val="0"/>
                <w:sz w:val="28"/>
                <w:szCs w:val="28"/>
              </w:rPr>
              <w:t>19.76</w:t>
            </w:r>
            <w:r w:rsidRPr="00FA087C">
              <w:rPr>
                <w:rFonts w:ascii="Times New Roman" w:eastAsia="宋体" w:hAnsi="Times New Roman" w:cs="宋体" w:hint="eastAsia"/>
                <w:color w:val="333333"/>
                <w:kern w:val="0"/>
                <w:sz w:val="28"/>
                <w:szCs w:val="28"/>
              </w:rPr>
              <w:t>公顷，三类住房用地供应量之和为</w:t>
            </w:r>
            <w:r w:rsidRPr="00FA087C">
              <w:rPr>
                <w:rFonts w:ascii="宋体" w:eastAsia="宋体" w:hAnsi="宋体" w:cs="宋体"/>
                <w:color w:val="333333"/>
                <w:kern w:val="0"/>
                <w:sz w:val="28"/>
                <w:szCs w:val="28"/>
              </w:rPr>
              <w:t>25.56</w:t>
            </w:r>
            <w:r w:rsidRPr="00FA087C">
              <w:rPr>
                <w:rFonts w:ascii="Times New Roman" w:eastAsia="宋体" w:hAnsi="Times New Roman" w:cs="宋体" w:hint="eastAsia"/>
                <w:color w:val="333333"/>
                <w:kern w:val="0"/>
                <w:sz w:val="28"/>
                <w:szCs w:val="28"/>
              </w:rPr>
              <w:t>公顷，占住房用地供应总量的</w:t>
            </w:r>
            <w:r w:rsidRPr="00FA087C">
              <w:rPr>
                <w:rFonts w:ascii="宋体" w:eastAsia="宋体" w:hAnsi="宋体" w:cs="宋体"/>
                <w:color w:val="333333"/>
                <w:kern w:val="0"/>
                <w:sz w:val="28"/>
                <w:szCs w:val="28"/>
              </w:rPr>
              <w:t>76.09%</w:t>
            </w:r>
            <w:r w:rsidRPr="00FA087C">
              <w:rPr>
                <w:rFonts w:ascii="Times New Roman" w:eastAsia="宋体" w:hAnsi="Times New Roman" w:cs="宋体" w:hint="eastAsia"/>
                <w:color w:val="333333"/>
                <w:kern w:val="0"/>
                <w:sz w:val="28"/>
                <w:szCs w:val="28"/>
              </w:rPr>
              <w:t>。符合住房用地供应计划中保障性住房用地、棚改用地和中小套型商品房用地确保不低于</w:t>
            </w:r>
            <w:r w:rsidRPr="00FA087C">
              <w:rPr>
                <w:rFonts w:ascii="宋体" w:eastAsia="宋体" w:hAnsi="宋体" w:cs="宋体"/>
                <w:color w:val="333333"/>
                <w:kern w:val="0"/>
                <w:sz w:val="28"/>
                <w:szCs w:val="28"/>
              </w:rPr>
              <w:t>70%</w:t>
            </w:r>
            <w:r w:rsidRPr="00FA087C">
              <w:rPr>
                <w:rFonts w:ascii="Times New Roman" w:eastAsia="宋体" w:hAnsi="Times New Roman" w:cs="宋体" w:hint="eastAsia"/>
                <w:color w:val="333333"/>
                <w:kern w:val="0"/>
                <w:sz w:val="28"/>
                <w:szCs w:val="28"/>
              </w:rPr>
              <w:t>的住房用地供应量的标准。</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5</w:t>
            </w:r>
            <w:r w:rsidRPr="00FA087C">
              <w:rPr>
                <w:rFonts w:ascii="Times New Roman" w:eastAsia="宋体" w:hAnsi="Times New Roman" w:cs="宋体" w:hint="eastAsia"/>
                <w:color w:val="333333"/>
                <w:kern w:val="0"/>
                <w:sz w:val="28"/>
                <w:szCs w:val="28"/>
              </w:rPr>
              <w:t>、国有建设用地供需平衡分析</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Times New Roman" w:eastAsia="宋体" w:hAnsi="Times New Roman" w:cs="宋体" w:hint="eastAsia"/>
                <w:color w:val="333333"/>
                <w:kern w:val="0"/>
                <w:sz w:val="28"/>
                <w:szCs w:val="28"/>
              </w:rPr>
              <w:t>根据对黑河市市</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年建设用地供应计划总量及各地类分项指标预测结果，我们将采取总量控制、分项指标调整的原则，将建设用地总量控制在</w:t>
            </w:r>
            <w:r w:rsidRPr="00FA087C">
              <w:rPr>
                <w:rFonts w:ascii="宋体" w:eastAsia="宋体" w:hAnsi="宋体" w:cs="宋体"/>
                <w:color w:val="333333"/>
                <w:kern w:val="0"/>
                <w:sz w:val="28"/>
                <w:szCs w:val="28"/>
              </w:rPr>
              <w:t>297.63</w:t>
            </w:r>
            <w:r w:rsidRPr="00FA087C">
              <w:rPr>
                <w:rFonts w:ascii="Times New Roman" w:eastAsia="宋体" w:hAnsi="Times New Roman" w:cs="宋体" w:hint="eastAsia"/>
                <w:color w:val="333333"/>
                <w:kern w:val="0"/>
                <w:sz w:val="28"/>
                <w:szCs w:val="28"/>
              </w:rPr>
              <w:t>公顷内，新增建设用地量将在以后年份中得以更充足保障。由于黑河市市工业不是很发达，十二五期间政府要加快城镇化建</w:t>
            </w:r>
            <w:r w:rsidRPr="00FA087C">
              <w:rPr>
                <w:rFonts w:ascii="Times New Roman" w:eastAsia="宋体" w:hAnsi="Times New Roman" w:cs="宋体" w:hint="eastAsia"/>
                <w:color w:val="333333"/>
                <w:kern w:val="0"/>
                <w:sz w:val="28"/>
                <w:szCs w:val="28"/>
              </w:rPr>
              <w:lastRenderedPageBreak/>
              <w:t>设，提升第二产业的年产值，安排进城务工人员就业，这样就会加大工矿仓储用地的供应量。所以根据对工矿仓储用地需求以及供给分析，将</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年度工矿仓储用地调整为</w:t>
            </w:r>
            <w:r w:rsidRPr="00FA087C">
              <w:rPr>
                <w:rFonts w:ascii="宋体" w:eastAsia="宋体" w:hAnsi="宋体" w:cs="宋体"/>
                <w:color w:val="333333"/>
                <w:kern w:val="0"/>
                <w:sz w:val="28"/>
                <w:szCs w:val="28"/>
              </w:rPr>
              <w:t>135.46</w:t>
            </w:r>
            <w:r w:rsidRPr="00FA087C">
              <w:rPr>
                <w:rFonts w:ascii="Times New Roman" w:eastAsia="宋体" w:hAnsi="Times New Roman" w:cs="宋体" w:hint="eastAsia"/>
                <w:color w:val="333333"/>
                <w:kern w:val="0"/>
                <w:sz w:val="28"/>
                <w:szCs w:val="28"/>
              </w:rPr>
              <w:t>公顷。由于黑河市市住宅用地</w:t>
            </w:r>
            <w:r w:rsidRPr="00FA087C">
              <w:rPr>
                <w:rFonts w:ascii="宋体" w:eastAsia="宋体" w:hAnsi="宋体" w:cs="宋体"/>
                <w:color w:val="333333"/>
                <w:kern w:val="0"/>
                <w:sz w:val="28"/>
                <w:szCs w:val="28"/>
              </w:rPr>
              <w:t>2010</w:t>
            </w:r>
            <w:r w:rsidRPr="00FA087C">
              <w:rPr>
                <w:rFonts w:ascii="Times New Roman" w:eastAsia="宋体" w:hAnsi="Times New Roman" w:cs="宋体" w:hint="eastAsia"/>
                <w:color w:val="333333"/>
                <w:kern w:val="0"/>
                <w:sz w:val="28"/>
                <w:szCs w:val="28"/>
              </w:rPr>
              <w:t>年开发量较大，在</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年通过需求量分析用地量会有所减少，所以将住宅用地调整为</w:t>
            </w:r>
            <w:r w:rsidRPr="00FA087C">
              <w:rPr>
                <w:rFonts w:ascii="宋体" w:eastAsia="宋体" w:hAnsi="宋体" w:cs="宋体"/>
                <w:color w:val="333333"/>
                <w:kern w:val="0"/>
                <w:sz w:val="28"/>
                <w:szCs w:val="28"/>
              </w:rPr>
              <w:t>35.43</w:t>
            </w:r>
            <w:r w:rsidRPr="00FA087C">
              <w:rPr>
                <w:rFonts w:ascii="Times New Roman" w:eastAsia="宋体" w:hAnsi="Times New Roman" w:cs="宋体" w:hint="eastAsia"/>
                <w:color w:val="333333"/>
                <w:kern w:val="0"/>
                <w:sz w:val="28"/>
                <w:szCs w:val="28"/>
              </w:rPr>
              <w:t>公顷。得黑河市市</w:t>
            </w:r>
            <w:r w:rsidRPr="00FA087C">
              <w:rPr>
                <w:rFonts w:ascii="宋体" w:eastAsia="宋体" w:hAnsi="宋体" w:cs="宋体"/>
                <w:color w:val="333333"/>
                <w:kern w:val="0"/>
                <w:sz w:val="28"/>
                <w:szCs w:val="28"/>
              </w:rPr>
              <w:t>2011</w:t>
            </w:r>
            <w:r w:rsidRPr="00FA087C">
              <w:rPr>
                <w:rFonts w:ascii="Times New Roman" w:eastAsia="宋体" w:hAnsi="Times New Roman" w:cs="宋体" w:hint="eastAsia"/>
                <w:color w:val="333333"/>
                <w:kern w:val="0"/>
                <w:sz w:val="28"/>
                <w:szCs w:val="28"/>
              </w:rPr>
              <w:t>年国有建设用地供应计划总量及各地类分项指标预测结果如下表所示：</w:t>
            </w:r>
          </w:p>
          <w:p w:rsidR="00FA087C" w:rsidRPr="00FA087C" w:rsidRDefault="00FA087C" w:rsidP="00EE0D6B">
            <w:pPr>
              <w:widowControl/>
              <w:spacing w:beforeLines="100" w:line="480" w:lineRule="atLeast"/>
              <w:jc w:val="center"/>
              <w:rPr>
                <w:rFonts w:ascii="宋体" w:eastAsia="宋体" w:hAnsi="宋体" w:cs="宋体"/>
                <w:b/>
                <w:color w:val="333333"/>
                <w:kern w:val="0"/>
                <w:sz w:val="24"/>
                <w:szCs w:val="28"/>
              </w:rPr>
            </w:pPr>
            <w:r w:rsidRPr="00FA087C">
              <w:rPr>
                <w:rFonts w:ascii="Times New Roman" w:eastAsia="宋体" w:hAnsi="宋体" w:cs="宋体" w:hint="eastAsia"/>
                <w:b/>
                <w:color w:val="333333"/>
                <w:kern w:val="0"/>
                <w:sz w:val="24"/>
                <w:szCs w:val="28"/>
              </w:rPr>
              <w:t>表</w:t>
            </w:r>
            <w:r w:rsidRPr="00FA087C">
              <w:rPr>
                <w:rFonts w:ascii="宋体" w:eastAsia="宋体" w:hAnsi="宋体" w:cs="宋体"/>
                <w:b/>
                <w:color w:val="333333"/>
                <w:kern w:val="0"/>
                <w:sz w:val="24"/>
                <w:szCs w:val="28"/>
              </w:rPr>
              <w:t>4-7</w:t>
            </w:r>
            <w:r w:rsidRPr="00FA087C">
              <w:rPr>
                <w:rFonts w:ascii="Times New Roman" w:eastAsia="宋体" w:hAnsi="宋体" w:cs="宋体" w:hint="eastAsia"/>
                <w:b/>
                <w:color w:val="333333"/>
                <w:kern w:val="0"/>
                <w:sz w:val="24"/>
                <w:szCs w:val="28"/>
              </w:rPr>
              <w:t>：黑河市市</w:t>
            </w:r>
            <w:r w:rsidRPr="00FA087C">
              <w:rPr>
                <w:rFonts w:ascii="宋体" w:eastAsia="宋体" w:hAnsi="宋体" w:cs="宋体"/>
                <w:b/>
                <w:color w:val="333333"/>
                <w:kern w:val="0"/>
                <w:sz w:val="24"/>
                <w:szCs w:val="28"/>
              </w:rPr>
              <w:t>2011</w:t>
            </w:r>
            <w:r w:rsidRPr="00FA087C">
              <w:rPr>
                <w:rFonts w:ascii="Times New Roman" w:eastAsia="宋体" w:hAnsi="宋体" w:cs="宋体" w:hint="eastAsia"/>
                <w:b/>
                <w:color w:val="333333"/>
                <w:kern w:val="0"/>
                <w:sz w:val="24"/>
                <w:szCs w:val="28"/>
              </w:rPr>
              <w:t>年国有建设用地供应计划总量及各地类分项指标（公顷）</w:t>
            </w:r>
          </w:p>
          <w:tbl>
            <w:tblPr>
              <w:tblW w:w="826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7"/>
              <w:gridCol w:w="666"/>
              <w:gridCol w:w="831"/>
              <w:gridCol w:w="1200"/>
              <w:gridCol w:w="1411"/>
              <w:gridCol w:w="707"/>
              <w:gridCol w:w="706"/>
              <w:gridCol w:w="1136"/>
            </w:tblGrid>
            <w:tr w:rsidR="00FA087C" w:rsidRPr="00FA087C" w:rsidTr="00FA087C">
              <w:trPr>
                <w:trHeight w:val="1184"/>
                <w:jc w:val="center"/>
              </w:trPr>
              <w:tc>
                <w:tcPr>
                  <w:tcW w:w="1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地类</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商服用地</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工矿仓储用地</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住宅</w:t>
                  </w:r>
                </w:p>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用地</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公共管理与</w:t>
                  </w:r>
                </w:p>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公共服务用地</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特殊</w:t>
                  </w:r>
                </w:p>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用地</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交通</w:t>
                  </w:r>
                </w:p>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运输</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水域及水利</w:t>
                  </w:r>
                </w:p>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设施用地</w:t>
                  </w:r>
                </w:p>
              </w:tc>
            </w:tr>
            <w:tr w:rsidR="00FA087C" w:rsidRPr="00FA087C" w:rsidTr="00FA087C">
              <w:trPr>
                <w:trHeight w:val="432"/>
                <w:jc w:val="center"/>
              </w:trPr>
              <w:tc>
                <w:tcPr>
                  <w:tcW w:w="1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供应量</w:t>
                  </w:r>
                </w:p>
              </w:tc>
              <w:tc>
                <w:tcPr>
                  <w:tcW w:w="6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18.10</w:t>
                  </w: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135.46</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35.43</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27</w:t>
                  </w: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1.64</w:t>
                  </w:r>
                </w:p>
              </w:tc>
              <w:tc>
                <w:tcPr>
                  <w:tcW w:w="7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80</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0</w:t>
                  </w:r>
                </w:p>
              </w:tc>
            </w:tr>
            <w:tr w:rsidR="00FA087C" w:rsidRPr="00FA087C" w:rsidTr="00FA087C">
              <w:trPr>
                <w:trHeight w:val="432"/>
                <w:jc w:val="center"/>
              </w:trPr>
              <w:tc>
                <w:tcPr>
                  <w:tcW w:w="1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国有建设用地供应计划总量</w:t>
                  </w:r>
                </w:p>
              </w:tc>
              <w:tc>
                <w:tcPr>
                  <w:tcW w:w="6653"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297.63</w:t>
                  </w:r>
                </w:p>
              </w:tc>
            </w:tr>
          </w:tbl>
          <w:p w:rsidR="00FA087C" w:rsidRPr="00FA087C" w:rsidRDefault="00FA087C" w:rsidP="00FA087C">
            <w:pPr>
              <w:widowControl/>
              <w:spacing w:line="360" w:lineRule="auto"/>
              <w:ind w:firstLineChars="200" w:firstLine="480"/>
              <w:jc w:val="left"/>
              <w:rPr>
                <w:rFonts w:ascii="宋体" w:eastAsia="宋体" w:hAnsi="宋体" w:cs="宋体"/>
                <w:color w:val="333333"/>
                <w:kern w:val="0"/>
                <w:sz w:val="24"/>
                <w:szCs w:val="24"/>
              </w:rPr>
            </w:pP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r w:rsidRPr="00FA087C">
              <w:rPr>
                <w:rFonts w:ascii="宋体" w:eastAsia="宋体" w:hAnsi="宋体" w:cs="Times New Roman" w:hint="eastAsia"/>
                <w:color w:val="333333"/>
                <w:kern w:val="44"/>
                <w:sz w:val="44"/>
                <w:szCs w:val="44"/>
              </w:rPr>
              <w:br w:type="page"/>
            </w:r>
            <w:bookmarkStart w:id="156" w:name="_Toc288721607"/>
            <w:r w:rsidRPr="00FA087C">
              <w:rPr>
                <w:rFonts w:ascii="宋体" w:eastAsia="宋体" w:hAnsi="宋体" w:cs="宋体" w:hint="eastAsia"/>
                <w:b/>
                <w:bCs/>
                <w:color w:val="333333"/>
                <w:kern w:val="36"/>
                <w:sz w:val="32"/>
                <w:szCs w:val="32"/>
              </w:rPr>
              <w:t>五  2011年土地供需平衡分析</w:t>
            </w:r>
            <w:bookmarkEnd w:id="156"/>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57" w:name="_Toc288721608"/>
            <w:bookmarkStart w:id="158" w:name="_Toc88655005"/>
            <w:r w:rsidRPr="00FA087C">
              <w:rPr>
                <w:rFonts w:ascii="宋体" w:eastAsia="宋体" w:hAnsi="宋体" w:cs="宋体"/>
                <w:b/>
                <w:bCs/>
                <w:color w:val="333333"/>
                <w:kern w:val="0"/>
                <w:sz w:val="36"/>
                <w:szCs w:val="36"/>
              </w:rPr>
              <w:t>（一）2011年黑河市用地需求情况</w:t>
            </w:r>
            <w:bookmarkEnd w:id="157"/>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4"/>
                <w:szCs w:val="21"/>
              </w:rPr>
            </w:pPr>
            <w:r w:rsidRPr="00FA087C">
              <w:rPr>
                <w:rFonts w:ascii="宋体" w:eastAsia="宋体" w:hAnsi="宋体" w:cs="宋体" w:hint="eastAsia"/>
                <w:color w:val="333333"/>
                <w:kern w:val="0"/>
                <w:sz w:val="28"/>
                <w:szCs w:val="28"/>
              </w:rPr>
              <w:t>根据测算分析，2011年黑河市用地需求总计为297.63公顷。</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59" w:name="_Toc288721609"/>
            <w:r w:rsidRPr="00FA087C">
              <w:rPr>
                <w:rFonts w:ascii="宋体" w:eastAsia="宋体" w:hAnsi="宋体" w:cs="宋体"/>
                <w:b/>
                <w:bCs/>
                <w:color w:val="333333"/>
                <w:kern w:val="0"/>
                <w:sz w:val="36"/>
                <w:szCs w:val="36"/>
              </w:rPr>
              <w:t>（二）2011年黑河市土地供给情况</w:t>
            </w:r>
            <w:bookmarkEnd w:id="159"/>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通过预测2011年黑河市土地供应的总供给量为297.63公顷，其中增量供给总量为99.21公顷，存量供给总量为198.42公顷，存量供给中工矿仓储用地供给总量为135.46公顷。</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60" w:name="_Toc288721610"/>
            <w:r w:rsidRPr="00FA087C">
              <w:rPr>
                <w:rFonts w:ascii="宋体" w:eastAsia="宋体" w:hAnsi="宋体" w:cs="宋体"/>
                <w:b/>
                <w:bCs/>
                <w:color w:val="333333"/>
                <w:kern w:val="0"/>
                <w:sz w:val="36"/>
                <w:szCs w:val="36"/>
              </w:rPr>
              <w:t>（三）2011年度土地供需综合平衡分析</w:t>
            </w:r>
            <w:bookmarkEnd w:id="160"/>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61" w:name="_Toc288721611"/>
            <w:r w:rsidRPr="00FA087C">
              <w:rPr>
                <w:rFonts w:ascii="宋体" w:eastAsia="宋体" w:hAnsi="宋体" w:cs="宋体" w:hint="eastAsia"/>
                <w:b/>
                <w:bCs/>
                <w:color w:val="333333"/>
                <w:kern w:val="0"/>
                <w:sz w:val="28"/>
                <w:szCs w:val="28"/>
              </w:rPr>
              <w:t>1.确定2011年度土地供应计划内容框架</w:t>
            </w:r>
            <w:bookmarkEnd w:id="161"/>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（1）供应总量</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lastRenderedPageBreak/>
              <w:t>在科学分析预测的基础上，充分考虑资源承载力、社会需求和宏观经济运行情况得出供应总量，主要用于调控固定资产增速，保证经济、资源可持续、协调发展。</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（2）用途结构</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通过对历年土地供应数据进行科学预测，同时考虑产业政策和市场供需状况来确定分用途土地供应量，主要用于调控各种产业、物业类型的增速，保证产业结构优化调整，特别是房地产业的健康持续发展。</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（3）空间分布</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分析各区县历年土地供应量，结合城市总体规划修编以及区县土地后备资源情况来确定土地供应的空间分布。主要用于调控产业发展的空间布局和规划实施进度，保证土地利用总体规划、城市总体规划和空间发展战略的实施。</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（4）供应时序</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主要依据市场需求和产业发展、规划近期安排确定。主要用于调控土地供应节奏和固定资产投资增长节奏，保证年内宏观经济的匀速健康发展。</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62" w:name="_Toc288721612"/>
            <w:r w:rsidRPr="00FA087C">
              <w:rPr>
                <w:rFonts w:ascii="宋体" w:eastAsia="宋体" w:hAnsi="宋体" w:cs="宋体" w:hint="eastAsia"/>
                <w:b/>
                <w:bCs/>
                <w:color w:val="333333"/>
                <w:kern w:val="0"/>
                <w:sz w:val="28"/>
                <w:szCs w:val="28"/>
              </w:rPr>
              <w:t>2.综合平衡</w:t>
            </w:r>
            <w:bookmarkEnd w:id="162"/>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（1）指标分解的说明</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根据上述预测可以看出，2011年度土地供应总量大于2011年用地需求，我们在进行综合平衡时，按照需求总量和分用途需求量供地。</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在进行各区县经营性用地指标分解时，分解总量指标的60％，综合考虑城市规划的修编，将总量指标的20％在重点发展区域进行分配，其</w:t>
            </w:r>
            <w:r w:rsidRPr="00FA087C">
              <w:rPr>
                <w:rFonts w:ascii="宋体" w:eastAsia="宋体" w:hAnsi="宋体" w:cs="宋体" w:hint="eastAsia"/>
                <w:color w:val="333333"/>
                <w:kern w:val="0"/>
                <w:sz w:val="28"/>
                <w:szCs w:val="28"/>
              </w:rPr>
              <w:lastRenderedPageBreak/>
              <w:t>余供应总量指标的20％作为机动指标，即59.53公顷作为机动指标。</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（2）60％指标的分解</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①确定2011年土地供应计划供给量的分解原则</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考虑城市规划因素的影响，结合第五部分对有偿供地的空间分析，我们确定经营性用地指标分解的原则：</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A.住宅用地</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住宅用地由普通商品住宅、高档住宅和经济适用房三部分组成，其中经济适用房在黑河市有统一的部署，其指标不需进行区县间的分解，其余住宅用地指标，依据各区县历史住宅用地的平均比例水平进行分解。</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B.商业、写字楼用地</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商业、写字楼用地供地指标的分解采用各区县的人口比重确定各区县商业、写字楼用地的比例结构。</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C.综合平衡得到经营性用地供给结构</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2011年度各区县经营用地的供给数量由上述原则确定的住宅数量总和得到。</w:t>
            </w: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r w:rsidRPr="00FA087C">
              <w:rPr>
                <w:rFonts w:ascii="宋体" w:eastAsia="宋体" w:hAnsi="宋体" w:cs="Times New Roman" w:hint="eastAsia"/>
                <w:color w:val="333333"/>
                <w:kern w:val="44"/>
                <w:sz w:val="28"/>
                <w:szCs w:val="28"/>
              </w:rPr>
              <w:br w:type="page"/>
            </w:r>
            <w:bookmarkStart w:id="163" w:name="_Toc288721613"/>
            <w:r w:rsidRPr="00FA087C">
              <w:rPr>
                <w:rFonts w:ascii="宋体" w:eastAsia="宋体" w:hAnsi="宋体" w:cs="宋体" w:hint="eastAsia"/>
                <w:b/>
                <w:bCs/>
                <w:color w:val="333333"/>
                <w:kern w:val="36"/>
                <w:sz w:val="32"/>
                <w:szCs w:val="32"/>
              </w:rPr>
              <w:t>六  2011年土地供应计划</w:t>
            </w:r>
            <w:bookmarkEnd w:id="163"/>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64" w:name="_Toc288721614"/>
            <w:r w:rsidRPr="00FA087C">
              <w:rPr>
                <w:rFonts w:ascii="宋体" w:eastAsia="宋体" w:hAnsi="宋体" w:cs="宋体"/>
                <w:b/>
                <w:bCs/>
                <w:color w:val="333333"/>
                <w:kern w:val="0"/>
                <w:sz w:val="36"/>
                <w:szCs w:val="36"/>
              </w:rPr>
              <w:t>（一）土地供应计划编制说明</w:t>
            </w:r>
            <w:bookmarkEnd w:id="158"/>
            <w:bookmarkEnd w:id="164"/>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1.本次土地供应计划中所指土地供应是指国有建设用地的供应，分为存量供给和增量供给。存量供给是通过拆迁、危旧房改造、转换用途增加城市土地供给的数量，不包括企业改制补办有偿使用手续的土地数量；增量供给主要是指依法批准农用地转用和土地征用并转为国有建设</w:t>
            </w:r>
            <w:r w:rsidRPr="00FA087C">
              <w:rPr>
                <w:rFonts w:ascii="宋体" w:eastAsia="宋体" w:hAnsi="宋体" w:cs="宋体" w:hint="eastAsia"/>
                <w:color w:val="333333"/>
                <w:kern w:val="0"/>
                <w:sz w:val="28"/>
                <w:szCs w:val="28"/>
              </w:rPr>
              <w:lastRenderedPageBreak/>
              <w:t>用地的面积，包括原国有农用地和未利用地经转用审批转为国有建设用地的面积和征用、征收集体土地面积。</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2.国有建设用地的供地方式主要包括有偿使用和划拨两大类。有偿使用包括招标、拍卖、挂牌、协议出让等四种方式。</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3.本次土地供应计划编制的涵盖范围为整个黑河市行政辖区。</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4.本次土地供应计划编制过程中，将按土地用途划分为住宅、商服、公共管理与公共服务、工矿仓储仓储、交通运输五大类。其中住宅细分为商品房住宅、经济适用房。</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5.实行从严从紧的土地管理政策、节约和集约用地，新上项目优先利用存量土地。</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6.2011年度土地供应总量为297.63公顷，其中存量供应总量为99.21公顷，增量供应总量为198.42公顷。</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7.经营性用地优先考虑存量用地，其次考虑增量用地；原则上应进入土地交易市场，实行招拍挂方式供地。</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65" w:name="_Toc88655006"/>
            <w:bookmarkStart w:id="166" w:name="_Toc288721615"/>
            <w:r w:rsidRPr="00FA087C">
              <w:rPr>
                <w:rFonts w:ascii="宋体" w:eastAsia="宋体" w:hAnsi="宋体" w:cs="宋体"/>
                <w:b/>
                <w:bCs/>
                <w:color w:val="333333"/>
                <w:kern w:val="0"/>
                <w:sz w:val="36"/>
                <w:szCs w:val="36"/>
              </w:rPr>
              <w:t>（二）土地供应计划表</w:t>
            </w:r>
            <w:bookmarkEnd w:id="165"/>
            <w:bookmarkEnd w:id="166"/>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本次主要包括各类土地供应汇总数据、总量指标、用途结构、空间分布； 2011年土地供应机动指标。</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4"/>
                <w:szCs w:val="24"/>
              </w:rPr>
            </w:pPr>
            <w:r w:rsidRPr="00FA087C">
              <w:rPr>
                <w:rFonts w:ascii="宋体" w:eastAsia="宋体" w:hAnsi="宋体" w:cs="宋体" w:hint="eastAsia"/>
                <w:color w:val="333333"/>
                <w:kern w:val="0"/>
                <w:sz w:val="28"/>
                <w:szCs w:val="28"/>
              </w:rPr>
              <w:t>具体指标框架如下：</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67" w:name="_Toc288721616"/>
            <w:r w:rsidRPr="00FA087C">
              <w:rPr>
                <w:rFonts w:ascii="宋体" w:eastAsia="宋体" w:hAnsi="宋体" w:cs="宋体" w:hint="eastAsia"/>
                <w:b/>
                <w:bCs/>
                <w:color w:val="333333"/>
                <w:kern w:val="0"/>
                <w:sz w:val="28"/>
                <w:szCs w:val="28"/>
              </w:rPr>
              <w:t>1.2011年度黑河市土地供应计划总量指标</w:t>
            </w:r>
            <w:bookmarkEnd w:id="167"/>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2011年度黑河市土地供应计划总量指标为297.63公顷。</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68" w:name="_Toc288721617"/>
            <w:r w:rsidRPr="00FA087C">
              <w:rPr>
                <w:rFonts w:ascii="宋体" w:eastAsia="宋体" w:hAnsi="宋体" w:cs="宋体" w:hint="eastAsia"/>
                <w:b/>
                <w:bCs/>
                <w:color w:val="333333"/>
                <w:kern w:val="0"/>
                <w:sz w:val="28"/>
                <w:szCs w:val="28"/>
              </w:rPr>
              <w:t>2.2011年土地供应计划用途结构指标</w:t>
            </w:r>
            <w:bookmarkEnd w:id="168"/>
          </w:p>
          <w:p w:rsidR="00FA087C" w:rsidRPr="00FA087C" w:rsidRDefault="00FA087C" w:rsidP="00FA087C">
            <w:pPr>
              <w:widowControl/>
              <w:wordWrap w:val="0"/>
              <w:spacing w:line="480" w:lineRule="atLeast"/>
              <w:jc w:val="right"/>
              <w:rPr>
                <w:rFonts w:ascii="宋体" w:eastAsia="宋体" w:hAnsi="宋体" w:cs="宋体"/>
                <w:color w:val="333333"/>
                <w:kern w:val="0"/>
                <w:sz w:val="24"/>
                <w:szCs w:val="24"/>
              </w:rPr>
            </w:pPr>
            <w:r w:rsidRPr="00FA087C">
              <w:rPr>
                <w:rFonts w:ascii="宋体" w:eastAsia="宋体" w:hAnsi="宋体" w:cs="宋体" w:hint="eastAsia"/>
                <w:color w:val="333333"/>
                <w:kern w:val="0"/>
                <w:sz w:val="24"/>
                <w:szCs w:val="24"/>
              </w:rPr>
              <w:t>表7-1　黑河市2011年度分用途供应计划指标   　单位：公顷</w:t>
            </w:r>
          </w:p>
          <w:p w:rsidR="00FA087C" w:rsidRPr="00FA087C" w:rsidRDefault="00FA087C" w:rsidP="00FA087C">
            <w:pPr>
              <w:widowControl/>
              <w:spacing w:line="480" w:lineRule="atLeast"/>
              <w:jc w:val="right"/>
              <w:rPr>
                <w:rFonts w:ascii="宋体" w:eastAsia="宋体" w:hAnsi="宋体" w:cs="宋体"/>
                <w:color w:val="333333"/>
                <w:kern w:val="0"/>
                <w:sz w:val="24"/>
                <w:szCs w:val="24"/>
              </w:rPr>
            </w:pPr>
          </w:p>
          <w:tbl>
            <w:tblPr>
              <w:tblW w:w="0" w:type="auto"/>
              <w:jc w:val="center"/>
              <w:tblCellMar>
                <w:left w:w="0" w:type="dxa"/>
                <w:right w:w="0" w:type="dxa"/>
              </w:tblCellMar>
              <w:tblLook w:val="04A0"/>
            </w:tblPr>
            <w:tblGrid>
              <w:gridCol w:w="3828"/>
              <w:gridCol w:w="2126"/>
              <w:gridCol w:w="1831"/>
              <w:gridCol w:w="11"/>
            </w:tblGrid>
            <w:tr w:rsidR="00FA087C" w:rsidRPr="00FA087C" w:rsidTr="00FA087C">
              <w:trPr>
                <w:trHeight w:val="573"/>
                <w:jc w:val="center"/>
              </w:trPr>
              <w:tc>
                <w:tcPr>
                  <w:tcW w:w="3828" w:type="dxa"/>
                  <w:tcBorders>
                    <w:top w:val="single" w:sz="8" w:space="0" w:color="auto"/>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用地类型</w:t>
                  </w:r>
                </w:p>
              </w:tc>
              <w:tc>
                <w:tcPr>
                  <w:tcW w:w="2126" w:type="dxa"/>
                  <w:tcBorders>
                    <w:top w:val="single" w:sz="8"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供地数量</w:t>
                  </w:r>
                </w:p>
              </w:tc>
              <w:tc>
                <w:tcPr>
                  <w:tcW w:w="1831" w:type="dxa"/>
                  <w:tcBorders>
                    <w:top w:val="single" w:sz="8"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百分比%</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cantSplit/>
                <w:trHeight w:val="331"/>
                <w:jc w:val="center"/>
              </w:trPr>
              <w:tc>
                <w:tcPr>
                  <w:tcW w:w="3828" w:type="dxa"/>
                  <w:vMerge w:val="restart"/>
                  <w:tcBorders>
                    <w:top w:val="nil"/>
                    <w:left w:val="single" w:sz="8" w:space="0" w:color="auto"/>
                    <w:bottom w:val="single" w:sz="4" w:space="0" w:color="000000"/>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住宅用地</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35.43</w:t>
                  </w:r>
                </w:p>
              </w:tc>
              <w:tc>
                <w:tcPr>
                  <w:tcW w:w="1831" w:type="dxa"/>
                  <w:vMerge w:val="restart"/>
                  <w:tcBorders>
                    <w:top w:val="nil"/>
                    <w:left w:val="single" w:sz="4" w:space="0" w:color="auto"/>
                    <w:bottom w:val="single" w:sz="4" w:space="0" w:color="000000"/>
                    <w:right w:val="single" w:sz="4" w:space="0" w:color="auto"/>
                  </w:tcBorders>
                  <w:shd w:val="clear" w:color="auto" w:fill="auto"/>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11.90%</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cantSplit/>
                <w:trHeight w:val="272"/>
                <w:jc w:val="center"/>
              </w:trPr>
              <w:tc>
                <w:tcPr>
                  <w:tcW w:w="0" w:type="auto"/>
                  <w:vMerge/>
                  <w:tcBorders>
                    <w:top w:val="nil"/>
                    <w:left w:val="single" w:sz="8" w:space="0" w:color="auto"/>
                    <w:bottom w:val="single" w:sz="4" w:space="0" w:color="000000"/>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0" w:type="auto"/>
                  <w:vMerge/>
                  <w:tcBorders>
                    <w:top w:val="nil"/>
                    <w:left w:val="single" w:sz="4" w:space="0" w:color="auto"/>
                    <w:bottom w:val="single" w:sz="4" w:space="0" w:color="000000"/>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0" w:type="auto"/>
                  <w:vMerge/>
                  <w:tcBorders>
                    <w:top w:val="nil"/>
                    <w:left w:val="single" w:sz="4" w:space="0" w:color="auto"/>
                    <w:bottom w:val="single" w:sz="4" w:space="0" w:color="000000"/>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cantSplit/>
                <w:trHeight w:val="331"/>
                <w:jc w:val="center"/>
              </w:trPr>
              <w:tc>
                <w:tcPr>
                  <w:tcW w:w="3828" w:type="dxa"/>
                  <w:vMerge w:val="restart"/>
                  <w:tcBorders>
                    <w:top w:val="nil"/>
                    <w:left w:val="single" w:sz="8" w:space="0" w:color="auto"/>
                    <w:bottom w:val="nil"/>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商服用地</w:t>
                  </w:r>
                </w:p>
              </w:tc>
              <w:tc>
                <w:tcPr>
                  <w:tcW w:w="2126" w:type="dxa"/>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18.10</w:t>
                  </w:r>
                </w:p>
              </w:tc>
              <w:tc>
                <w:tcPr>
                  <w:tcW w:w="183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6.08%</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cantSplit/>
                <w:trHeight w:val="331"/>
                <w:jc w:val="center"/>
              </w:trPr>
              <w:tc>
                <w:tcPr>
                  <w:tcW w:w="0" w:type="auto"/>
                  <w:vMerge/>
                  <w:tcBorders>
                    <w:top w:val="nil"/>
                    <w:left w:val="single" w:sz="8" w:space="0" w:color="auto"/>
                    <w:bottom w:val="nil"/>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0" w:type="auto"/>
                  <w:vMerge/>
                  <w:tcBorders>
                    <w:top w:val="nil"/>
                    <w:left w:val="single" w:sz="4" w:space="0" w:color="auto"/>
                    <w:bottom w:val="nil"/>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0" w:type="auto"/>
                  <w:vMerge/>
                  <w:tcBorders>
                    <w:top w:val="nil"/>
                    <w:left w:val="single" w:sz="4" w:space="0" w:color="auto"/>
                    <w:bottom w:val="single" w:sz="4" w:space="0" w:color="000000"/>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cantSplit/>
                <w:trHeight w:val="331"/>
                <w:jc w:val="center"/>
              </w:trPr>
              <w:tc>
                <w:tcPr>
                  <w:tcW w:w="3828" w:type="dxa"/>
                  <w:vMerge w:val="restart"/>
                  <w:tcBorders>
                    <w:top w:val="single" w:sz="4" w:space="0" w:color="auto"/>
                    <w:left w:val="single" w:sz="8" w:space="0" w:color="auto"/>
                    <w:bottom w:val="single" w:sz="4" w:space="0" w:color="000000"/>
                    <w:right w:val="nil"/>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公共管理与公共服务用地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27</w:t>
                  </w:r>
                </w:p>
              </w:tc>
              <w:tc>
                <w:tcPr>
                  <w:tcW w:w="1831"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9.07%</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cantSplit/>
                <w:trHeight w:val="331"/>
                <w:jc w:val="center"/>
              </w:trPr>
              <w:tc>
                <w:tcPr>
                  <w:tcW w:w="0" w:type="auto"/>
                  <w:vMerge/>
                  <w:tcBorders>
                    <w:top w:val="single" w:sz="4" w:space="0" w:color="auto"/>
                    <w:left w:val="single" w:sz="8" w:space="0" w:color="auto"/>
                    <w:bottom w:val="single" w:sz="4" w:space="0" w:color="000000"/>
                    <w:right w:val="nil"/>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0" w:type="auto"/>
                  <w:vMerge/>
                  <w:tcBorders>
                    <w:top w:val="nil"/>
                    <w:left w:val="single" w:sz="4" w:space="0" w:color="auto"/>
                    <w:bottom w:val="single" w:sz="4" w:space="0" w:color="000000"/>
                    <w:right w:val="single" w:sz="4" w:space="0" w:color="auto"/>
                  </w:tcBorders>
                  <w:vAlign w:val="center"/>
                  <w:hideMark/>
                </w:tcPr>
                <w:p w:rsidR="00FA087C" w:rsidRPr="00FA087C" w:rsidRDefault="00FA087C" w:rsidP="00FA087C">
                  <w:pPr>
                    <w:widowControl/>
                    <w:jc w:val="left"/>
                    <w:rPr>
                      <w:rFonts w:ascii="宋体" w:eastAsia="宋体" w:hAnsi="宋体" w:cs="宋体"/>
                      <w:bCs/>
                      <w:color w:val="333333"/>
                      <w:kern w:val="0"/>
                      <w:sz w:val="24"/>
                      <w:szCs w:val="21"/>
                    </w:rPr>
                  </w:pP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trHeight w:val="580"/>
                <w:jc w:val="center"/>
              </w:trPr>
              <w:tc>
                <w:tcPr>
                  <w:tcW w:w="3828"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工矿仓储</w:t>
                  </w:r>
                </w:p>
              </w:tc>
              <w:tc>
                <w:tcPr>
                  <w:tcW w:w="212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135.46</w:t>
                  </w:r>
                </w:p>
              </w:tc>
              <w:tc>
                <w:tcPr>
                  <w:tcW w:w="18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45.51%</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trHeight w:val="532"/>
                <w:jc w:val="center"/>
              </w:trPr>
              <w:tc>
                <w:tcPr>
                  <w:tcW w:w="38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交通运输用地</w:t>
                  </w:r>
                </w:p>
              </w:tc>
              <w:tc>
                <w:tcPr>
                  <w:tcW w:w="212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80.0</w:t>
                  </w:r>
                </w:p>
              </w:tc>
              <w:tc>
                <w:tcPr>
                  <w:tcW w:w="183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26.88%</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trHeight w:val="568"/>
                <w:jc w:val="center"/>
              </w:trPr>
              <w:tc>
                <w:tcPr>
                  <w:tcW w:w="3828" w:type="dxa"/>
                  <w:tcBorders>
                    <w:top w:val="nil"/>
                    <w:left w:val="single" w:sz="4"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特殊用地</w:t>
                  </w:r>
                </w:p>
              </w:tc>
              <w:tc>
                <w:tcPr>
                  <w:tcW w:w="2126" w:type="dxa"/>
                  <w:tcBorders>
                    <w:top w:val="nil"/>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1.64</w:t>
                  </w:r>
                </w:p>
              </w:tc>
              <w:tc>
                <w:tcPr>
                  <w:tcW w:w="1831" w:type="dxa"/>
                  <w:tcBorders>
                    <w:top w:val="nil"/>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0.55%</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r w:rsidR="00FA087C" w:rsidRPr="00FA087C" w:rsidTr="00FA087C">
              <w:trPr>
                <w:trHeight w:val="685"/>
                <w:jc w:val="center"/>
              </w:trPr>
              <w:tc>
                <w:tcPr>
                  <w:tcW w:w="3828" w:type="dxa"/>
                  <w:tcBorders>
                    <w:top w:val="nil"/>
                    <w:left w:val="single" w:sz="4"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合计</w:t>
                  </w:r>
                </w:p>
              </w:tc>
              <w:tc>
                <w:tcPr>
                  <w:tcW w:w="2126" w:type="dxa"/>
                  <w:tcBorders>
                    <w:top w:val="nil"/>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297.63</w:t>
                  </w:r>
                </w:p>
              </w:tc>
              <w:tc>
                <w:tcPr>
                  <w:tcW w:w="1831" w:type="dxa"/>
                  <w:tcBorders>
                    <w:top w:val="nil"/>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FA087C" w:rsidRPr="00FA087C" w:rsidRDefault="00FA087C" w:rsidP="00FA087C">
                  <w:pPr>
                    <w:widowControl/>
                    <w:spacing w:line="480" w:lineRule="atLeast"/>
                    <w:jc w:val="center"/>
                    <w:rPr>
                      <w:rFonts w:ascii="宋体" w:eastAsia="宋体" w:hAnsi="宋体" w:cs="宋体"/>
                      <w:bCs/>
                      <w:color w:val="333333"/>
                      <w:kern w:val="0"/>
                      <w:sz w:val="24"/>
                      <w:szCs w:val="21"/>
                    </w:rPr>
                  </w:pPr>
                  <w:r w:rsidRPr="00FA087C">
                    <w:rPr>
                      <w:rFonts w:ascii="宋体" w:eastAsia="宋体" w:hAnsi="宋体" w:cs="宋体" w:hint="eastAsia"/>
                      <w:bCs/>
                      <w:color w:val="333333"/>
                      <w:kern w:val="0"/>
                      <w:sz w:val="24"/>
                      <w:szCs w:val="21"/>
                    </w:rPr>
                    <w:t>100%</w:t>
                  </w:r>
                </w:p>
              </w:tc>
              <w:tc>
                <w:tcPr>
                  <w:tcW w:w="6" w:type="dxa"/>
                  <w:tcBorders>
                    <w:top w:val="nil"/>
                    <w:left w:val="nil"/>
                    <w:bottom w:val="nil"/>
                    <w:right w:val="nil"/>
                  </w:tcBorders>
                  <w:shd w:val="clear" w:color="auto" w:fill="auto"/>
                  <w:vAlign w:val="center"/>
                  <w:hideMark/>
                </w:tcPr>
                <w:p w:rsidR="00FA087C" w:rsidRPr="00FA087C" w:rsidRDefault="00FA087C" w:rsidP="00FA087C">
                  <w:pPr>
                    <w:widowControl/>
                    <w:spacing w:beforeAutospacing="1" w:afterAutospacing="1" w:line="480" w:lineRule="atLeast"/>
                    <w:jc w:val="left"/>
                    <w:rPr>
                      <w:rFonts w:ascii="ˎ̥" w:eastAsia="宋体" w:hAnsi="ˎ̥" w:cs="宋体" w:hint="eastAsia"/>
                      <w:color w:val="333333"/>
                      <w:kern w:val="0"/>
                      <w:sz w:val="28"/>
                      <w:szCs w:val="28"/>
                    </w:rPr>
                  </w:pPr>
                </w:p>
              </w:tc>
            </w:tr>
          </w:tbl>
          <w:p w:rsidR="00FA087C" w:rsidRPr="00FA087C" w:rsidRDefault="00FA087C" w:rsidP="00FA087C">
            <w:pPr>
              <w:widowControl/>
              <w:spacing w:line="480" w:lineRule="atLeast"/>
              <w:jc w:val="center"/>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p>
          <w:p w:rsidR="00FA087C" w:rsidRPr="00FA087C" w:rsidRDefault="00FA087C" w:rsidP="00FA087C">
            <w:pPr>
              <w:widowControl/>
              <w:spacing w:line="480" w:lineRule="atLeast"/>
              <w:jc w:val="center"/>
              <w:rPr>
                <w:rFonts w:ascii="宋体" w:eastAsia="宋体" w:hAnsi="宋体" w:cs="宋体"/>
                <w:color w:val="333333"/>
                <w:kern w:val="0"/>
                <w:sz w:val="24"/>
                <w:szCs w:val="24"/>
              </w:rPr>
            </w:pP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bookmarkStart w:id="169" w:name="_Toc288721618"/>
            <w:r w:rsidRPr="00FA087C">
              <w:rPr>
                <w:rFonts w:ascii="宋体" w:eastAsia="宋体" w:hAnsi="宋体" w:cs="宋体" w:hint="eastAsia"/>
                <w:b/>
                <w:bCs/>
                <w:color w:val="333333"/>
                <w:kern w:val="36"/>
                <w:sz w:val="32"/>
                <w:szCs w:val="32"/>
              </w:rPr>
              <w:t>七  2011年土地供应计划的执行</w:t>
            </w:r>
            <w:bookmarkEnd w:id="169"/>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70" w:name="_Toc288721619"/>
            <w:bookmarkStart w:id="171" w:name="_Toc88494141"/>
            <w:r w:rsidRPr="00FA087C">
              <w:rPr>
                <w:rFonts w:ascii="宋体" w:eastAsia="宋体" w:hAnsi="宋体" w:cs="宋体"/>
                <w:b/>
                <w:bCs/>
                <w:color w:val="333333"/>
                <w:kern w:val="0"/>
                <w:sz w:val="36"/>
                <w:szCs w:val="36"/>
              </w:rPr>
              <w:t>（一）国有建设用地供给的原则</w:t>
            </w:r>
            <w:bookmarkEnd w:id="170"/>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72" w:name="_Toc288721620"/>
            <w:r w:rsidRPr="00FA087C">
              <w:rPr>
                <w:rFonts w:ascii="宋体" w:eastAsia="宋体" w:hAnsi="宋体" w:cs="宋体" w:hint="eastAsia"/>
                <w:b/>
                <w:bCs/>
                <w:color w:val="333333"/>
                <w:kern w:val="0"/>
                <w:sz w:val="28"/>
                <w:szCs w:val="28"/>
              </w:rPr>
              <w:t>1.坚持符合土地利用总体规划、城市总体规划原则</w:t>
            </w:r>
            <w:bookmarkEnd w:id="172"/>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供应土地应符合城市总体规划、土地利用规划，严格土地供应，保证城市总体规划、土地利用规划的实施。使上述计划、规划的制定实施能相互协调、相互制约，共同促进城市的可持续发展。</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73" w:name="_Toc288721621"/>
            <w:r w:rsidRPr="00FA087C">
              <w:rPr>
                <w:rFonts w:ascii="宋体" w:eastAsia="宋体" w:hAnsi="宋体" w:cs="宋体" w:hint="eastAsia"/>
                <w:b/>
                <w:bCs/>
                <w:color w:val="333333"/>
                <w:kern w:val="0"/>
                <w:sz w:val="28"/>
                <w:szCs w:val="28"/>
              </w:rPr>
              <w:t>2.坚持与城市产业结构和空间结构的调整相协调的原则</w:t>
            </w:r>
            <w:bookmarkEnd w:id="173"/>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限制不符合城市产业结构调整的建设用地项目，严禁供应违背城市</w:t>
            </w:r>
            <w:r w:rsidRPr="00FA087C">
              <w:rPr>
                <w:rFonts w:ascii="宋体" w:eastAsia="宋体" w:hAnsi="宋体" w:cs="宋体" w:hint="eastAsia"/>
                <w:color w:val="333333"/>
                <w:kern w:val="0"/>
                <w:sz w:val="28"/>
                <w:szCs w:val="28"/>
              </w:rPr>
              <w:lastRenderedPageBreak/>
              <w:t>空间结构调整的建设用地。</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74" w:name="_Toc288721622"/>
            <w:r w:rsidRPr="00FA087C">
              <w:rPr>
                <w:rFonts w:ascii="宋体" w:eastAsia="宋体" w:hAnsi="宋体" w:cs="宋体" w:hint="eastAsia"/>
                <w:b/>
                <w:bCs/>
                <w:color w:val="333333"/>
                <w:kern w:val="0"/>
                <w:sz w:val="28"/>
                <w:szCs w:val="28"/>
              </w:rPr>
              <w:t>3.坚持严格控制土地供应总量，以供给引导需求的原则</w:t>
            </w:r>
            <w:bookmarkEnd w:id="174"/>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从源头上控制国有建设用地的供应总量，转变土地供给政策，以供给引导需求，加强和完善土地调控和信贷调控的杠杆作用。从严控制非农业用地的供给，抑制房地产和城市建设过度扩张。</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75" w:name="_Toc288721623"/>
            <w:r w:rsidRPr="00FA087C">
              <w:rPr>
                <w:rFonts w:ascii="宋体" w:eastAsia="宋体" w:hAnsi="宋体" w:cs="宋体" w:hint="eastAsia"/>
                <w:b/>
                <w:bCs/>
                <w:color w:val="333333"/>
                <w:kern w:val="0"/>
                <w:sz w:val="28"/>
                <w:szCs w:val="28"/>
              </w:rPr>
              <w:t>4.坚持优先保证国家重点建设项目用地的原则</w:t>
            </w:r>
            <w:bookmarkEnd w:id="175"/>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76" w:name="_Toc288721624"/>
            <w:r w:rsidRPr="00FA087C">
              <w:rPr>
                <w:rFonts w:ascii="宋体" w:eastAsia="宋体" w:hAnsi="宋体" w:cs="宋体" w:hint="eastAsia"/>
                <w:b/>
                <w:bCs/>
                <w:color w:val="333333"/>
                <w:kern w:val="0"/>
                <w:sz w:val="28"/>
                <w:szCs w:val="28"/>
              </w:rPr>
              <w:t>5.坚持鼓励盘活存量，严格限制增量原则</w:t>
            </w:r>
            <w:bookmarkEnd w:id="176"/>
          </w:p>
          <w:p w:rsidR="00FA087C" w:rsidRPr="00FA087C" w:rsidRDefault="00FA087C" w:rsidP="00FA087C">
            <w:pPr>
              <w:widowControl/>
              <w:spacing w:line="480" w:lineRule="atLeast"/>
              <w:ind w:firstLine="560"/>
              <w:jc w:val="left"/>
              <w:rPr>
                <w:rFonts w:ascii="宋体" w:eastAsia="宋体" w:hAnsi="宋体" w:cs="宋体"/>
                <w:color w:val="333333"/>
                <w:kern w:val="0"/>
                <w:sz w:val="28"/>
                <w:szCs w:val="28"/>
              </w:rPr>
            </w:pPr>
            <w:r w:rsidRPr="00FA087C">
              <w:rPr>
                <w:rFonts w:ascii="宋体" w:eastAsia="宋体" w:hAnsi="宋体" w:cs="宋体"/>
                <w:color w:val="333333"/>
                <w:kern w:val="0"/>
                <w:sz w:val="28"/>
                <w:szCs w:val="28"/>
              </w:rPr>
              <w:t>合理安排供给土地在旧城改造与新区开发中的空间分布，挖掘城市存量土地利用潜力，控制城市建设外延扩张；严格保护基本农田，控制出让土地中新增地，特别是耕地，实现土地可持续利用与集约利用。</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77" w:name="_Toc288721625"/>
            <w:r w:rsidRPr="00FA087C">
              <w:rPr>
                <w:rFonts w:ascii="宋体" w:eastAsia="宋体" w:hAnsi="宋体" w:cs="宋体"/>
                <w:b/>
                <w:bCs/>
                <w:color w:val="333333"/>
                <w:kern w:val="0"/>
                <w:sz w:val="36"/>
                <w:szCs w:val="36"/>
              </w:rPr>
              <w:t>（二）制定土地供应计划实施与管理办法</w:t>
            </w:r>
            <w:bookmarkEnd w:id="171"/>
            <w:bookmarkEnd w:id="177"/>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78" w:name="_Toc288721626"/>
            <w:r w:rsidRPr="00FA087C">
              <w:rPr>
                <w:rFonts w:ascii="宋体" w:eastAsia="宋体" w:hAnsi="宋体" w:cs="宋体" w:hint="eastAsia"/>
                <w:b/>
                <w:bCs/>
                <w:color w:val="333333"/>
                <w:kern w:val="0"/>
                <w:sz w:val="28"/>
                <w:szCs w:val="28"/>
              </w:rPr>
              <w:t>1.土地供应计划的实施</w:t>
            </w:r>
            <w:bookmarkEnd w:id="178"/>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bCs/>
                <w:color w:val="333333"/>
                <w:kern w:val="0"/>
                <w:sz w:val="28"/>
                <w:szCs w:val="28"/>
              </w:rPr>
              <w:t>（1）市区分工、明确职责</w:t>
            </w:r>
            <w:r w:rsidRPr="00FA087C">
              <w:rPr>
                <w:rFonts w:ascii="宋体" w:eastAsia="宋体" w:hAnsi="宋体" w:cs="宋体" w:hint="eastAsia"/>
                <w:color w:val="333333"/>
                <w:kern w:val="0"/>
                <w:sz w:val="28"/>
                <w:szCs w:val="28"/>
              </w:rPr>
              <w:t>，</w:t>
            </w:r>
            <w:r w:rsidRPr="00FA087C">
              <w:rPr>
                <w:rFonts w:ascii="宋体" w:eastAsia="宋体" w:hAnsi="宋体" w:cs="宋体" w:hint="eastAsia"/>
                <w:bCs/>
                <w:color w:val="333333"/>
                <w:kern w:val="0"/>
                <w:sz w:val="28"/>
                <w:szCs w:val="28"/>
              </w:rPr>
              <w:t>建立市区两级政府及土地管理部门协调配合实施计划的体制</w:t>
            </w:r>
            <w:r w:rsidRPr="00FA087C">
              <w:rPr>
                <w:rFonts w:ascii="宋体" w:eastAsia="宋体" w:hAnsi="宋体"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市级负责宏观决策、供应量确定及调整、监督执行，区县政府负责计划的组织实施。市级制定确定具体供应地块的政策和条件，区县国土局依据政策和条件及土地供应总量的空间分类指标，确定符合供地条件的地块并组织供应，定期上报供应情况，并可申报调整。</w:t>
            </w:r>
          </w:p>
          <w:p w:rsidR="00FA087C" w:rsidRPr="00FA087C" w:rsidRDefault="00FA087C" w:rsidP="00FA087C">
            <w:pPr>
              <w:widowControl/>
              <w:spacing w:line="360" w:lineRule="auto"/>
              <w:ind w:firstLineChars="200" w:firstLine="560"/>
              <w:jc w:val="left"/>
              <w:rPr>
                <w:rFonts w:ascii="宋体" w:eastAsia="宋体" w:hAnsi="宋体" w:cs="宋体"/>
                <w:bCs/>
                <w:color w:val="333333"/>
                <w:kern w:val="0"/>
                <w:sz w:val="28"/>
                <w:szCs w:val="28"/>
              </w:rPr>
            </w:pPr>
            <w:r w:rsidRPr="00FA087C">
              <w:rPr>
                <w:rFonts w:ascii="宋体" w:eastAsia="宋体" w:hAnsi="宋体" w:cs="宋体" w:hint="eastAsia"/>
                <w:bCs/>
                <w:color w:val="333333"/>
                <w:kern w:val="0"/>
                <w:sz w:val="28"/>
                <w:szCs w:val="28"/>
              </w:rPr>
              <w:t>（2）控制性与预测性结合建立两类指标审批制度。</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针对</w:t>
            </w:r>
            <w:r w:rsidRPr="00FA087C">
              <w:rPr>
                <w:rFonts w:ascii="宋体" w:eastAsia="宋体" w:hAnsi="宋体" w:cs="宋体" w:hint="eastAsia"/>
                <w:bCs/>
                <w:color w:val="333333"/>
                <w:kern w:val="0"/>
                <w:sz w:val="28"/>
                <w:szCs w:val="28"/>
              </w:rPr>
              <w:t>控制性与预测性</w:t>
            </w:r>
            <w:r w:rsidRPr="00FA087C">
              <w:rPr>
                <w:rFonts w:ascii="宋体" w:eastAsia="宋体" w:hAnsi="宋体" w:cs="宋体" w:hint="eastAsia"/>
                <w:color w:val="333333"/>
                <w:kern w:val="0"/>
                <w:sz w:val="28"/>
                <w:szCs w:val="28"/>
              </w:rPr>
              <w:t>计划的不同特点，对经营性用地，在项目供应前必须取得市级土地管理部门下发的《建设项目用地计划审核意见书》；对非经营性用地，根据土地供应政策和条件供地。</w:t>
            </w:r>
          </w:p>
          <w:p w:rsidR="00FA087C" w:rsidRPr="00FA087C" w:rsidRDefault="00FA087C" w:rsidP="00FA087C">
            <w:pPr>
              <w:widowControl/>
              <w:spacing w:line="360" w:lineRule="auto"/>
              <w:ind w:firstLineChars="200" w:firstLine="560"/>
              <w:jc w:val="left"/>
              <w:rPr>
                <w:rFonts w:ascii="宋体" w:eastAsia="宋体" w:hAnsi="宋体" w:cs="宋体"/>
                <w:bCs/>
                <w:color w:val="333333"/>
                <w:kern w:val="0"/>
                <w:sz w:val="28"/>
                <w:szCs w:val="28"/>
              </w:rPr>
            </w:pPr>
            <w:r w:rsidRPr="00FA087C">
              <w:rPr>
                <w:rFonts w:ascii="宋体" w:eastAsia="宋体" w:hAnsi="宋体" w:cs="宋体" w:hint="eastAsia"/>
                <w:bCs/>
                <w:color w:val="333333"/>
                <w:kern w:val="0"/>
                <w:sz w:val="28"/>
                <w:szCs w:val="28"/>
              </w:rPr>
              <w:lastRenderedPageBreak/>
              <w:t>（3）建立年初公布总量、分季滚动实施的制度。</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在年初公布土地供应总量和结构总量，具体地块的供应计划分季度公布实施。每个季度由各区县申报用地需求，由市局统一按照供地评判指标体系，并结合土地供给时序、供给方式、土地分布、土地用途综合确定下季度土地供应。</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bCs/>
                <w:color w:val="333333"/>
                <w:kern w:val="0"/>
                <w:sz w:val="28"/>
                <w:szCs w:val="28"/>
              </w:rPr>
              <w:t>（4）对于工矿仓储用地供应结合投资强度进行控制。</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79" w:name="_Toc288721627"/>
            <w:r w:rsidRPr="00FA087C">
              <w:rPr>
                <w:rFonts w:ascii="宋体" w:eastAsia="宋体" w:hAnsi="宋体" w:cs="宋体" w:hint="eastAsia"/>
                <w:b/>
                <w:bCs/>
                <w:color w:val="333333"/>
                <w:kern w:val="0"/>
                <w:sz w:val="28"/>
                <w:szCs w:val="28"/>
              </w:rPr>
              <w:t>2.土地供应计划的管理</w:t>
            </w:r>
            <w:bookmarkEnd w:id="179"/>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bCs/>
                <w:color w:val="333333"/>
                <w:kern w:val="0"/>
                <w:sz w:val="28"/>
                <w:szCs w:val="28"/>
              </w:rPr>
              <w:t>（1）建立土地供应计划执行的监督制度</w:t>
            </w:r>
            <w:r w:rsidRPr="00FA087C">
              <w:rPr>
                <w:rFonts w:ascii="宋体" w:eastAsia="宋体" w:hAnsi="宋体" w:cs="宋体" w:hint="eastAsia"/>
                <w:color w:val="333333"/>
                <w:kern w:val="0"/>
                <w:sz w:val="28"/>
                <w:szCs w:val="28"/>
              </w:rPr>
              <w:t>。</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包括区县定期上报计划实施情况制度和全市计划实施情况定期发布制度，半年召开一次土地供应计划执行总结会。定期向社会公示下一季度土地供应计划，接受社会监督。</w:t>
            </w:r>
          </w:p>
          <w:p w:rsidR="00FA087C" w:rsidRPr="00FA087C" w:rsidRDefault="00FA087C" w:rsidP="00FA087C">
            <w:pPr>
              <w:widowControl/>
              <w:spacing w:line="360" w:lineRule="auto"/>
              <w:ind w:firstLineChars="200" w:firstLine="560"/>
              <w:jc w:val="left"/>
              <w:rPr>
                <w:rFonts w:ascii="宋体" w:eastAsia="宋体" w:hAnsi="宋体" w:cs="宋体"/>
                <w:bCs/>
                <w:color w:val="333333"/>
                <w:kern w:val="0"/>
                <w:sz w:val="28"/>
                <w:szCs w:val="28"/>
              </w:rPr>
            </w:pPr>
            <w:r w:rsidRPr="00FA087C">
              <w:rPr>
                <w:rFonts w:ascii="宋体" w:eastAsia="宋体" w:hAnsi="宋体" w:cs="宋体" w:hint="eastAsia"/>
                <w:bCs/>
                <w:color w:val="333333"/>
                <w:kern w:val="0"/>
                <w:sz w:val="28"/>
                <w:szCs w:val="28"/>
              </w:rPr>
              <w:t>（2）建立土地供应计划调整制度。</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 xml:space="preserve">需调整本市土地年度供应计划指标的，由市国土资源局报经市政府批准后实施，以达到供给引导需求、促进经济结构优化调整的目的。各区、县政府在实施土地年度供应计划时，根据当地经济形势变化、区县申请和计划实施情况，确需调整本地区土地年度供应计划指标的，应当向市国土资源局提出申请。市国土资源局审核同意后，统一报市政府批准。 </w:t>
            </w:r>
          </w:p>
          <w:p w:rsidR="00FA087C" w:rsidRPr="00FA087C" w:rsidRDefault="00FA087C" w:rsidP="00FA087C">
            <w:pPr>
              <w:widowControl/>
              <w:spacing w:line="360" w:lineRule="auto"/>
              <w:ind w:firstLineChars="200" w:firstLine="562"/>
              <w:jc w:val="left"/>
              <w:outlineLvl w:val="2"/>
              <w:rPr>
                <w:rFonts w:ascii="宋体" w:eastAsia="宋体" w:hAnsi="宋体" w:cs="宋体"/>
                <w:b/>
                <w:bCs/>
                <w:color w:val="333333"/>
                <w:kern w:val="0"/>
                <w:sz w:val="28"/>
                <w:szCs w:val="28"/>
              </w:rPr>
            </w:pPr>
            <w:bookmarkStart w:id="180" w:name="_Toc288721628"/>
            <w:r w:rsidRPr="00FA087C">
              <w:rPr>
                <w:rFonts w:ascii="宋体" w:eastAsia="宋体" w:hAnsi="宋体" w:cs="宋体" w:hint="eastAsia"/>
                <w:b/>
                <w:bCs/>
                <w:color w:val="333333"/>
                <w:kern w:val="0"/>
                <w:sz w:val="28"/>
                <w:szCs w:val="28"/>
              </w:rPr>
              <w:t>3.土地供应评价体系</w:t>
            </w:r>
            <w:bookmarkEnd w:id="180"/>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黑河2011市年度土地供应政策对不同用地类型采取不同的供给政策，对交通运输、公用设施等国家重点、重大项目采用需求型的供给政策，对经营性房地产开发用地采取供给型政策。因此对于经营性用地的供给，需要建立一套完善的评价体系，以达到供给调控需求的目的。</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（1）采用划拨方式供应项目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lastRenderedPageBreak/>
              <w:t>①采用划拨方式供地的项目主要包括交通运输、公用设施及水利设施、行政办公等项目用地，实行按需求供地。用地单位向各区县提出用地申请，各区县分别汇总，上报市国土资源局，用地需求列入年度土地供应计划中。</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②划拨项目具体供地条件</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A.建设项目用地选址符合土地利用总体规划；</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B.建设项目用地符合土地管理法律、法规规定的条件；</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C.建设项目符合国家供地政策，不属于《禁止供地项目目录》和《限制供地项目目录》中所列项目；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D.建设项目用地标准和总规模符合有关规定；</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E.占用耕地的，农转用指标已落实，并具有可行的补充耕地方案和安置方案；</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F.占用建设用地的，具有可行性的拆迁补偿和安置方案；</w:t>
            </w:r>
          </w:p>
          <w:p w:rsidR="00FA087C" w:rsidRPr="00FA087C" w:rsidRDefault="00FA087C" w:rsidP="00FA087C">
            <w:pPr>
              <w:widowControl/>
              <w:snapToGrid w:val="0"/>
              <w:spacing w:line="360" w:lineRule="auto"/>
              <w:ind w:left="48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G.项目资金至少已落实25％。</w:t>
            </w:r>
          </w:p>
          <w:p w:rsidR="00FA087C" w:rsidRPr="00FA087C" w:rsidRDefault="00FA087C" w:rsidP="00FA087C">
            <w:pPr>
              <w:widowControl/>
              <w:snapToGrid w:val="0"/>
              <w:spacing w:line="360" w:lineRule="auto"/>
              <w:ind w:firstLineChars="250" w:firstLine="70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③凡不完全符合上述条件者，或建设项目属于《限制供地项目目录》中所列的项目，须按照有关规定经部门进行项目论证、相关部门会审，取得相关批准文件后可列入年度土地供应计划中。</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（2）工矿仓储项目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①为支持工业项目发展，在土地供应年度计划中，对工矿仓储项目实行按照需求供地的政策。用地单位向各区县提出用地申请，各区县分别汇总，上报市国土资源局，用地需求列入年度土地供应计划中。</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③工矿仓储项目供地条件</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A.工矿仓储项目供地满足条件</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a.不属于国土资源部颁布的《禁止供地项目目录》和《限制供地项目目录》中所列项目；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lastRenderedPageBreak/>
              <w:t>b.建设项目选址在开发区内，符合开发区的总体规划和产业发展政策；</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c.建设项目符合国土资源部《工业项目建设用地控制指标（试行）》的要求；</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d.项目投资强度控制指标应符合投资强度控制指标标准；</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e.容积率控制指标、建筑密度、绿化率等指标符合相关政策文件要求。</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B.属下述条件之一者，需经过相关部门审核批准后，可以列入年度土地供应计划中</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a.符合土地利用总体规划和城市总体规划要求，新增工矿仓储用地在开发区外单独选址的项目；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b.属于国土资源部颁布的《限制供地项目目录》中的项目；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c.项目投资强度控制指标没有达到投资强度控制指标标准，但基本符合首都产业发展政策的项目；</w:t>
            </w:r>
          </w:p>
          <w:p w:rsidR="00FA087C" w:rsidRPr="00FA087C" w:rsidRDefault="00FA087C" w:rsidP="00FA087C">
            <w:pPr>
              <w:widowControl/>
              <w:snapToGrid w:val="0"/>
              <w:spacing w:line="360" w:lineRule="auto"/>
              <w:ind w:left="48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d.其他特殊情况项目。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C.属下述条件之一者，不列入年度土地供应计划中</w:t>
            </w:r>
          </w:p>
          <w:p w:rsidR="00FA087C" w:rsidRPr="00FA087C" w:rsidRDefault="00FA087C" w:rsidP="00FA087C">
            <w:pPr>
              <w:widowControl/>
              <w:snapToGrid w:val="0"/>
              <w:spacing w:line="360" w:lineRule="auto"/>
              <w:ind w:left="48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a.原工业仓储用地不改变用途，仅补办出让手续的；</w:t>
            </w:r>
          </w:p>
          <w:p w:rsidR="00FA087C" w:rsidRPr="00FA087C" w:rsidRDefault="00FA087C" w:rsidP="00FA087C">
            <w:pPr>
              <w:widowControl/>
              <w:snapToGrid w:val="0"/>
              <w:spacing w:line="360" w:lineRule="auto"/>
              <w:ind w:left="48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b.属于国土资源部颁布的《禁止供地项目目录》中的项目；</w:t>
            </w:r>
          </w:p>
          <w:p w:rsidR="00FA087C" w:rsidRPr="00FA087C" w:rsidRDefault="00FA087C" w:rsidP="00FA087C">
            <w:pPr>
              <w:widowControl/>
              <w:snapToGrid w:val="0"/>
              <w:spacing w:line="360" w:lineRule="auto"/>
              <w:ind w:left="48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c.不符合土地利用总体规划和城市总体规划项目</w:t>
            </w:r>
          </w:p>
          <w:p w:rsidR="00FA087C" w:rsidRPr="00FA087C" w:rsidRDefault="00FA087C" w:rsidP="00FA087C">
            <w:pPr>
              <w:widowControl/>
              <w:snapToGrid w:val="0"/>
              <w:spacing w:line="360" w:lineRule="auto"/>
              <w:ind w:firstLineChars="150" w:firstLine="42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（3）房地产开发用地项目</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①房地产用地项目的经过评分，按照评分的高低择优列入年度土地供应计划中。</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②项目考核分为两部分，一部分为基础分，另一部分为项目加分。其中基础分为60分，凡达到60分的项目原则上可以纳入土地供应计划中，但在项目较多时，需要按照评分高低择优选入。</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lastRenderedPageBreak/>
              <w:t>③房地产开发项目申请供地项目评分表</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1"/>
              <w:gridCol w:w="3872"/>
              <w:gridCol w:w="802"/>
              <w:gridCol w:w="1469"/>
              <w:gridCol w:w="803"/>
            </w:tblGrid>
            <w:tr w:rsidR="00FA087C" w:rsidRPr="00FA087C" w:rsidTr="00FA087C">
              <w:trPr>
                <w:trHeight w:val="317"/>
              </w:trPr>
              <w:tc>
                <w:tcPr>
                  <w:tcW w:w="1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类别</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评分标准</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标准分</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项目实际情况</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评分</w:t>
                  </w:r>
                </w:p>
              </w:tc>
            </w:tr>
            <w:tr w:rsidR="00FA087C" w:rsidRPr="00FA087C" w:rsidTr="00FA087C">
              <w:trPr>
                <w:trHeight w:val="649"/>
              </w:trPr>
              <w:tc>
                <w:tcPr>
                  <w:tcW w:w="1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项目基础分</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选址符合土地利用总体规划和城市总体规划</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项目性质符合相关法律、法规规定的条件</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新建项目取得农用地转用指标，完成耕地占补平衡</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完成农民的安置补偿</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使用建设用地的，拆迁补偿安置已落实</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土地开发程度达“三通一平”</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649"/>
              </w:trPr>
              <w:tc>
                <w:tcPr>
                  <w:tcW w:w="1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项目基础分小计</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60</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r>
            <w:tr w:rsidR="00FA087C" w:rsidRPr="00FA087C" w:rsidTr="00FA087C">
              <w:trPr>
                <w:trHeight w:val="332"/>
              </w:trPr>
              <w:tc>
                <w:tcPr>
                  <w:tcW w:w="1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项目加分</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鼓励发展的项目</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拟采用拍卖方式出让</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拟采用招标方式出让</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拟采用挂牌方式出让</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属居住用地，物业类型为普通住宅</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开发程度达到“七通一平”</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开发程度达到“五通一平”</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土地来源为存量建设用地</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区县土地整理储备项目</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配套性公建设施项目</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+5</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属城市规划中新城范围内</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087C" w:rsidRPr="00FA087C" w:rsidRDefault="00FA087C" w:rsidP="00FA087C">
                  <w:pPr>
                    <w:widowControl/>
                    <w:jc w:val="left"/>
                    <w:rPr>
                      <w:rFonts w:ascii="宋体" w:eastAsia="宋体" w:hAnsi="宋体" w:cs="宋体"/>
                      <w:color w:val="333333"/>
                      <w:kern w:val="0"/>
                      <w:sz w:val="18"/>
                      <w:szCs w:val="18"/>
                    </w:rPr>
                  </w:pP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取得建设项目选址意见书</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116" w:lineRule="atLeast"/>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2"/>
                      <w:szCs w:val="18"/>
                    </w:rPr>
                  </w:pPr>
                </w:p>
              </w:tc>
            </w:tr>
            <w:tr w:rsidR="00FA087C" w:rsidRPr="00FA087C" w:rsidTr="00FA087C">
              <w:trPr>
                <w:trHeight w:val="317"/>
              </w:trPr>
              <w:tc>
                <w:tcPr>
                  <w:tcW w:w="1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项目加分小计</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r>
            <w:tr w:rsidR="00FA087C" w:rsidRPr="00FA087C" w:rsidTr="00FA087C">
              <w:trPr>
                <w:trHeight w:val="332"/>
              </w:trPr>
              <w:tc>
                <w:tcPr>
                  <w:tcW w:w="1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r w:rsidRPr="00FA087C">
                    <w:rPr>
                      <w:rFonts w:ascii="宋体" w:eastAsia="宋体" w:hAnsi="宋体" w:cs="宋体" w:hint="eastAsia"/>
                      <w:color w:val="333333"/>
                      <w:kern w:val="0"/>
                      <w:sz w:val="18"/>
                      <w:szCs w:val="18"/>
                    </w:rPr>
                    <w:t>合计</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A087C" w:rsidRPr="00FA087C" w:rsidRDefault="00FA087C" w:rsidP="00FA087C">
                  <w:pPr>
                    <w:widowControl/>
                    <w:snapToGrid w:val="0"/>
                    <w:spacing w:line="360" w:lineRule="auto"/>
                    <w:jc w:val="center"/>
                    <w:rPr>
                      <w:rFonts w:ascii="宋体" w:eastAsia="宋体" w:hAnsi="宋体" w:cs="宋体"/>
                      <w:color w:val="333333"/>
                      <w:kern w:val="0"/>
                      <w:sz w:val="18"/>
                      <w:szCs w:val="18"/>
                    </w:rPr>
                  </w:pPr>
                </w:p>
              </w:tc>
            </w:tr>
          </w:tbl>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④凡基础分未取得60分的，原则上不纳入土地供应计划。</w:t>
            </w:r>
          </w:p>
          <w:p w:rsidR="00FA087C" w:rsidRPr="00FA087C" w:rsidRDefault="00FA087C" w:rsidP="00FA087C">
            <w:pPr>
              <w:widowControl/>
              <w:snapToGrid w:val="0"/>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⑤供地顺序按照项目评分结果由高至低顺次排列供地时间，择优纳入土地供应计划中。</w:t>
            </w:r>
          </w:p>
          <w:p w:rsidR="00FA087C" w:rsidRPr="00FA087C" w:rsidRDefault="00FA087C" w:rsidP="00FA087C">
            <w:pPr>
              <w:widowControl/>
              <w:spacing w:line="360" w:lineRule="auto"/>
              <w:jc w:val="center"/>
              <w:rPr>
                <w:rFonts w:ascii="宋体" w:eastAsia="宋体" w:hAnsi="宋体" w:cs="宋体"/>
                <w:color w:val="333333"/>
                <w:kern w:val="0"/>
                <w:sz w:val="24"/>
                <w:szCs w:val="24"/>
              </w:rPr>
            </w:pPr>
            <w:r w:rsidRPr="00FA087C">
              <w:rPr>
                <w:rFonts w:ascii="宋体" w:eastAsia="宋体" w:hAnsi="宋体" w:cs="宋体"/>
                <w:color w:val="333333"/>
                <w:kern w:val="0"/>
                <w:sz w:val="24"/>
                <w:szCs w:val="24"/>
              </w:rPr>
              <w:t> </w:t>
            </w:r>
          </w:p>
          <w:p w:rsidR="00FA087C" w:rsidRPr="00FA087C" w:rsidRDefault="00FA087C" w:rsidP="00FA087C">
            <w:pPr>
              <w:widowControl/>
              <w:spacing w:before="10" w:after="10" w:line="360" w:lineRule="auto"/>
              <w:jc w:val="left"/>
              <w:outlineLvl w:val="0"/>
              <w:rPr>
                <w:rFonts w:ascii="宋体" w:eastAsia="宋体" w:hAnsi="宋体" w:cs="宋体"/>
                <w:b/>
                <w:bCs/>
                <w:color w:val="333333"/>
                <w:kern w:val="36"/>
                <w:sz w:val="32"/>
                <w:szCs w:val="32"/>
              </w:rPr>
            </w:pPr>
            <w:bookmarkStart w:id="181" w:name="_Toc288721629"/>
            <w:r w:rsidRPr="00FA087C">
              <w:rPr>
                <w:rFonts w:ascii="宋体" w:eastAsia="宋体" w:hAnsi="宋体" w:cs="宋体" w:hint="eastAsia"/>
                <w:b/>
                <w:bCs/>
                <w:color w:val="333333"/>
                <w:kern w:val="36"/>
                <w:sz w:val="32"/>
                <w:szCs w:val="32"/>
              </w:rPr>
              <w:t>八  2011年度土地供应计划不能完全解决的问题及待以后年度进一步完善的建议</w:t>
            </w:r>
            <w:bookmarkEnd w:id="181"/>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82" w:name="_Toc288721630"/>
            <w:r w:rsidRPr="00FA087C">
              <w:rPr>
                <w:rFonts w:ascii="宋体" w:eastAsia="宋体" w:hAnsi="宋体" w:cs="宋体"/>
                <w:b/>
                <w:bCs/>
                <w:color w:val="333333"/>
                <w:kern w:val="0"/>
                <w:sz w:val="36"/>
                <w:szCs w:val="36"/>
              </w:rPr>
              <w:t>（一）制作过程中存在的问题</w:t>
            </w:r>
            <w:bookmarkEnd w:id="182"/>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土地供应计划是黑河市国土资源局第一次编制，在编制过程中，发现仍然存在一定的问题，主要体现在以下几个方面：</w:t>
            </w:r>
          </w:p>
          <w:p w:rsidR="00FA087C" w:rsidRPr="00FA087C" w:rsidRDefault="00FA087C" w:rsidP="00FA087C">
            <w:pPr>
              <w:widowControl/>
              <w:spacing w:line="360" w:lineRule="auto"/>
              <w:ind w:firstLineChars="200" w:firstLine="562"/>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1．时间紧、任务重</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lastRenderedPageBreak/>
              <w:t>土地供应计划的制定关系到市发改委、市规委、市建委、园林局、交通委、商委、市政管委等多家政府部门相互协调，加大了基础数据的收集的困难。在工作时间十分有限的情况下，需要进行从制定技术方案、收集资料到完成最终的土地供应成果一系列艰苦工作，制定的最终供应结果会存在一定的不足。</w:t>
            </w:r>
          </w:p>
          <w:p w:rsidR="00FA087C" w:rsidRPr="00FA087C" w:rsidRDefault="00FA087C" w:rsidP="00FA087C">
            <w:pPr>
              <w:widowControl/>
              <w:spacing w:line="360" w:lineRule="auto"/>
              <w:ind w:firstLineChars="200" w:firstLine="562"/>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2．基础数据收集、整理分析困难</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本次土地供应计划的制定需要大量的基础数据支撑，且基础数据来源于不同的相关部门，各部门数据之间存在着统计口径、统计重点的不一致，且时间急促，故从数据收集到数据整理分析，都加大了工作量、工作难度。</w:t>
            </w:r>
          </w:p>
          <w:p w:rsidR="00FA087C" w:rsidRPr="00FA087C" w:rsidRDefault="00FA087C" w:rsidP="00FA087C">
            <w:pPr>
              <w:widowControl/>
              <w:spacing w:line="360" w:lineRule="auto"/>
              <w:ind w:firstLineChars="200" w:firstLine="562"/>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3．各项相关工作间的协调存在一定的问题</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本次土地供应计划的制定和黑河市城市总体规划、近期建设规划、2011年土地利用计划、2011年土地拆迁计划、2011年危旧房改造计划存在相互呼应的关系，但由于上述计划中2011年土地利用计划、2011年拆迁计划、2011年危旧房改造计划正在制定过程中，尚未形成最终的结果，故增加了本计划制定的难度。</w:t>
            </w:r>
          </w:p>
          <w:p w:rsidR="00FA087C" w:rsidRPr="00FA087C" w:rsidRDefault="00FA087C" w:rsidP="00FA087C">
            <w:pPr>
              <w:widowControl/>
              <w:spacing w:before="10" w:after="10" w:line="480" w:lineRule="atLeast"/>
              <w:jc w:val="left"/>
              <w:outlineLvl w:val="1"/>
              <w:rPr>
                <w:rFonts w:ascii="ˎ̥" w:eastAsia="宋体" w:hAnsi="ˎ̥" w:cs="宋体" w:hint="eastAsia"/>
                <w:b/>
                <w:bCs/>
                <w:color w:val="333333"/>
                <w:kern w:val="0"/>
                <w:sz w:val="36"/>
                <w:szCs w:val="36"/>
              </w:rPr>
            </w:pPr>
            <w:bookmarkStart w:id="183" w:name="_Toc288721631"/>
            <w:r w:rsidRPr="00FA087C">
              <w:rPr>
                <w:rFonts w:ascii="宋体" w:eastAsia="宋体" w:hAnsi="宋体" w:cs="宋体"/>
                <w:b/>
                <w:bCs/>
                <w:color w:val="333333"/>
                <w:kern w:val="0"/>
                <w:sz w:val="36"/>
                <w:szCs w:val="36"/>
              </w:rPr>
              <w:t>（二）以后年度工作建议</w:t>
            </w:r>
            <w:bookmarkEnd w:id="183"/>
          </w:p>
          <w:p w:rsidR="00FA087C" w:rsidRPr="00FA087C" w:rsidRDefault="00FA087C" w:rsidP="00FA087C">
            <w:pPr>
              <w:widowControl/>
              <w:spacing w:line="360" w:lineRule="auto"/>
              <w:ind w:firstLineChars="200" w:firstLine="562"/>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1．增强数据资料的收集统计工作</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在2011年度土地供应计划制定过程中，我们发现基础数据的整理工作占用了大量的时间、精力，建议增强平时相关数据的统计工作。</w:t>
            </w:r>
          </w:p>
          <w:p w:rsidR="00FA087C" w:rsidRPr="00FA087C" w:rsidRDefault="00FA087C" w:rsidP="00FA087C">
            <w:pPr>
              <w:widowControl/>
              <w:spacing w:line="360" w:lineRule="auto"/>
              <w:ind w:firstLineChars="200" w:firstLine="562"/>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2．土地供应计划管理要走向制度化、规范化</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目前对于国有建设用地供应计划的编制、实施、管理尚未达到制度</w:t>
            </w:r>
            <w:r w:rsidRPr="00FA087C">
              <w:rPr>
                <w:rFonts w:ascii="宋体" w:eastAsia="宋体" w:hAnsi="宋体" w:cs="宋体" w:hint="eastAsia"/>
                <w:color w:val="333333"/>
                <w:kern w:val="0"/>
                <w:sz w:val="28"/>
                <w:szCs w:val="28"/>
              </w:rPr>
              <w:lastRenderedPageBreak/>
              <w:t>化的要求，尚需在今后的工作中不断完善和总结工作经验，建立健全科学、合理的制度体系，推进土地供应计划宏观调控的力度。</w:t>
            </w:r>
          </w:p>
          <w:p w:rsidR="00FA087C" w:rsidRPr="00FA087C" w:rsidRDefault="00FA087C" w:rsidP="00FA087C">
            <w:pPr>
              <w:widowControl/>
              <w:spacing w:line="360" w:lineRule="auto"/>
              <w:ind w:firstLineChars="200" w:firstLine="562"/>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3．加强土地供应计划实施过程中的监督管理</w:t>
            </w:r>
          </w:p>
          <w:p w:rsidR="00FA087C" w:rsidRPr="00FA087C" w:rsidRDefault="00FA087C" w:rsidP="00FA087C">
            <w:pPr>
              <w:widowControl/>
              <w:spacing w:line="360" w:lineRule="auto"/>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为了保证土地供应计划实施的有效性和科学性，必须加强实施过程中的监督检查力度，建立健全切实有效的监督管理机制，采用定期检查报告制度、社会公示制度、举报制度等，保证计划的实施和促进土地的集约利用。</w:t>
            </w:r>
          </w:p>
          <w:p w:rsidR="00FA087C" w:rsidRPr="00FA087C" w:rsidRDefault="00FA087C" w:rsidP="00FA087C">
            <w:pPr>
              <w:widowControl/>
              <w:spacing w:line="360" w:lineRule="auto"/>
              <w:ind w:firstLineChars="200" w:firstLine="562"/>
              <w:jc w:val="left"/>
              <w:rPr>
                <w:rFonts w:ascii="宋体" w:eastAsia="宋体" w:hAnsi="宋体" w:cs="宋体"/>
                <w:b/>
                <w:color w:val="333333"/>
                <w:kern w:val="0"/>
                <w:sz w:val="28"/>
                <w:szCs w:val="28"/>
              </w:rPr>
            </w:pPr>
            <w:r w:rsidRPr="00FA087C">
              <w:rPr>
                <w:rFonts w:ascii="宋体" w:eastAsia="宋体" w:hAnsi="宋体" w:cs="宋体" w:hint="eastAsia"/>
                <w:b/>
                <w:color w:val="333333"/>
                <w:kern w:val="0"/>
                <w:sz w:val="28"/>
                <w:szCs w:val="28"/>
              </w:rPr>
              <w:t>4．建立城市建设用地适度供给的协调保障制度</w:t>
            </w:r>
          </w:p>
          <w:p w:rsidR="00FA087C" w:rsidRPr="00FA087C" w:rsidRDefault="00FA087C" w:rsidP="00FA087C">
            <w:pPr>
              <w:widowControl/>
              <w:spacing w:line="225" w:lineRule="atLeast"/>
              <w:ind w:firstLineChars="200" w:firstLine="560"/>
              <w:jc w:val="left"/>
              <w:rPr>
                <w:rFonts w:ascii="宋体" w:eastAsia="宋体" w:hAnsi="宋体" w:cs="宋体"/>
                <w:color w:val="333333"/>
                <w:kern w:val="0"/>
                <w:sz w:val="28"/>
                <w:szCs w:val="28"/>
              </w:rPr>
            </w:pPr>
            <w:r w:rsidRPr="00FA087C">
              <w:rPr>
                <w:rFonts w:ascii="宋体" w:eastAsia="宋体" w:hAnsi="宋体" w:cs="宋体" w:hint="eastAsia"/>
                <w:color w:val="333333"/>
                <w:kern w:val="0"/>
                <w:sz w:val="28"/>
                <w:szCs w:val="28"/>
              </w:rPr>
              <w:t>加强城市建设用地的适度供给，城市建设用地供给计划管理只是其中的一种措施、一种手段。加强城市建设用地适度供给还必须和其他管理手段密切配合，相互作用。所以，必须采取综合性的措施，结合多种管理方法，建立加强城市建设用地适度供给的协调保障制度。</w:t>
            </w:r>
          </w:p>
        </w:tc>
      </w:tr>
    </w:tbl>
    <w:p w:rsidR="00FA087C" w:rsidRPr="00FA087C" w:rsidRDefault="00FA087C"/>
    <w:sectPr w:rsidR="00FA087C" w:rsidRPr="00FA087C" w:rsidSect="00C907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CA3" w:rsidRDefault="00575CA3" w:rsidP="00EE0D6B">
      <w:r>
        <w:separator/>
      </w:r>
    </w:p>
  </w:endnote>
  <w:endnote w:type="continuationSeparator" w:id="1">
    <w:p w:rsidR="00575CA3" w:rsidRDefault="00575CA3" w:rsidP="00EE0D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imes">
    <w:panose1 w:val="020206030504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CA3" w:rsidRDefault="00575CA3" w:rsidP="00EE0D6B">
      <w:r>
        <w:separator/>
      </w:r>
    </w:p>
  </w:footnote>
  <w:footnote w:type="continuationSeparator" w:id="1">
    <w:p w:rsidR="00575CA3" w:rsidRDefault="00575CA3" w:rsidP="00EE0D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087C"/>
    <w:rsid w:val="00153030"/>
    <w:rsid w:val="001B2C72"/>
    <w:rsid w:val="00575CA3"/>
    <w:rsid w:val="00C907B6"/>
    <w:rsid w:val="00EE0D6B"/>
    <w:rsid w:val="00FA08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7B6"/>
    <w:pPr>
      <w:widowControl w:val="0"/>
      <w:jc w:val="both"/>
    </w:pPr>
  </w:style>
  <w:style w:type="paragraph" w:styleId="1">
    <w:name w:val="heading 1"/>
    <w:basedOn w:val="a"/>
    <w:link w:val="1Char"/>
    <w:uiPriority w:val="9"/>
    <w:qFormat/>
    <w:rsid w:val="00FA087C"/>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FA087C"/>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FA087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A087C"/>
    <w:rPr>
      <w:rFonts w:ascii="宋体" w:eastAsia="宋体" w:hAnsi="宋体" w:cs="宋体"/>
      <w:b/>
      <w:bCs/>
      <w:kern w:val="36"/>
      <w:sz w:val="48"/>
      <w:szCs w:val="48"/>
    </w:rPr>
  </w:style>
  <w:style w:type="character" w:customStyle="1" w:styleId="2Char">
    <w:name w:val="标题 2 Char"/>
    <w:basedOn w:val="a0"/>
    <w:link w:val="2"/>
    <w:uiPriority w:val="9"/>
    <w:rsid w:val="00FA087C"/>
    <w:rPr>
      <w:rFonts w:ascii="宋体" w:eastAsia="宋体" w:hAnsi="宋体" w:cs="宋体"/>
      <w:b/>
      <w:bCs/>
      <w:kern w:val="0"/>
      <w:sz w:val="36"/>
      <w:szCs w:val="36"/>
    </w:rPr>
  </w:style>
  <w:style w:type="character" w:customStyle="1" w:styleId="3Char">
    <w:name w:val="标题 3 Char"/>
    <w:basedOn w:val="a0"/>
    <w:link w:val="3"/>
    <w:uiPriority w:val="9"/>
    <w:rsid w:val="00FA087C"/>
    <w:rPr>
      <w:rFonts w:ascii="宋体" w:eastAsia="宋体" w:hAnsi="宋体" w:cs="宋体"/>
      <w:b/>
      <w:bCs/>
      <w:kern w:val="0"/>
      <w:sz w:val="27"/>
      <w:szCs w:val="27"/>
    </w:rPr>
  </w:style>
  <w:style w:type="character" w:styleId="a3">
    <w:name w:val="Hyperlink"/>
    <w:basedOn w:val="a0"/>
    <w:uiPriority w:val="99"/>
    <w:semiHidden/>
    <w:unhideWhenUsed/>
    <w:rsid w:val="00FA087C"/>
  </w:style>
  <w:style w:type="character" w:styleId="a4">
    <w:name w:val="FollowedHyperlink"/>
    <w:basedOn w:val="a0"/>
    <w:uiPriority w:val="99"/>
    <w:semiHidden/>
    <w:unhideWhenUsed/>
    <w:rsid w:val="00FA087C"/>
    <w:rPr>
      <w:strike w:val="0"/>
      <w:dstrike w:val="0"/>
      <w:color w:val="333333"/>
      <w:u w:val="none"/>
      <w:effect w:val="none"/>
    </w:rPr>
  </w:style>
  <w:style w:type="character" w:styleId="a5">
    <w:name w:val="Strong"/>
    <w:basedOn w:val="a0"/>
    <w:uiPriority w:val="22"/>
    <w:qFormat/>
    <w:rsid w:val="00FA087C"/>
    <w:rPr>
      <w:b/>
      <w:bCs/>
    </w:rPr>
  </w:style>
  <w:style w:type="paragraph" w:customStyle="1" w:styleId="input">
    <w:name w:val="input"/>
    <w:basedOn w:val="a"/>
    <w:rsid w:val="00FA087C"/>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aligncenter">
    <w:name w:val="align_center"/>
    <w:basedOn w:val="a"/>
    <w:rsid w:val="00FA087C"/>
    <w:pPr>
      <w:widowControl/>
      <w:spacing w:before="100" w:beforeAutospacing="1" w:after="100" w:afterAutospacing="1"/>
      <w:jc w:val="center"/>
    </w:pPr>
    <w:rPr>
      <w:rFonts w:ascii="宋体" w:eastAsia="宋体" w:hAnsi="宋体" w:cs="宋体"/>
      <w:kern w:val="0"/>
      <w:sz w:val="24"/>
      <w:szCs w:val="24"/>
    </w:rPr>
  </w:style>
  <w:style w:type="paragraph" w:customStyle="1" w:styleId="bord">
    <w:name w:val="bord"/>
    <w:basedOn w:val="a"/>
    <w:rsid w:val="00FA087C"/>
    <w:pPr>
      <w:widowControl/>
      <w:pBdr>
        <w:top w:val="single" w:sz="8" w:space="0" w:color="CCCCCC"/>
        <w:left w:val="single" w:sz="8" w:space="0" w:color="CCCCCC"/>
        <w:bottom w:val="single" w:sz="8" w:space="0" w:color="CCCCCC"/>
        <w:right w:val="single" w:sz="8" w:space="0" w:color="CCCCCC"/>
      </w:pBdr>
      <w:spacing w:before="100" w:beforeAutospacing="1" w:after="100" w:afterAutospacing="1"/>
      <w:jc w:val="left"/>
    </w:pPr>
    <w:rPr>
      <w:rFonts w:ascii="宋体" w:eastAsia="宋体" w:hAnsi="宋体" w:cs="宋体"/>
      <w:kern w:val="0"/>
      <w:sz w:val="24"/>
      <w:szCs w:val="24"/>
    </w:rPr>
  </w:style>
  <w:style w:type="paragraph" w:customStyle="1" w:styleId="bordleft">
    <w:name w:val="bordleft"/>
    <w:basedOn w:val="a"/>
    <w:rsid w:val="00FA087C"/>
    <w:pPr>
      <w:widowControl/>
      <w:pBdr>
        <w:left w:val="single" w:sz="8" w:space="0" w:color="CCCCCC"/>
      </w:pBdr>
      <w:spacing w:before="100" w:beforeAutospacing="1" w:after="100" w:afterAutospacing="1"/>
      <w:jc w:val="left"/>
    </w:pPr>
    <w:rPr>
      <w:rFonts w:ascii="宋体" w:eastAsia="宋体" w:hAnsi="宋体" w:cs="宋体"/>
      <w:kern w:val="0"/>
      <w:sz w:val="24"/>
      <w:szCs w:val="24"/>
    </w:rPr>
  </w:style>
  <w:style w:type="paragraph" w:customStyle="1" w:styleId="bordtop">
    <w:name w:val="bordtop"/>
    <w:basedOn w:val="a"/>
    <w:rsid w:val="00FA087C"/>
    <w:pPr>
      <w:widowControl/>
      <w:pBdr>
        <w:top w:val="single" w:sz="8" w:space="0" w:color="CCCCCC"/>
      </w:pBdr>
      <w:spacing w:before="100" w:beforeAutospacing="1" w:after="100" w:afterAutospacing="1"/>
      <w:jc w:val="left"/>
    </w:pPr>
    <w:rPr>
      <w:rFonts w:ascii="宋体" w:eastAsia="宋体" w:hAnsi="宋体" w:cs="宋体"/>
      <w:kern w:val="0"/>
      <w:sz w:val="24"/>
      <w:szCs w:val="24"/>
    </w:rPr>
  </w:style>
  <w:style w:type="paragraph" w:customStyle="1" w:styleId="bordbottom">
    <w:name w:val="bordbottom"/>
    <w:basedOn w:val="a"/>
    <w:rsid w:val="00FA087C"/>
    <w:pPr>
      <w:widowControl/>
      <w:pBdr>
        <w:top w:val="single" w:sz="8" w:space="0" w:color="CCCCCC"/>
      </w:pBdr>
      <w:spacing w:before="100" w:beforeAutospacing="1" w:after="100" w:afterAutospacing="1"/>
      <w:jc w:val="left"/>
    </w:pPr>
    <w:rPr>
      <w:rFonts w:ascii="宋体" w:eastAsia="宋体" w:hAnsi="宋体" w:cs="宋体"/>
      <w:kern w:val="0"/>
      <w:sz w:val="24"/>
      <w:szCs w:val="24"/>
    </w:rPr>
  </w:style>
  <w:style w:type="paragraph" w:customStyle="1" w:styleId="bord1">
    <w:name w:val="bord1"/>
    <w:basedOn w:val="a"/>
    <w:rsid w:val="00FA087C"/>
    <w:pPr>
      <w:widowControl/>
      <w:pBdr>
        <w:top w:val="single" w:sz="8" w:space="0" w:color="CCCCCC"/>
        <w:left w:val="single" w:sz="8" w:space="0" w:color="CCCCCC"/>
        <w:bottom w:val="single" w:sz="8" w:space="0" w:color="CCCCCC"/>
        <w:right w:val="single" w:sz="8" w:space="0" w:color="CCCCCC"/>
      </w:pBdr>
      <w:spacing w:before="100" w:beforeAutospacing="1" w:after="100" w:afterAutospacing="1"/>
      <w:jc w:val="left"/>
    </w:pPr>
    <w:rPr>
      <w:rFonts w:ascii="宋体" w:eastAsia="宋体" w:hAnsi="宋体" w:cs="宋体"/>
      <w:kern w:val="0"/>
      <w:sz w:val="24"/>
      <w:szCs w:val="24"/>
    </w:rPr>
  </w:style>
  <w:style w:type="paragraph" w:customStyle="1" w:styleId="bord3b">
    <w:name w:val="bord3b"/>
    <w:basedOn w:val="a"/>
    <w:rsid w:val="00FA087C"/>
    <w:pPr>
      <w:widowControl/>
      <w:pBdr>
        <w:top w:val="single" w:sz="8" w:space="0" w:color="D2E8F7"/>
        <w:left w:val="single" w:sz="8" w:space="0" w:color="D2E8F7"/>
        <w:right w:val="single" w:sz="8" w:space="0" w:color="D2E8F7"/>
      </w:pBdr>
      <w:spacing w:before="100" w:beforeAutospacing="1" w:after="100" w:afterAutospacing="1"/>
      <w:jc w:val="left"/>
    </w:pPr>
    <w:rPr>
      <w:rFonts w:ascii="宋体" w:eastAsia="宋体" w:hAnsi="宋体" w:cs="宋体"/>
      <w:kern w:val="0"/>
      <w:sz w:val="24"/>
      <w:szCs w:val="24"/>
    </w:rPr>
  </w:style>
  <w:style w:type="paragraph" w:customStyle="1" w:styleId="font12">
    <w:name w:val="font12"/>
    <w:basedOn w:val="a"/>
    <w:rsid w:val="00FA087C"/>
    <w:pPr>
      <w:widowControl/>
      <w:spacing w:before="100" w:beforeAutospacing="1" w:after="100" w:afterAutospacing="1" w:line="360" w:lineRule="atLeast"/>
      <w:jc w:val="left"/>
    </w:pPr>
    <w:rPr>
      <w:rFonts w:ascii="宋体" w:eastAsia="宋体" w:hAnsi="宋体" w:cs="宋体"/>
      <w:color w:val="000000"/>
      <w:kern w:val="0"/>
      <w:sz w:val="24"/>
      <w:szCs w:val="24"/>
    </w:rPr>
  </w:style>
  <w:style w:type="paragraph" w:customStyle="1" w:styleId="font14black">
    <w:name w:val="font14black"/>
    <w:basedOn w:val="a"/>
    <w:rsid w:val="00FA087C"/>
    <w:pPr>
      <w:widowControl/>
      <w:spacing w:before="100" w:beforeAutospacing="1" w:after="100" w:afterAutospacing="1"/>
      <w:jc w:val="left"/>
    </w:pPr>
    <w:rPr>
      <w:rFonts w:ascii="宋体" w:eastAsia="宋体" w:hAnsi="宋体" w:cs="宋体"/>
      <w:b/>
      <w:bCs/>
      <w:color w:val="000000"/>
      <w:kern w:val="0"/>
      <w:sz w:val="28"/>
      <w:szCs w:val="28"/>
    </w:rPr>
  </w:style>
  <w:style w:type="paragraph" w:customStyle="1" w:styleId="font14blue">
    <w:name w:val="font14blue"/>
    <w:basedOn w:val="a"/>
    <w:rsid w:val="00FA087C"/>
    <w:pPr>
      <w:widowControl/>
      <w:spacing w:before="100" w:beforeAutospacing="1" w:after="100" w:afterAutospacing="1" w:line="460" w:lineRule="atLeast"/>
      <w:jc w:val="left"/>
    </w:pPr>
    <w:rPr>
      <w:rFonts w:ascii="宋体" w:eastAsia="宋体" w:hAnsi="宋体" w:cs="宋体"/>
      <w:b/>
      <w:bCs/>
      <w:color w:val="184B7A"/>
      <w:kern w:val="0"/>
      <w:sz w:val="28"/>
      <w:szCs w:val="28"/>
    </w:rPr>
  </w:style>
  <w:style w:type="paragraph" w:customStyle="1" w:styleId="font14gray">
    <w:name w:val="font14gray"/>
    <w:basedOn w:val="a"/>
    <w:rsid w:val="00FA087C"/>
    <w:pPr>
      <w:widowControl/>
      <w:spacing w:before="100" w:beforeAutospacing="1" w:after="100" w:afterAutospacing="1"/>
      <w:jc w:val="left"/>
    </w:pPr>
    <w:rPr>
      <w:rFonts w:ascii="宋体" w:eastAsia="宋体" w:hAnsi="宋体" w:cs="宋体"/>
      <w:b/>
      <w:bCs/>
      <w:color w:val="505050"/>
      <w:kern w:val="0"/>
      <w:sz w:val="28"/>
      <w:szCs w:val="28"/>
    </w:rPr>
  </w:style>
  <w:style w:type="paragraph" w:customStyle="1" w:styleId="more">
    <w:name w:val="more"/>
    <w:basedOn w:val="a"/>
    <w:rsid w:val="00FA087C"/>
    <w:pPr>
      <w:widowControl/>
      <w:spacing w:before="100" w:beforeAutospacing="1" w:after="100" w:afterAutospacing="1"/>
      <w:jc w:val="left"/>
    </w:pPr>
    <w:rPr>
      <w:rFonts w:ascii="宋体" w:eastAsia="宋体" w:hAnsi="宋体" w:cs="宋体"/>
      <w:color w:val="2577B7"/>
      <w:kern w:val="0"/>
      <w:sz w:val="24"/>
      <w:szCs w:val="24"/>
    </w:rPr>
  </w:style>
  <w:style w:type="paragraph" w:customStyle="1" w:styleId="menu">
    <w:name w:val="menu"/>
    <w:basedOn w:val="a"/>
    <w:rsid w:val="00FA087C"/>
    <w:pPr>
      <w:widowControl/>
      <w:spacing w:before="100" w:beforeAutospacing="1" w:after="100" w:afterAutospacing="1"/>
      <w:jc w:val="left"/>
    </w:pPr>
    <w:rPr>
      <w:rFonts w:ascii="宋体" w:eastAsia="宋体" w:hAnsi="宋体" w:cs="宋体"/>
      <w:color w:val="333333"/>
      <w:kern w:val="0"/>
      <w:sz w:val="28"/>
      <w:szCs w:val="28"/>
    </w:rPr>
  </w:style>
  <w:style w:type="paragraph" w:customStyle="1" w:styleId="ittli">
    <w:name w:val="ittli"/>
    <w:basedOn w:val="a"/>
    <w:rsid w:val="00FA087C"/>
    <w:pPr>
      <w:widowControl/>
      <w:spacing w:before="100" w:beforeAutospacing="1" w:after="100" w:afterAutospacing="1"/>
      <w:jc w:val="left"/>
    </w:pPr>
    <w:rPr>
      <w:rFonts w:ascii="宋体" w:eastAsia="宋体" w:hAnsi="宋体" w:cs="宋体"/>
      <w:color w:val="0953C2"/>
      <w:kern w:val="0"/>
      <w:sz w:val="24"/>
      <w:szCs w:val="24"/>
    </w:rPr>
  </w:style>
  <w:style w:type="paragraph" w:customStyle="1" w:styleId="iblue16b">
    <w:name w:val="iblue16b"/>
    <w:basedOn w:val="a"/>
    <w:rsid w:val="00FA087C"/>
    <w:pPr>
      <w:widowControl/>
      <w:spacing w:before="100" w:beforeAutospacing="1" w:after="100" w:afterAutospacing="1"/>
      <w:jc w:val="left"/>
    </w:pPr>
    <w:rPr>
      <w:rFonts w:ascii="宋体" w:eastAsia="宋体" w:hAnsi="宋体" w:cs="宋体"/>
      <w:color w:val="0953C2"/>
      <w:kern w:val="0"/>
      <w:sz w:val="30"/>
      <w:szCs w:val="30"/>
    </w:rPr>
  </w:style>
  <w:style w:type="paragraph" w:customStyle="1" w:styleId="ih14">
    <w:name w:val="ih14"/>
    <w:basedOn w:val="a"/>
    <w:rsid w:val="00FA087C"/>
    <w:pPr>
      <w:widowControl/>
      <w:spacing w:before="100" w:beforeAutospacing="1" w:after="100" w:afterAutospacing="1"/>
      <w:jc w:val="left"/>
    </w:pPr>
    <w:rPr>
      <w:rFonts w:ascii="宋体" w:eastAsia="宋体" w:hAnsi="宋体" w:cs="宋体"/>
      <w:color w:val="0E0E0E"/>
      <w:kern w:val="0"/>
      <w:sz w:val="28"/>
      <w:szCs w:val="28"/>
    </w:rPr>
  </w:style>
  <w:style w:type="paragraph" w:customStyle="1" w:styleId="font14width">
    <w:name w:val="font14width"/>
    <w:basedOn w:val="a"/>
    <w:rsid w:val="00FA087C"/>
    <w:pPr>
      <w:widowControl/>
      <w:spacing w:before="100" w:beforeAutospacing="1" w:after="100" w:afterAutospacing="1"/>
      <w:jc w:val="left"/>
    </w:pPr>
    <w:rPr>
      <w:rFonts w:ascii="宋体" w:eastAsia="宋体" w:hAnsi="宋体" w:cs="宋体"/>
      <w:b/>
      <w:bCs/>
      <w:color w:val="FFFFFF"/>
      <w:kern w:val="0"/>
      <w:sz w:val="28"/>
      <w:szCs w:val="28"/>
    </w:rPr>
  </w:style>
  <w:style w:type="paragraph" w:customStyle="1" w:styleId="font14widthnew">
    <w:name w:val="font14widthnew"/>
    <w:basedOn w:val="a"/>
    <w:rsid w:val="00FA087C"/>
    <w:pPr>
      <w:widowControl/>
      <w:spacing w:before="100" w:beforeAutospacing="1" w:after="100" w:afterAutospacing="1"/>
      <w:jc w:val="left"/>
    </w:pPr>
    <w:rPr>
      <w:rFonts w:ascii="宋体" w:eastAsia="宋体" w:hAnsi="宋体" w:cs="宋体"/>
      <w:b/>
      <w:bCs/>
      <w:color w:val="A11414"/>
      <w:kern w:val="0"/>
      <w:sz w:val="28"/>
      <w:szCs w:val="28"/>
    </w:rPr>
  </w:style>
  <w:style w:type="paragraph" w:customStyle="1" w:styleId="iy13">
    <w:name w:val="iy13"/>
    <w:basedOn w:val="a"/>
    <w:rsid w:val="00FA087C"/>
    <w:pPr>
      <w:widowControl/>
      <w:spacing w:before="100" w:beforeAutospacing="1" w:after="100" w:afterAutospacing="1"/>
      <w:jc w:val="left"/>
    </w:pPr>
    <w:rPr>
      <w:rFonts w:ascii="宋体" w:eastAsia="宋体" w:hAnsi="宋体" w:cs="宋体"/>
      <w:color w:val="615015"/>
      <w:kern w:val="0"/>
      <w:sz w:val="26"/>
      <w:szCs w:val="26"/>
    </w:rPr>
  </w:style>
  <w:style w:type="paragraph" w:customStyle="1" w:styleId="ih13l18">
    <w:name w:val="ih13l18"/>
    <w:basedOn w:val="a"/>
    <w:rsid w:val="00FA087C"/>
    <w:pPr>
      <w:widowControl/>
      <w:spacing w:before="100" w:beforeAutospacing="1" w:after="100" w:afterAutospacing="1" w:line="360" w:lineRule="atLeast"/>
      <w:jc w:val="left"/>
    </w:pPr>
    <w:rPr>
      <w:rFonts w:ascii="宋体" w:eastAsia="宋体" w:hAnsi="宋体" w:cs="宋体"/>
      <w:color w:val="313131"/>
      <w:kern w:val="0"/>
      <w:sz w:val="26"/>
      <w:szCs w:val="26"/>
    </w:rPr>
  </w:style>
  <w:style w:type="paragraph" w:customStyle="1" w:styleId="itime12">
    <w:name w:val="itime12"/>
    <w:basedOn w:val="a"/>
    <w:rsid w:val="00FA087C"/>
    <w:pPr>
      <w:widowControl/>
      <w:spacing w:before="100" w:beforeAutospacing="1" w:after="100" w:afterAutospacing="1"/>
      <w:jc w:val="left"/>
    </w:pPr>
    <w:rPr>
      <w:rFonts w:ascii="宋体" w:eastAsia="宋体" w:hAnsi="宋体" w:cs="宋体"/>
      <w:color w:val="6E6E6E"/>
      <w:kern w:val="0"/>
      <w:sz w:val="24"/>
      <w:szCs w:val="24"/>
    </w:rPr>
  </w:style>
  <w:style w:type="paragraph" w:customStyle="1" w:styleId="ih12">
    <w:name w:val="ih12"/>
    <w:basedOn w:val="a"/>
    <w:rsid w:val="00FA087C"/>
    <w:pPr>
      <w:widowControl/>
      <w:spacing w:before="100" w:beforeAutospacing="1" w:after="100" w:afterAutospacing="1"/>
      <w:jc w:val="left"/>
    </w:pPr>
    <w:rPr>
      <w:rFonts w:ascii="宋体" w:eastAsia="宋体" w:hAnsi="宋体" w:cs="宋体"/>
      <w:color w:val="2D2D2D"/>
      <w:kern w:val="0"/>
      <w:sz w:val="24"/>
      <w:szCs w:val="24"/>
    </w:rPr>
  </w:style>
  <w:style w:type="paragraph" w:customStyle="1" w:styleId="igreen12">
    <w:name w:val="igreen12"/>
    <w:basedOn w:val="a"/>
    <w:rsid w:val="00FA087C"/>
    <w:pPr>
      <w:widowControl/>
      <w:spacing w:before="100" w:beforeAutospacing="1" w:after="100" w:afterAutospacing="1"/>
      <w:jc w:val="left"/>
    </w:pPr>
    <w:rPr>
      <w:rFonts w:ascii="宋体" w:eastAsia="宋体" w:hAnsi="宋体" w:cs="宋体"/>
      <w:color w:val="297A17"/>
      <w:kern w:val="0"/>
      <w:sz w:val="24"/>
      <w:szCs w:val="24"/>
    </w:rPr>
  </w:style>
  <w:style w:type="paragraph" w:customStyle="1" w:styleId="ipadding1">
    <w:name w:val="ipadding1"/>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ipadding2">
    <w:name w:val="ipadding2"/>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ipadding3">
    <w:name w:val="ipadding3"/>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iw13b">
    <w:name w:val="iw13b"/>
    <w:basedOn w:val="a"/>
    <w:rsid w:val="00FA087C"/>
    <w:pPr>
      <w:widowControl/>
      <w:spacing w:before="100" w:beforeAutospacing="1" w:after="100" w:afterAutospacing="1"/>
      <w:jc w:val="left"/>
    </w:pPr>
    <w:rPr>
      <w:rFonts w:ascii="宋体" w:eastAsia="宋体" w:hAnsi="宋体" w:cs="宋体"/>
      <w:color w:val="FFFFFF"/>
      <w:kern w:val="0"/>
      <w:sz w:val="26"/>
      <w:szCs w:val="26"/>
    </w:rPr>
  </w:style>
  <w:style w:type="paragraph" w:customStyle="1" w:styleId="ih13">
    <w:name w:val="ih13"/>
    <w:basedOn w:val="a"/>
    <w:rsid w:val="00FA087C"/>
    <w:pPr>
      <w:widowControl/>
      <w:spacing w:before="100" w:beforeAutospacing="1" w:after="100" w:afterAutospacing="1"/>
      <w:jc w:val="left"/>
    </w:pPr>
    <w:rPr>
      <w:rFonts w:ascii="宋体" w:eastAsia="宋体" w:hAnsi="宋体" w:cs="宋体"/>
      <w:color w:val="212121"/>
      <w:kern w:val="0"/>
      <w:sz w:val="26"/>
      <w:szCs w:val="26"/>
    </w:rPr>
  </w:style>
  <w:style w:type="paragraph" w:customStyle="1" w:styleId="iblues13">
    <w:name w:val="iblues13"/>
    <w:basedOn w:val="a"/>
    <w:rsid w:val="00FA087C"/>
    <w:pPr>
      <w:widowControl/>
      <w:spacing w:before="100" w:beforeAutospacing="1" w:after="100" w:afterAutospacing="1"/>
      <w:jc w:val="left"/>
    </w:pPr>
    <w:rPr>
      <w:rFonts w:ascii="宋体" w:eastAsia="宋体" w:hAnsi="宋体" w:cs="宋体"/>
      <w:color w:val="174B8B"/>
      <w:kern w:val="0"/>
      <w:sz w:val="26"/>
      <w:szCs w:val="26"/>
    </w:rPr>
  </w:style>
  <w:style w:type="paragraph" w:customStyle="1" w:styleId="ikqsc1">
    <w:name w:val="ikqsc1"/>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itdscgreen">
    <w:name w:val="itdscgreen"/>
    <w:basedOn w:val="a"/>
    <w:rsid w:val="00FA087C"/>
    <w:pPr>
      <w:widowControl/>
      <w:spacing w:before="100" w:beforeAutospacing="1" w:after="100" w:afterAutospacing="1"/>
      <w:jc w:val="left"/>
    </w:pPr>
    <w:rPr>
      <w:rFonts w:ascii="宋体" w:eastAsia="宋体" w:hAnsi="宋体" w:cs="宋体"/>
      <w:color w:val="B0B0B0"/>
      <w:kern w:val="0"/>
      <w:sz w:val="26"/>
      <w:szCs w:val="26"/>
    </w:rPr>
  </w:style>
  <w:style w:type="paragraph" w:customStyle="1" w:styleId="ihych">
    <w:name w:val="ihych"/>
    <w:basedOn w:val="a"/>
    <w:rsid w:val="00FA087C"/>
    <w:pPr>
      <w:widowControl/>
      <w:spacing w:before="100" w:beforeAutospacing="1" w:after="100" w:afterAutospacing="1"/>
      <w:jc w:val="left"/>
    </w:pPr>
    <w:rPr>
      <w:rFonts w:ascii="宋体" w:eastAsia="宋体" w:hAnsi="宋体" w:cs="宋体"/>
      <w:color w:val="333333"/>
      <w:kern w:val="0"/>
      <w:sz w:val="26"/>
      <w:szCs w:val="26"/>
    </w:rPr>
  </w:style>
  <w:style w:type="paragraph" w:customStyle="1" w:styleId="iblue12">
    <w:name w:val="iblue12"/>
    <w:basedOn w:val="a"/>
    <w:rsid w:val="00FA087C"/>
    <w:pPr>
      <w:widowControl/>
      <w:spacing w:before="100" w:beforeAutospacing="1" w:after="100" w:afterAutospacing="1"/>
      <w:jc w:val="left"/>
    </w:pPr>
    <w:rPr>
      <w:rFonts w:ascii="宋体" w:eastAsia="宋体" w:hAnsi="宋体" w:cs="宋体"/>
      <w:color w:val="075CA4"/>
      <w:kern w:val="0"/>
      <w:sz w:val="24"/>
      <w:szCs w:val="24"/>
    </w:rPr>
  </w:style>
  <w:style w:type="paragraph" w:customStyle="1" w:styleId="blue12">
    <w:name w:val="blue12"/>
    <w:basedOn w:val="a"/>
    <w:rsid w:val="00FA087C"/>
    <w:pPr>
      <w:widowControl/>
      <w:spacing w:before="100" w:beforeAutospacing="1" w:after="100" w:afterAutospacing="1"/>
      <w:jc w:val="left"/>
    </w:pPr>
    <w:rPr>
      <w:rFonts w:ascii="宋体" w:eastAsia="宋体" w:hAnsi="宋体" w:cs="宋体"/>
      <w:color w:val="075CA4"/>
      <w:kern w:val="0"/>
      <w:sz w:val="24"/>
      <w:szCs w:val="24"/>
    </w:rPr>
  </w:style>
  <w:style w:type="paragraph" w:customStyle="1" w:styleId="floatl">
    <w:name w:val="floatl"/>
    <w:basedOn w:val="a"/>
    <w:rsid w:val="00FA087C"/>
    <w:pPr>
      <w:widowControl/>
      <w:spacing w:before="20"/>
      <w:ind w:left="100" w:right="80"/>
      <w:jc w:val="left"/>
    </w:pPr>
    <w:rPr>
      <w:rFonts w:ascii="宋体" w:eastAsia="宋体" w:hAnsi="宋体" w:cs="宋体"/>
      <w:kern w:val="0"/>
      <w:sz w:val="24"/>
      <w:szCs w:val="24"/>
    </w:rPr>
  </w:style>
  <w:style w:type="paragraph" w:customStyle="1" w:styleId="ibl1">
    <w:name w:val="ibl1"/>
    <w:basedOn w:val="a"/>
    <w:rsid w:val="00FA087C"/>
    <w:pPr>
      <w:widowControl/>
      <w:spacing w:before="100" w:beforeAutospacing="1" w:after="100" w:afterAutospacing="1"/>
      <w:jc w:val="left"/>
    </w:pPr>
    <w:rPr>
      <w:rFonts w:ascii="宋体" w:eastAsia="宋体" w:hAnsi="宋体" w:cs="宋体"/>
      <w:color w:val="04399B"/>
      <w:spacing w:val="20"/>
      <w:kern w:val="0"/>
      <w:sz w:val="24"/>
      <w:szCs w:val="24"/>
    </w:rPr>
  </w:style>
  <w:style w:type="paragraph" w:customStyle="1" w:styleId="ilinks">
    <w:name w:val="ilinks"/>
    <w:basedOn w:val="a"/>
    <w:rsid w:val="00FA087C"/>
    <w:pPr>
      <w:widowControl/>
      <w:spacing w:before="100" w:beforeAutospacing="1" w:after="100" w:afterAutospacing="1"/>
      <w:jc w:val="left"/>
    </w:pPr>
    <w:rPr>
      <w:rFonts w:ascii="宋体" w:eastAsia="宋体" w:hAnsi="宋体" w:cs="宋体"/>
      <w:b/>
      <w:bCs/>
      <w:color w:val="FFFFFF"/>
      <w:kern w:val="0"/>
      <w:sz w:val="24"/>
      <w:szCs w:val="24"/>
    </w:rPr>
  </w:style>
  <w:style w:type="paragraph" w:customStyle="1" w:styleId="ilinkdiv">
    <w:name w:val="ilinkdiv"/>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location">
    <w:name w:val="location"/>
    <w:basedOn w:val="a"/>
    <w:rsid w:val="00FA087C"/>
    <w:pPr>
      <w:widowControl/>
      <w:spacing w:before="100" w:beforeAutospacing="1" w:after="100" w:afterAutospacing="1"/>
      <w:jc w:val="left"/>
    </w:pPr>
    <w:rPr>
      <w:rFonts w:ascii="宋体" w:eastAsia="宋体" w:hAnsi="宋体" w:cs="宋体"/>
      <w:color w:val="003366"/>
      <w:kern w:val="0"/>
      <w:sz w:val="24"/>
      <w:szCs w:val="24"/>
    </w:rPr>
  </w:style>
  <w:style w:type="paragraph" w:customStyle="1" w:styleId="page">
    <w:name w:val="page"/>
    <w:basedOn w:val="a"/>
    <w:rsid w:val="00FA087C"/>
    <w:pPr>
      <w:widowControl/>
      <w:spacing w:before="100" w:beforeAutospacing="1" w:after="100" w:afterAutospacing="1"/>
      <w:jc w:val="left"/>
    </w:pPr>
    <w:rPr>
      <w:rFonts w:ascii="宋体" w:eastAsia="宋体" w:hAnsi="宋体" w:cs="宋体"/>
      <w:color w:val="184B7A"/>
      <w:kern w:val="0"/>
      <w:sz w:val="28"/>
      <w:szCs w:val="28"/>
    </w:rPr>
  </w:style>
  <w:style w:type="paragraph" w:customStyle="1" w:styleId="zwtitle">
    <w:name w:val="zw_title"/>
    <w:basedOn w:val="a"/>
    <w:rsid w:val="00FA087C"/>
    <w:pPr>
      <w:widowControl/>
      <w:spacing w:before="100" w:beforeAutospacing="1" w:after="100" w:afterAutospacing="1" w:line="360" w:lineRule="auto"/>
      <w:jc w:val="left"/>
    </w:pPr>
    <w:rPr>
      <w:rFonts w:ascii="宋体" w:eastAsia="宋体" w:hAnsi="宋体" w:cs="宋体"/>
      <w:b/>
      <w:bCs/>
      <w:color w:val="333333"/>
      <w:kern w:val="0"/>
      <w:sz w:val="46"/>
      <w:szCs w:val="46"/>
    </w:rPr>
  </w:style>
  <w:style w:type="paragraph" w:customStyle="1" w:styleId="zwftitle">
    <w:name w:val="zwf_title"/>
    <w:basedOn w:val="a"/>
    <w:rsid w:val="00FA087C"/>
    <w:pPr>
      <w:widowControl/>
      <w:spacing w:before="100" w:beforeAutospacing="1" w:after="100" w:afterAutospacing="1" w:line="460" w:lineRule="atLeast"/>
      <w:jc w:val="left"/>
    </w:pPr>
    <w:rPr>
      <w:rFonts w:ascii="宋体" w:eastAsia="宋体" w:hAnsi="宋体" w:cs="宋体"/>
      <w:b/>
      <w:bCs/>
      <w:color w:val="666666"/>
      <w:kern w:val="0"/>
      <w:sz w:val="32"/>
      <w:szCs w:val="32"/>
    </w:rPr>
  </w:style>
  <w:style w:type="paragraph" w:customStyle="1" w:styleId="gray12">
    <w:name w:val="gray12"/>
    <w:basedOn w:val="a"/>
    <w:rsid w:val="00FA087C"/>
    <w:pPr>
      <w:widowControl/>
      <w:spacing w:before="100" w:beforeAutospacing="1" w:after="100" w:afterAutospacing="1"/>
      <w:jc w:val="left"/>
    </w:pPr>
    <w:rPr>
      <w:rFonts w:ascii="宋体" w:eastAsia="宋体" w:hAnsi="宋体" w:cs="宋体"/>
      <w:color w:val="888888"/>
      <w:kern w:val="0"/>
      <w:sz w:val="24"/>
      <w:szCs w:val="24"/>
    </w:rPr>
  </w:style>
  <w:style w:type="paragraph" w:customStyle="1" w:styleId="zwgkmenu">
    <w:name w:val="zwgkmenu"/>
    <w:basedOn w:val="a"/>
    <w:rsid w:val="00FA087C"/>
    <w:pPr>
      <w:widowControl/>
      <w:spacing w:before="100" w:beforeAutospacing="1" w:after="100" w:afterAutospacing="1"/>
      <w:jc w:val="left"/>
    </w:pPr>
    <w:rPr>
      <w:rFonts w:ascii="宋体" w:eastAsia="宋体" w:hAnsi="宋体" w:cs="宋体"/>
      <w:color w:val="003366"/>
      <w:kern w:val="0"/>
      <w:sz w:val="26"/>
      <w:szCs w:val="26"/>
    </w:rPr>
  </w:style>
  <w:style w:type="paragraph" w:customStyle="1" w:styleId="link1">
    <w:name w:val="link1"/>
    <w:basedOn w:val="a"/>
    <w:rsid w:val="00FA087C"/>
    <w:pPr>
      <w:widowControl/>
      <w:spacing w:before="100" w:beforeAutospacing="1" w:after="100" w:afterAutospacing="1" w:line="360" w:lineRule="atLeast"/>
      <w:jc w:val="left"/>
    </w:pPr>
    <w:rPr>
      <w:rFonts w:ascii="宋体" w:eastAsia="宋体" w:hAnsi="宋体" w:cs="宋体"/>
      <w:color w:val="003366"/>
      <w:kern w:val="0"/>
      <w:sz w:val="24"/>
      <w:szCs w:val="24"/>
    </w:rPr>
  </w:style>
  <w:style w:type="paragraph" w:customStyle="1" w:styleId="link2">
    <w:name w:val="link2"/>
    <w:basedOn w:val="a"/>
    <w:rsid w:val="00FA087C"/>
    <w:pPr>
      <w:widowControl/>
      <w:spacing w:before="100" w:beforeAutospacing="1" w:after="100" w:afterAutospacing="1"/>
      <w:jc w:val="left"/>
    </w:pPr>
    <w:rPr>
      <w:rFonts w:ascii="宋体" w:eastAsia="宋体" w:hAnsi="宋体" w:cs="宋体"/>
      <w:color w:val="003399"/>
      <w:kern w:val="0"/>
      <w:sz w:val="28"/>
      <w:szCs w:val="28"/>
    </w:rPr>
  </w:style>
  <w:style w:type="paragraph" w:customStyle="1" w:styleId="title01">
    <w:name w:val="title01"/>
    <w:basedOn w:val="a"/>
    <w:rsid w:val="00FA087C"/>
    <w:pPr>
      <w:widowControl/>
      <w:spacing w:before="100" w:beforeAutospacing="1" w:after="100" w:afterAutospacing="1"/>
      <w:jc w:val="left"/>
    </w:pPr>
    <w:rPr>
      <w:rFonts w:ascii="宋体" w:eastAsia="宋体" w:hAnsi="宋体" w:cs="宋体"/>
      <w:color w:val="003399"/>
      <w:kern w:val="0"/>
      <w:sz w:val="28"/>
      <w:szCs w:val="28"/>
    </w:rPr>
  </w:style>
  <w:style w:type="paragraph" w:customStyle="1" w:styleId="title02">
    <w:name w:val="title02"/>
    <w:basedOn w:val="a"/>
    <w:rsid w:val="00FA087C"/>
    <w:pPr>
      <w:widowControl/>
      <w:spacing w:before="100" w:beforeAutospacing="1" w:after="100" w:afterAutospacing="1"/>
      <w:jc w:val="left"/>
    </w:pPr>
    <w:rPr>
      <w:rFonts w:ascii="宋体" w:eastAsia="宋体" w:hAnsi="宋体" w:cs="宋体"/>
      <w:color w:val="993300"/>
      <w:kern w:val="0"/>
      <w:sz w:val="28"/>
      <w:szCs w:val="28"/>
    </w:rPr>
  </w:style>
  <w:style w:type="paragraph" w:customStyle="1" w:styleId="title03">
    <w:name w:val="title03"/>
    <w:basedOn w:val="a"/>
    <w:rsid w:val="00FA087C"/>
    <w:pPr>
      <w:widowControl/>
      <w:spacing w:before="100" w:beforeAutospacing="1" w:after="100" w:afterAutospacing="1"/>
      <w:jc w:val="left"/>
    </w:pPr>
    <w:rPr>
      <w:rFonts w:ascii="宋体" w:eastAsia="宋体" w:hAnsi="宋体" w:cs="宋体"/>
      <w:color w:val="CC0000"/>
      <w:kern w:val="0"/>
      <w:sz w:val="28"/>
      <w:szCs w:val="28"/>
    </w:rPr>
  </w:style>
  <w:style w:type="paragraph" w:customStyle="1" w:styleId="link6">
    <w:name w:val="link6"/>
    <w:basedOn w:val="a"/>
    <w:rsid w:val="00FA087C"/>
    <w:pPr>
      <w:widowControl/>
      <w:spacing w:before="100" w:beforeAutospacing="1" w:after="100" w:afterAutospacing="1"/>
      <w:jc w:val="left"/>
    </w:pPr>
    <w:rPr>
      <w:rFonts w:ascii="宋体" w:eastAsia="宋体" w:hAnsi="宋体" w:cs="宋体"/>
      <w:color w:val="990000"/>
      <w:kern w:val="0"/>
      <w:sz w:val="24"/>
      <w:szCs w:val="24"/>
    </w:rPr>
  </w:style>
  <w:style w:type="paragraph" w:customStyle="1" w:styleId="link7">
    <w:name w:val="link7"/>
    <w:basedOn w:val="a"/>
    <w:rsid w:val="00FA087C"/>
    <w:pPr>
      <w:widowControl/>
      <w:spacing w:before="100" w:beforeAutospacing="1" w:after="100" w:afterAutospacing="1" w:line="360" w:lineRule="atLeast"/>
      <w:jc w:val="left"/>
    </w:pPr>
    <w:rPr>
      <w:rFonts w:ascii="宋体" w:eastAsia="宋体" w:hAnsi="宋体" w:cs="宋体"/>
      <w:color w:val="666666"/>
      <w:kern w:val="0"/>
      <w:sz w:val="24"/>
      <w:szCs w:val="24"/>
    </w:rPr>
  </w:style>
  <w:style w:type="paragraph" w:customStyle="1" w:styleId="link8">
    <w:name w:val="link8"/>
    <w:basedOn w:val="a"/>
    <w:rsid w:val="00FA087C"/>
    <w:pPr>
      <w:widowControl/>
      <w:spacing w:before="100" w:beforeAutospacing="1" w:after="100" w:afterAutospacing="1" w:line="360" w:lineRule="atLeast"/>
      <w:jc w:val="left"/>
    </w:pPr>
    <w:rPr>
      <w:rFonts w:ascii="宋体" w:eastAsia="宋体" w:hAnsi="宋体" w:cs="宋体"/>
      <w:color w:val="666666"/>
      <w:kern w:val="0"/>
      <w:sz w:val="24"/>
      <w:szCs w:val="24"/>
    </w:rPr>
  </w:style>
  <w:style w:type="paragraph" w:customStyle="1" w:styleId="zwgkldzcleftmenu1">
    <w:name w:val="zwgk_ldzc_leftmenu1"/>
    <w:basedOn w:val="a"/>
    <w:rsid w:val="00FA087C"/>
    <w:pPr>
      <w:widowControl/>
      <w:spacing w:before="100" w:beforeAutospacing="1" w:after="100" w:afterAutospacing="1" w:line="440" w:lineRule="atLeast"/>
      <w:jc w:val="left"/>
    </w:pPr>
    <w:rPr>
      <w:rFonts w:ascii="宋体" w:eastAsia="宋体" w:hAnsi="宋体" w:cs="宋体"/>
      <w:b/>
      <w:bCs/>
      <w:color w:val="CC0000"/>
      <w:kern w:val="0"/>
      <w:sz w:val="28"/>
      <w:szCs w:val="28"/>
    </w:rPr>
  </w:style>
  <w:style w:type="paragraph" w:customStyle="1" w:styleId="ldzcname">
    <w:name w:val="ldzc_name"/>
    <w:basedOn w:val="a"/>
    <w:rsid w:val="00FA087C"/>
    <w:pPr>
      <w:widowControl/>
      <w:spacing w:before="100" w:beforeAutospacing="1" w:after="100" w:afterAutospacing="1"/>
      <w:jc w:val="left"/>
    </w:pPr>
    <w:rPr>
      <w:rFonts w:ascii="宋体" w:eastAsia="宋体" w:hAnsi="宋体" w:cs="宋体"/>
      <w:b/>
      <w:bCs/>
      <w:color w:val="CC0000"/>
      <w:kern w:val="0"/>
      <w:sz w:val="36"/>
      <w:szCs w:val="36"/>
    </w:rPr>
  </w:style>
  <w:style w:type="paragraph" w:customStyle="1" w:styleId="bord3b1">
    <w:name w:val="bord3b1"/>
    <w:basedOn w:val="a"/>
    <w:rsid w:val="00FA087C"/>
    <w:pPr>
      <w:widowControl/>
      <w:pBdr>
        <w:left w:val="single" w:sz="8" w:space="0" w:color="D2E2E7"/>
        <w:bottom w:val="single" w:sz="8" w:space="0" w:color="D2E2E7"/>
        <w:right w:val="single" w:sz="8" w:space="0" w:color="D2E2E7"/>
      </w:pBdr>
      <w:spacing w:before="100" w:beforeAutospacing="1" w:after="100" w:afterAutospacing="1"/>
      <w:jc w:val="left"/>
    </w:pPr>
    <w:rPr>
      <w:rFonts w:ascii="宋体" w:eastAsia="宋体" w:hAnsi="宋体" w:cs="宋体"/>
      <w:kern w:val="0"/>
      <w:sz w:val="24"/>
      <w:szCs w:val="24"/>
    </w:rPr>
  </w:style>
  <w:style w:type="paragraph" w:customStyle="1" w:styleId="bord2b">
    <w:name w:val="bord2b"/>
    <w:basedOn w:val="a"/>
    <w:rsid w:val="00FA087C"/>
    <w:pPr>
      <w:widowControl/>
      <w:pBdr>
        <w:bottom w:val="single" w:sz="8" w:space="0" w:color="D2E2E7"/>
        <w:right w:val="single" w:sz="8" w:space="0" w:color="D2E2E7"/>
      </w:pBdr>
      <w:spacing w:before="100" w:beforeAutospacing="1" w:after="100" w:afterAutospacing="1"/>
      <w:jc w:val="left"/>
    </w:pPr>
    <w:rPr>
      <w:rFonts w:ascii="宋体" w:eastAsia="宋体" w:hAnsi="宋体" w:cs="宋体"/>
      <w:kern w:val="0"/>
      <w:sz w:val="24"/>
      <w:szCs w:val="24"/>
    </w:rPr>
  </w:style>
  <w:style w:type="paragraph" w:customStyle="1" w:styleId="bord4b">
    <w:name w:val="bord4b"/>
    <w:basedOn w:val="a"/>
    <w:rsid w:val="00FA087C"/>
    <w:pPr>
      <w:widowControl/>
      <w:pBdr>
        <w:top w:val="single" w:sz="8" w:space="0" w:color="D2E8F7"/>
        <w:left w:val="single" w:sz="8" w:space="0" w:color="D2E8F7"/>
        <w:bottom w:val="single" w:sz="8" w:space="0" w:color="D2E8F7"/>
        <w:right w:val="single" w:sz="8" w:space="0" w:color="D2E8F7"/>
      </w:pBdr>
      <w:spacing w:before="100" w:beforeAutospacing="1" w:after="100" w:afterAutospacing="1"/>
      <w:jc w:val="left"/>
    </w:pPr>
    <w:rPr>
      <w:rFonts w:ascii="宋体" w:eastAsia="宋体" w:hAnsi="宋体" w:cs="宋体"/>
      <w:kern w:val="0"/>
      <w:sz w:val="24"/>
      <w:szCs w:val="24"/>
    </w:rPr>
  </w:style>
  <w:style w:type="paragraph" w:customStyle="1" w:styleId="flfgbord">
    <w:name w:val="flfg_bord"/>
    <w:basedOn w:val="a"/>
    <w:rsid w:val="00FA087C"/>
    <w:pPr>
      <w:widowControl/>
      <w:pBdr>
        <w:top w:val="single" w:sz="8" w:space="0" w:color="E3F1FB"/>
        <w:left w:val="single" w:sz="8" w:space="0" w:color="E3F1FB"/>
        <w:bottom w:val="single" w:sz="8" w:space="0" w:color="E3F1FB"/>
        <w:right w:val="single" w:sz="8" w:space="0" w:color="E3F1FB"/>
      </w:pBdr>
      <w:spacing w:before="100" w:beforeAutospacing="1" w:after="100" w:afterAutospacing="1"/>
      <w:jc w:val="left"/>
    </w:pPr>
    <w:rPr>
      <w:rFonts w:ascii="宋体" w:eastAsia="宋体" w:hAnsi="宋体" w:cs="宋体"/>
      <w:kern w:val="0"/>
      <w:sz w:val="24"/>
      <w:szCs w:val="24"/>
    </w:rPr>
  </w:style>
  <w:style w:type="paragraph" w:customStyle="1" w:styleId="flfgbord1">
    <w:name w:val="flfg_bord1"/>
    <w:basedOn w:val="a"/>
    <w:rsid w:val="00FA087C"/>
    <w:pPr>
      <w:widowControl/>
      <w:pBdr>
        <w:bottom w:val="single" w:sz="8" w:space="0" w:color="E3F1FB"/>
        <w:right w:val="single" w:sz="8" w:space="0" w:color="E3F1FB"/>
      </w:pBdr>
      <w:spacing w:before="100" w:beforeAutospacing="1" w:after="100" w:afterAutospacing="1"/>
      <w:jc w:val="left"/>
    </w:pPr>
    <w:rPr>
      <w:rFonts w:ascii="宋体" w:eastAsia="宋体" w:hAnsi="宋体" w:cs="宋体"/>
      <w:kern w:val="0"/>
      <w:sz w:val="24"/>
      <w:szCs w:val="24"/>
    </w:rPr>
  </w:style>
  <w:style w:type="paragraph" w:customStyle="1" w:styleId="flfgbord2">
    <w:name w:val="flfg_bord2"/>
    <w:basedOn w:val="a"/>
    <w:rsid w:val="00FA087C"/>
    <w:pPr>
      <w:widowControl/>
      <w:pBdr>
        <w:bottom w:val="single" w:sz="8" w:space="0" w:color="E3F1FB"/>
      </w:pBdr>
      <w:spacing w:before="100" w:beforeAutospacing="1" w:after="100" w:afterAutospacing="1"/>
      <w:jc w:val="left"/>
    </w:pPr>
    <w:rPr>
      <w:rFonts w:ascii="宋体" w:eastAsia="宋体" w:hAnsi="宋体" w:cs="宋体"/>
      <w:kern w:val="0"/>
      <w:sz w:val="24"/>
      <w:szCs w:val="24"/>
    </w:rPr>
  </w:style>
  <w:style w:type="paragraph" w:customStyle="1" w:styleId="flfgbord3">
    <w:name w:val="flfg_bord3"/>
    <w:basedOn w:val="a"/>
    <w:rsid w:val="00FA087C"/>
    <w:pPr>
      <w:widowControl/>
      <w:pBdr>
        <w:right w:val="single" w:sz="8" w:space="0" w:color="E3F1FB"/>
      </w:pBdr>
      <w:spacing w:before="100" w:beforeAutospacing="1" w:after="100" w:afterAutospacing="1"/>
      <w:jc w:val="left"/>
    </w:pPr>
    <w:rPr>
      <w:rFonts w:ascii="宋体" w:eastAsia="宋体" w:hAnsi="宋体" w:cs="宋体"/>
      <w:kern w:val="0"/>
      <w:sz w:val="24"/>
      <w:szCs w:val="24"/>
    </w:rPr>
  </w:style>
  <w:style w:type="paragraph" w:customStyle="1" w:styleId="flfglink1">
    <w:name w:val="flfg_link1"/>
    <w:basedOn w:val="a"/>
    <w:rsid w:val="00FA087C"/>
    <w:pPr>
      <w:widowControl/>
      <w:spacing w:before="100" w:beforeAutospacing="1" w:after="100" w:afterAutospacing="1" w:line="360" w:lineRule="atLeast"/>
      <w:jc w:val="left"/>
    </w:pPr>
    <w:rPr>
      <w:rFonts w:ascii="宋体" w:eastAsia="宋体" w:hAnsi="宋体" w:cs="宋体"/>
      <w:color w:val="0066FF"/>
      <w:kern w:val="0"/>
      <w:sz w:val="28"/>
      <w:szCs w:val="28"/>
    </w:rPr>
  </w:style>
  <w:style w:type="paragraph" w:customStyle="1" w:styleId="flfglink2">
    <w:name w:val="flfg_link2"/>
    <w:basedOn w:val="a"/>
    <w:rsid w:val="00FA087C"/>
    <w:pPr>
      <w:widowControl/>
      <w:spacing w:before="100" w:beforeAutospacing="1" w:after="100" w:afterAutospacing="1" w:line="360" w:lineRule="atLeast"/>
      <w:jc w:val="left"/>
    </w:pPr>
    <w:rPr>
      <w:rFonts w:ascii="宋体" w:eastAsia="宋体" w:hAnsi="宋体" w:cs="宋体"/>
      <w:color w:val="CC0000"/>
      <w:kern w:val="0"/>
      <w:sz w:val="28"/>
      <w:szCs w:val="28"/>
    </w:rPr>
  </w:style>
  <w:style w:type="paragraph" w:customStyle="1" w:styleId="flfgfont12">
    <w:name w:val="flfg_font12"/>
    <w:basedOn w:val="a"/>
    <w:rsid w:val="00FA087C"/>
    <w:pPr>
      <w:widowControl/>
      <w:spacing w:before="100" w:beforeAutospacing="1" w:after="100" w:afterAutospacing="1" w:line="360" w:lineRule="atLeast"/>
      <w:jc w:val="left"/>
    </w:pPr>
    <w:rPr>
      <w:rFonts w:ascii="宋体" w:eastAsia="宋体" w:hAnsi="宋体" w:cs="宋体"/>
      <w:color w:val="333333"/>
      <w:kern w:val="0"/>
      <w:sz w:val="24"/>
      <w:szCs w:val="24"/>
    </w:rPr>
  </w:style>
  <w:style w:type="paragraph" w:customStyle="1" w:styleId="newsbord">
    <w:name w:val="news_bord"/>
    <w:basedOn w:val="a"/>
    <w:rsid w:val="00FA087C"/>
    <w:pPr>
      <w:widowControl/>
      <w:pBdr>
        <w:right w:val="single" w:sz="8" w:space="0" w:color="CDDDEA"/>
      </w:pBdr>
      <w:spacing w:before="100" w:beforeAutospacing="1" w:after="100" w:afterAutospacing="1"/>
      <w:jc w:val="left"/>
    </w:pPr>
    <w:rPr>
      <w:rFonts w:ascii="宋体" w:eastAsia="宋体" w:hAnsi="宋体" w:cs="宋体"/>
      <w:kern w:val="0"/>
      <w:sz w:val="24"/>
      <w:szCs w:val="24"/>
    </w:rPr>
  </w:style>
  <w:style w:type="paragraph" w:customStyle="1" w:styleId="xwdtimgbord4b">
    <w:name w:val="xwdt_img_bord4b"/>
    <w:basedOn w:val="a"/>
    <w:rsid w:val="00FA087C"/>
    <w:pPr>
      <w:widowControl/>
      <w:pBdr>
        <w:top w:val="single" w:sz="8" w:space="0" w:color="CCCCCC"/>
        <w:left w:val="single" w:sz="8" w:space="0" w:color="CCCCCC"/>
        <w:bottom w:val="single" w:sz="8" w:space="0" w:color="CCCCCC"/>
        <w:right w:val="single" w:sz="8" w:space="0" w:color="CCCCCC"/>
      </w:pBdr>
      <w:spacing w:before="100" w:beforeAutospacing="1" w:after="100" w:afterAutospacing="1"/>
      <w:jc w:val="left"/>
    </w:pPr>
    <w:rPr>
      <w:rFonts w:ascii="宋体" w:eastAsia="宋体" w:hAnsi="宋体" w:cs="宋体"/>
      <w:kern w:val="0"/>
      <w:sz w:val="24"/>
      <w:szCs w:val="24"/>
    </w:rPr>
  </w:style>
  <w:style w:type="paragraph" w:customStyle="1" w:styleId="zmhdbord3b">
    <w:name w:val="zmhd_bord3b"/>
    <w:basedOn w:val="a"/>
    <w:rsid w:val="00FA087C"/>
    <w:pPr>
      <w:widowControl/>
      <w:pBdr>
        <w:top w:val="single" w:sz="8" w:space="0" w:color="CFD9DE"/>
        <w:left w:val="single" w:sz="8" w:space="0" w:color="CFD9DE"/>
        <w:right w:val="single" w:sz="8" w:space="0" w:color="CFD9DE"/>
      </w:pBdr>
      <w:spacing w:before="100" w:beforeAutospacing="1" w:after="100" w:afterAutospacing="1"/>
      <w:jc w:val="left"/>
    </w:pPr>
    <w:rPr>
      <w:rFonts w:ascii="宋体" w:eastAsia="宋体" w:hAnsi="宋体" w:cs="宋体"/>
      <w:kern w:val="0"/>
      <w:sz w:val="24"/>
      <w:szCs w:val="24"/>
    </w:rPr>
  </w:style>
  <w:style w:type="paragraph" w:customStyle="1" w:styleId="zmhdbord1">
    <w:name w:val="zmhd_bord1"/>
    <w:basedOn w:val="a"/>
    <w:rsid w:val="00FA087C"/>
    <w:pPr>
      <w:widowControl/>
      <w:pBdr>
        <w:top w:val="single" w:sz="8" w:space="0" w:color="CFD9DE"/>
        <w:left w:val="single" w:sz="8" w:space="0" w:color="CFD9DE"/>
        <w:bottom w:val="single" w:sz="8" w:space="0" w:color="CFD9DE"/>
        <w:right w:val="single" w:sz="8" w:space="0" w:color="CFD9DE"/>
      </w:pBdr>
      <w:spacing w:before="100" w:beforeAutospacing="1" w:after="100" w:afterAutospacing="1"/>
      <w:jc w:val="left"/>
    </w:pPr>
    <w:rPr>
      <w:rFonts w:ascii="宋体" w:eastAsia="宋体" w:hAnsi="宋体" w:cs="宋体"/>
      <w:kern w:val="0"/>
      <w:sz w:val="24"/>
      <w:szCs w:val="24"/>
    </w:rPr>
  </w:style>
  <w:style w:type="paragraph" w:customStyle="1" w:styleId="zmhdfff">
    <w:name w:val="zmhd_fff"/>
    <w:basedOn w:val="a"/>
    <w:rsid w:val="00FA087C"/>
    <w:pPr>
      <w:widowControl/>
      <w:spacing w:before="100" w:beforeAutospacing="1" w:after="100" w:afterAutospacing="1"/>
      <w:jc w:val="left"/>
    </w:pPr>
    <w:rPr>
      <w:rFonts w:ascii="宋体" w:eastAsia="宋体" w:hAnsi="宋体" w:cs="宋体"/>
      <w:color w:val="FFFFFF"/>
      <w:kern w:val="0"/>
      <w:sz w:val="24"/>
      <w:szCs w:val="24"/>
    </w:rPr>
  </w:style>
  <w:style w:type="paragraph" w:customStyle="1" w:styleId="btn2">
    <w:name w:val="btn2"/>
    <w:basedOn w:val="a"/>
    <w:rsid w:val="00FA087C"/>
    <w:pPr>
      <w:widowControl/>
      <w:shd w:val="clear" w:color="auto" w:fill="ECE9D8"/>
      <w:spacing w:before="100" w:beforeAutospacing="1" w:after="100" w:afterAutospacing="1"/>
      <w:jc w:val="left"/>
    </w:pPr>
    <w:rPr>
      <w:rFonts w:ascii="宋体" w:eastAsia="宋体" w:hAnsi="宋体" w:cs="宋体"/>
      <w:kern w:val="0"/>
      <w:sz w:val="24"/>
      <w:szCs w:val="24"/>
    </w:rPr>
  </w:style>
  <w:style w:type="paragraph" w:customStyle="1" w:styleId="jgdjmenu">
    <w:name w:val="jgdjmenu"/>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xxhtop">
    <w:name w:val="xxhtop"/>
    <w:basedOn w:val="a"/>
    <w:rsid w:val="00FA087C"/>
    <w:pPr>
      <w:widowControl/>
      <w:spacing w:before="100" w:beforeAutospacing="1" w:after="100" w:afterAutospacing="1"/>
      <w:jc w:val="left"/>
    </w:pPr>
    <w:rPr>
      <w:rFonts w:ascii="宋体" w:eastAsia="宋体" w:hAnsi="宋体" w:cs="宋体"/>
      <w:color w:val="0269AB"/>
      <w:kern w:val="0"/>
      <w:sz w:val="24"/>
      <w:szCs w:val="24"/>
    </w:rPr>
  </w:style>
  <w:style w:type="paragraph" w:customStyle="1" w:styleId="xxhmore12">
    <w:name w:val="xxhmore12"/>
    <w:basedOn w:val="a"/>
    <w:rsid w:val="00FA087C"/>
    <w:pPr>
      <w:widowControl/>
      <w:spacing w:before="100" w:beforeAutospacing="1" w:after="100" w:afterAutospacing="1"/>
      <w:jc w:val="left"/>
    </w:pPr>
    <w:rPr>
      <w:rFonts w:ascii="宋体" w:eastAsia="宋体" w:hAnsi="宋体" w:cs="宋体"/>
      <w:color w:val="4A4A4A"/>
      <w:kern w:val="0"/>
      <w:sz w:val="24"/>
      <w:szCs w:val="24"/>
    </w:rPr>
  </w:style>
  <w:style w:type="paragraph" w:customStyle="1" w:styleId="xxhw12">
    <w:name w:val="xxhw12"/>
    <w:basedOn w:val="a"/>
    <w:rsid w:val="00FA087C"/>
    <w:pPr>
      <w:widowControl/>
      <w:spacing w:before="100" w:beforeAutospacing="1" w:after="100" w:afterAutospacing="1"/>
      <w:jc w:val="left"/>
    </w:pPr>
    <w:rPr>
      <w:rFonts w:ascii="宋体" w:eastAsia="宋体" w:hAnsi="宋体" w:cs="宋体"/>
      <w:color w:val="FFFFFF"/>
      <w:kern w:val="0"/>
      <w:sz w:val="24"/>
      <w:szCs w:val="24"/>
    </w:rPr>
  </w:style>
  <w:style w:type="paragraph" w:customStyle="1" w:styleId="xxhblue14">
    <w:name w:val="xxhblue14"/>
    <w:basedOn w:val="a"/>
    <w:rsid w:val="00FA087C"/>
    <w:pPr>
      <w:widowControl/>
      <w:spacing w:before="100" w:beforeAutospacing="1" w:after="100" w:afterAutospacing="1"/>
      <w:jc w:val="left"/>
    </w:pPr>
    <w:rPr>
      <w:rFonts w:ascii="宋体" w:eastAsia="宋体" w:hAnsi="宋体" w:cs="宋体"/>
      <w:color w:val="004D9C"/>
      <w:kern w:val="0"/>
      <w:sz w:val="28"/>
      <w:szCs w:val="28"/>
    </w:rPr>
  </w:style>
  <w:style w:type="paragraph" w:customStyle="1" w:styleId="kyqsctop">
    <w:name w:val="kyqsctop"/>
    <w:basedOn w:val="a"/>
    <w:rsid w:val="00FA087C"/>
    <w:pPr>
      <w:widowControl/>
      <w:spacing w:before="100" w:beforeAutospacing="1" w:after="100" w:afterAutospacing="1"/>
      <w:jc w:val="left"/>
    </w:pPr>
    <w:rPr>
      <w:rFonts w:ascii="宋体" w:eastAsia="宋体" w:hAnsi="宋体" w:cs="宋体"/>
      <w:color w:val="1949B6"/>
      <w:kern w:val="0"/>
      <w:sz w:val="24"/>
      <w:szCs w:val="24"/>
    </w:rPr>
  </w:style>
  <w:style w:type="paragraph" w:customStyle="1" w:styleId="kyqscblue14b">
    <w:name w:val="kyqscblue14b"/>
    <w:basedOn w:val="a"/>
    <w:rsid w:val="00FA087C"/>
    <w:pPr>
      <w:widowControl/>
      <w:spacing w:before="100" w:beforeAutospacing="1" w:after="100" w:afterAutospacing="1"/>
      <w:jc w:val="left"/>
    </w:pPr>
    <w:rPr>
      <w:rFonts w:ascii="宋体" w:eastAsia="宋体" w:hAnsi="宋体" w:cs="宋体"/>
      <w:b/>
      <w:bCs/>
      <w:color w:val="1F6ED9"/>
      <w:kern w:val="0"/>
      <w:sz w:val="28"/>
      <w:szCs w:val="28"/>
    </w:rPr>
  </w:style>
  <w:style w:type="paragraph" w:customStyle="1" w:styleId="bsfwtop">
    <w:name w:val="bsfwtop"/>
    <w:basedOn w:val="a"/>
    <w:rsid w:val="00FA087C"/>
    <w:pPr>
      <w:widowControl/>
      <w:spacing w:before="100" w:beforeAutospacing="1" w:after="100" w:afterAutospacing="1"/>
      <w:jc w:val="left"/>
    </w:pPr>
    <w:rPr>
      <w:rFonts w:ascii="宋体" w:eastAsia="宋体" w:hAnsi="宋体" w:cs="宋体"/>
      <w:color w:val="6C8C0A"/>
      <w:kern w:val="0"/>
      <w:sz w:val="24"/>
      <w:szCs w:val="24"/>
    </w:rPr>
  </w:style>
  <w:style w:type="paragraph" w:customStyle="1" w:styleId="bsfwdiv1">
    <w:name w:val="bsfwdiv1"/>
    <w:basedOn w:val="a"/>
    <w:rsid w:val="00FA087C"/>
    <w:pPr>
      <w:widowControl/>
      <w:spacing w:before="100" w:beforeAutospacing="1" w:after="100" w:afterAutospacing="1"/>
      <w:jc w:val="left"/>
    </w:pPr>
    <w:rPr>
      <w:rFonts w:ascii="宋体" w:eastAsia="宋体" w:hAnsi="宋体" w:cs="宋体"/>
      <w:b/>
      <w:bCs/>
      <w:color w:val="FFFFFF"/>
      <w:kern w:val="0"/>
      <w:sz w:val="28"/>
      <w:szCs w:val="28"/>
    </w:rPr>
  </w:style>
  <w:style w:type="paragraph" w:customStyle="1" w:styleId="bsfwdiv2">
    <w:name w:val="bsfwdiv2"/>
    <w:basedOn w:val="a"/>
    <w:rsid w:val="00FA087C"/>
    <w:pPr>
      <w:widowControl/>
      <w:spacing w:before="100" w:beforeAutospacing="1" w:after="100" w:afterAutospacing="1"/>
      <w:jc w:val="left"/>
    </w:pPr>
    <w:rPr>
      <w:rFonts w:ascii="宋体" w:eastAsia="宋体" w:hAnsi="宋体" w:cs="宋体"/>
      <w:b/>
      <w:bCs/>
      <w:color w:val="ADA700"/>
      <w:kern w:val="0"/>
      <w:sz w:val="28"/>
      <w:szCs w:val="28"/>
    </w:rPr>
  </w:style>
  <w:style w:type="paragraph" w:customStyle="1" w:styleId="basfwhui14b">
    <w:name w:val="basfwhui14b"/>
    <w:basedOn w:val="a"/>
    <w:rsid w:val="00FA087C"/>
    <w:pPr>
      <w:widowControl/>
      <w:spacing w:before="100" w:beforeAutospacing="1" w:after="100" w:afterAutospacing="1"/>
      <w:jc w:val="left"/>
    </w:pPr>
    <w:rPr>
      <w:rFonts w:ascii="宋体" w:eastAsia="宋体" w:hAnsi="宋体" w:cs="宋体"/>
      <w:b/>
      <w:bCs/>
      <w:color w:val="343434"/>
      <w:kern w:val="0"/>
      <w:sz w:val="28"/>
      <w:szCs w:val="28"/>
    </w:rPr>
  </w:style>
  <w:style w:type="paragraph" w:customStyle="1" w:styleId="basfwhui12">
    <w:name w:val="basfwhui12"/>
    <w:basedOn w:val="a"/>
    <w:rsid w:val="00FA087C"/>
    <w:pPr>
      <w:widowControl/>
      <w:spacing w:before="100" w:beforeAutospacing="1" w:after="100" w:afterAutospacing="1"/>
      <w:jc w:val="left"/>
    </w:pPr>
    <w:rPr>
      <w:rFonts w:ascii="宋体" w:eastAsia="宋体" w:hAnsi="宋体" w:cs="宋体"/>
      <w:color w:val="343434"/>
      <w:kern w:val="0"/>
      <w:sz w:val="24"/>
      <w:szCs w:val="24"/>
    </w:rPr>
  </w:style>
  <w:style w:type="paragraph" w:customStyle="1" w:styleId="zwdt">
    <w:name w:val="zwdt"/>
    <w:basedOn w:val="a"/>
    <w:rsid w:val="00FA087C"/>
    <w:pPr>
      <w:widowControl/>
      <w:spacing w:before="100" w:beforeAutospacing="1" w:after="100" w:afterAutospacing="1"/>
      <w:jc w:val="left"/>
    </w:pPr>
    <w:rPr>
      <w:rFonts w:ascii="宋体" w:eastAsia="宋体" w:hAnsi="宋体" w:cs="宋体"/>
      <w:color w:val="D01919"/>
      <w:kern w:val="0"/>
      <w:sz w:val="24"/>
      <w:szCs w:val="24"/>
    </w:rPr>
  </w:style>
  <w:style w:type="paragraph" w:customStyle="1" w:styleId="zwdt13l21">
    <w:name w:val="zwdt13l21"/>
    <w:basedOn w:val="a"/>
    <w:rsid w:val="00FA087C"/>
    <w:pPr>
      <w:widowControl/>
      <w:spacing w:before="100" w:beforeAutospacing="1" w:after="100" w:afterAutospacing="1" w:line="420" w:lineRule="atLeast"/>
      <w:jc w:val="left"/>
    </w:pPr>
    <w:rPr>
      <w:rFonts w:ascii="宋体" w:eastAsia="宋体" w:hAnsi="宋体" w:cs="宋体"/>
      <w:color w:val="000000"/>
      <w:kern w:val="0"/>
      <w:sz w:val="26"/>
      <w:szCs w:val="26"/>
    </w:rPr>
  </w:style>
  <w:style w:type="paragraph" w:customStyle="1" w:styleId="zwdtzctl">
    <w:name w:val="zwdtzctl"/>
    <w:basedOn w:val="a"/>
    <w:rsid w:val="00FA087C"/>
    <w:pPr>
      <w:widowControl/>
      <w:spacing w:before="100" w:beforeAutospacing="1" w:after="100" w:afterAutospacing="1"/>
      <w:jc w:val="left"/>
    </w:pPr>
    <w:rPr>
      <w:rFonts w:ascii="宋体" w:eastAsia="宋体" w:hAnsi="宋体" w:cs="宋体"/>
      <w:color w:val="0E3C72"/>
      <w:kern w:val="0"/>
      <w:sz w:val="28"/>
      <w:szCs w:val="28"/>
    </w:rPr>
  </w:style>
  <w:style w:type="paragraph" w:customStyle="1" w:styleId="tdsctop">
    <w:name w:val="tdsctop"/>
    <w:basedOn w:val="a"/>
    <w:rsid w:val="00FA087C"/>
    <w:pPr>
      <w:widowControl/>
      <w:spacing w:before="100" w:beforeAutospacing="1" w:after="100" w:afterAutospacing="1"/>
      <w:jc w:val="left"/>
    </w:pPr>
    <w:rPr>
      <w:rFonts w:ascii="宋体" w:eastAsia="宋体" w:hAnsi="宋体" w:cs="宋体"/>
      <w:color w:val="CA0000"/>
      <w:kern w:val="0"/>
      <w:sz w:val="24"/>
      <w:szCs w:val="24"/>
    </w:rPr>
  </w:style>
  <w:style w:type="paragraph" w:customStyle="1" w:styleId="tdsch12">
    <w:name w:val="tdsch12"/>
    <w:basedOn w:val="a"/>
    <w:rsid w:val="00FA087C"/>
    <w:pPr>
      <w:widowControl/>
      <w:spacing w:before="100" w:beforeAutospacing="1" w:after="100" w:afterAutospacing="1"/>
      <w:jc w:val="left"/>
    </w:pPr>
    <w:rPr>
      <w:rFonts w:ascii="宋体" w:eastAsia="宋体" w:hAnsi="宋体" w:cs="宋体"/>
      <w:color w:val="2A2A2A"/>
      <w:kern w:val="0"/>
      <w:sz w:val="24"/>
      <w:szCs w:val="24"/>
    </w:rPr>
  </w:style>
  <w:style w:type="paragraph" w:customStyle="1" w:styleId="tssc13tt">
    <w:name w:val="tssc13tt"/>
    <w:basedOn w:val="a"/>
    <w:rsid w:val="00FA087C"/>
    <w:pPr>
      <w:widowControl/>
      <w:spacing w:before="100" w:beforeAutospacing="1" w:after="100" w:afterAutospacing="1"/>
      <w:jc w:val="left"/>
    </w:pPr>
    <w:rPr>
      <w:rFonts w:ascii="宋体" w:eastAsia="宋体" w:hAnsi="宋体" w:cs="宋体"/>
      <w:color w:val="000000"/>
      <w:kern w:val="0"/>
      <w:sz w:val="26"/>
      <w:szCs w:val="26"/>
    </w:rPr>
  </w:style>
  <w:style w:type="paragraph" w:customStyle="1" w:styleId="tssc13txt">
    <w:name w:val="tssc13txt"/>
    <w:basedOn w:val="a"/>
    <w:rsid w:val="00FA087C"/>
    <w:pPr>
      <w:widowControl/>
      <w:spacing w:before="100" w:beforeAutospacing="1" w:after="100" w:afterAutospacing="1"/>
      <w:jc w:val="left"/>
    </w:pPr>
    <w:rPr>
      <w:rFonts w:ascii="宋体" w:eastAsia="宋体" w:hAnsi="宋体" w:cs="宋体"/>
      <w:color w:val="000000"/>
      <w:kern w:val="0"/>
      <w:sz w:val="26"/>
      <w:szCs w:val="26"/>
    </w:rPr>
  </w:style>
  <w:style w:type="paragraph" w:customStyle="1" w:styleId="tdscsch">
    <w:name w:val="tdscsch"/>
    <w:basedOn w:val="a"/>
    <w:rsid w:val="00FA087C"/>
    <w:pPr>
      <w:widowControl/>
      <w:jc w:val="center"/>
    </w:pPr>
    <w:rPr>
      <w:rFonts w:ascii="宋体" w:eastAsia="宋体" w:hAnsi="宋体" w:cs="宋体"/>
      <w:b/>
      <w:bCs/>
      <w:color w:val="000000"/>
      <w:kern w:val="0"/>
      <w:sz w:val="26"/>
      <w:szCs w:val="26"/>
    </w:rPr>
  </w:style>
  <w:style w:type="paragraph" w:customStyle="1" w:styleId="tdscschlist">
    <w:name w:val="tdscschlist"/>
    <w:basedOn w:val="a"/>
    <w:rsid w:val="00FA087C"/>
    <w:pPr>
      <w:widowControl/>
      <w:spacing w:before="220" w:after="100" w:afterAutospacing="1"/>
      <w:jc w:val="left"/>
    </w:pPr>
    <w:rPr>
      <w:rFonts w:ascii="宋体" w:eastAsia="宋体" w:hAnsi="宋体" w:cs="宋体"/>
      <w:kern w:val="0"/>
      <w:sz w:val="24"/>
      <w:szCs w:val="24"/>
    </w:rPr>
  </w:style>
  <w:style w:type="paragraph" w:customStyle="1" w:styleId="menubox">
    <w:name w:val="menubox"/>
    <w:basedOn w:val="a"/>
    <w:rsid w:val="00FA087C"/>
    <w:pPr>
      <w:widowControl/>
      <w:spacing w:before="100" w:beforeAutospacing="1" w:after="100" w:afterAutospacing="1" w:line="560" w:lineRule="atLeast"/>
      <w:jc w:val="left"/>
    </w:pPr>
    <w:rPr>
      <w:rFonts w:ascii="宋体" w:eastAsia="宋体" w:hAnsi="宋体" w:cs="宋体"/>
      <w:kern w:val="0"/>
      <w:sz w:val="24"/>
      <w:szCs w:val="24"/>
    </w:rPr>
  </w:style>
  <w:style w:type="paragraph" w:customStyle="1" w:styleId="contentbox">
    <w:name w:val="contentbox"/>
    <w:basedOn w:val="a"/>
    <w:rsid w:val="00FA087C"/>
    <w:pPr>
      <w:widowControl/>
      <w:spacing w:after="100" w:afterAutospacing="1"/>
      <w:jc w:val="left"/>
    </w:pPr>
    <w:rPr>
      <w:rFonts w:ascii="宋体" w:eastAsia="宋体" w:hAnsi="宋体" w:cs="宋体"/>
      <w:kern w:val="0"/>
      <w:sz w:val="24"/>
      <w:szCs w:val="24"/>
    </w:rPr>
  </w:style>
  <w:style w:type="paragraph" w:customStyle="1" w:styleId="spbbbord">
    <w:name w:val="spbb_bord"/>
    <w:basedOn w:val="a"/>
    <w:rsid w:val="00FA087C"/>
    <w:pPr>
      <w:widowControl/>
      <w:pBdr>
        <w:left w:val="single" w:sz="8" w:space="0" w:color="CFC9BB"/>
        <w:bottom w:val="single" w:sz="8" w:space="0" w:color="CFC9BB"/>
        <w:right w:val="single" w:sz="8" w:space="0" w:color="CFC9BB"/>
      </w:pBdr>
      <w:spacing w:before="100" w:beforeAutospacing="1" w:after="100" w:afterAutospacing="1"/>
      <w:jc w:val="left"/>
    </w:pPr>
    <w:rPr>
      <w:rFonts w:ascii="宋体" w:eastAsia="宋体" w:hAnsi="宋体" w:cs="宋体"/>
      <w:kern w:val="0"/>
      <w:sz w:val="24"/>
      <w:szCs w:val="24"/>
    </w:rPr>
  </w:style>
  <w:style w:type="paragraph" w:customStyle="1" w:styleId="spbbbord1">
    <w:name w:val="spbb_bord1"/>
    <w:basedOn w:val="a"/>
    <w:rsid w:val="00FA087C"/>
    <w:pPr>
      <w:widowControl/>
      <w:pBdr>
        <w:left w:val="single" w:sz="8" w:space="0" w:color="DDECF5"/>
        <w:bottom w:val="single" w:sz="8" w:space="0" w:color="DDECF5"/>
        <w:right w:val="single" w:sz="8" w:space="0" w:color="DDECF5"/>
      </w:pBdr>
      <w:spacing w:before="100" w:beforeAutospacing="1" w:after="100" w:afterAutospacing="1"/>
      <w:jc w:val="left"/>
    </w:pPr>
    <w:rPr>
      <w:rFonts w:ascii="宋体" w:eastAsia="宋体" w:hAnsi="宋体" w:cs="宋体"/>
      <w:kern w:val="0"/>
      <w:sz w:val="24"/>
      <w:szCs w:val="24"/>
    </w:rPr>
  </w:style>
  <w:style w:type="paragraph" w:customStyle="1" w:styleId="spbbbord2">
    <w:name w:val="spbb_bord2"/>
    <w:basedOn w:val="a"/>
    <w:rsid w:val="00FA087C"/>
    <w:pPr>
      <w:widowControl/>
      <w:pBdr>
        <w:left w:val="single" w:sz="8" w:space="0" w:color="7D7559"/>
        <w:bottom w:val="single" w:sz="8" w:space="0" w:color="7D7559"/>
        <w:right w:val="single" w:sz="8" w:space="0" w:color="7D7559"/>
      </w:pBdr>
      <w:spacing w:before="100" w:beforeAutospacing="1" w:after="100" w:afterAutospacing="1"/>
      <w:jc w:val="left"/>
    </w:pPr>
    <w:rPr>
      <w:rFonts w:ascii="宋体" w:eastAsia="宋体" w:hAnsi="宋体" w:cs="宋体"/>
      <w:kern w:val="0"/>
      <w:sz w:val="24"/>
      <w:szCs w:val="24"/>
    </w:rPr>
  </w:style>
  <w:style w:type="paragraph" w:customStyle="1" w:styleId="spbbbord3">
    <w:name w:val="spbb_bord3"/>
    <w:basedOn w:val="a"/>
    <w:rsid w:val="00FA087C"/>
    <w:pPr>
      <w:widowControl/>
      <w:pBdr>
        <w:left w:val="single" w:sz="8" w:space="0" w:color="69B1DE"/>
        <w:bottom w:val="single" w:sz="8" w:space="0" w:color="69B1DE"/>
        <w:right w:val="single" w:sz="8" w:space="0" w:color="69B1DE"/>
      </w:pBdr>
      <w:spacing w:before="100" w:beforeAutospacing="1" w:after="100" w:afterAutospacing="1"/>
      <w:jc w:val="left"/>
    </w:pPr>
    <w:rPr>
      <w:rFonts w:ascii="宋体" w:eastAsia="宋体" w:hAnsi="宋体" w:cs="宋体"/>
      <w:kern w:val="0"/>
      <w:sz w:val="24"/>
      <w:szCs w:val="24"/>
    </w:rPr>
  </w:style>
  <w:style w:type="paragraph" w:customStyle="1" w:styleId="spbbbord4b">
    <w:name w:val="spbb_bord4b"/>
    <w:basedOn w:val="a"/>
    <w:rsid w:val="00FA087C"/>
    <w:pPr>
      <w:widowControl/>
      <w:pBdr>
        <w:top w:val="single" w:sz="8" w:space="0" w:color="EEEAEA"/>
        <w:left w:val="single" w:sz="8" w:space="0" w:color="EEEAEA"/>
        <w:bottom w:val="single" w:sz="8" w:space="0" w:color="EEEAEA"/>
        <w:right w:val="single" w:sz="8" w:space="0" w:color="EEEAEA"/>
      </w:pBdr>
      <w:spacing w:before="100" w:beforeAutospacing="1" w:after="100" w:afterAutospacing="1"/>
      <w:jc w:val="left"/>
    </w:pPr>
    <w:rPr>
      <w:rFonts w:ascii="宋体" w:eastAsia="宋体" w:hAnsi="宋体" w:cs="宋体"/>
      <w:kern w:val="0"/>
      <w:sz w:val="24"/>
      <w:szCs w:val="24"/>
    </w:rPr>
  </w:style>
  <w:style w:type="paragraph" w:customStyle="1" w:styleId="spbbnews">
    <w:name w:val="spbb_news"/>
    <w:basedOn w:val="a"/>
    <w:rsid w:val="00FA087C"/>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spbblink1">
    <w:name w:val="spbb_link1"/>
    <w:basedOn w:val="a"/>
    <w:rsid w:val="00FA087C"/>
    <w:pPr>
      <w:widowControl/>
      <w:spacing w:before="100" w:beforeAutospacing="1" w:after="100" w:afterAutospacing="1" w:line="320" w:lineRule="atLeast"/>
      <w:jc w:val="left"/>
    </w:pPr>
    <w:rPr>
      <w:rFonts w:ascii="宋体" w:eastAsia="宋体" w:hAnsi="宋体" w:cs="宋体"/>
      <w:color w:val="666666"/>
      <w:kern w:val="0"/>
      <w:sz w:val="24"/>
      <w:szCs w:val="24"/>
    </w:rPr>
  </w:style>
  <w:style w:type="paragraph" w:customStyle="1" w:styleId="spbblink2">
    <w:name w:val="spbb_link2"/>
    <w:basedOn w:val="a"/>
    <w:rsid w:val="00FA087C"/>
    <w:pPr>
      <w:widowControl/>
      <w:spacing w:before="100" w:beforeAutospacing="1" w:after="100" w:afterAutospacing="1" w:line="400" w:lineRule="atLeast"/>
      <w:jc w:val="left"/>
    </w:pPr>
    <w:rPr>
      <w:rFonts w:ascii="宋体" w:eastAsia="宋体" w:hAnsi="宋体" w:cs="宋体"/>
      <w:color w:val="45A1D1"/>
      <w:kern w:val="0"/>
      <w:sz w:val="28"/>
      <w:szCs w:val="28"/>
    </w:rPr>
  </w:style>
  <w:style w:type="paragraph" w:customStyle="1" w:styleId="spbblink3">
    <w:name w:val="spbb_link3"/>
    <w:basedOn w:val="a"/>
    <w:rsid w:val="00FA087C"/>
    <w:pPr>
      <w:widowControl/>
      <w:spacing w:before="100" w:beforeAutospacing="1" w:after="100" w:afterAutospacing="1" w:line="320" w:lineRule="atLeast"/>
      <w:jc w:val="left"/>
    </w:pPr>
    <w:rPr>
      <w:rFonts w:ascii="宋体" w:eastAsia="宋体" w:hAnsi="宋体" w:cs="宋体"/>
      <w:color w:val="666666"/>
      <w:kern w:val="0"/>
      <w:sz w:val="24"/>
      <w:szCs w:val="24"/>
    </w:rPr>
  </w:style>
  <w:style w:type="paragraph" w:customStyle="1" w:styleId="spbbfont">
    <w:name w:val="spbb_font"/>
    <w:basedOn w:val="a"/>
    <w:rsid w:val="00FA087C"/>
    <w:pPr>
      <w:widowControl/>
      <w:spacing w:before="100" w:beforeAutospacing="1" w:after="100" w:afterAutospacing="1"/>
      <w:jc w:val="left"/>
    </w:pPr>
    <w:rPr>
      <w:rFonts w:ascii="宋体" w:eastAsia="宋体" w:hAnsi="宋体" w:cs="宋体"/>
      <w:color w:val="999999"/>
      <w:kern w:val="0"/>
      <w:sz w:val="28"/>
      <w:szCs w:val="28"/>
    </w:rPr>
  </w:style>
  <w:style w:type="paragraph" w:customStyle="1" w:styleId="spbbbord4b1">
    <w:name w:val="spbb_bord4b1"/>
    <w:basedOn w:val="a"/>
    <w:rsid w:val="00FA087C"/>
    <w:pPr>
      <w:widowControl/>
      <w:pBdr>
        <w:top w:val="single" w:sz="8" w:space="0" w:color="69B1DE"/>
        <w:left w:val="single" w:sz="8" w:space="0" w:color="69B1DE"/>
        <w:bottom w:val="single" w:sz="8" w:space="0" w:color="69B1DE"/>
        <w:right w:val="single" w:sz="8" w:space="0" w:color="69B1DE"/>
      </w:pBdr>
      <w:spacing w:before="100" w:beforeAutospacing="1" w:after="100" w:afterAutospacing="1"/>
      <w:jc w:val="left"/>
    </w:pPr>
    <w:rPr>
      <w:rFonts w:ascii="宋体" w:eastAsia="宋体" w:hAnsi="宋体" w:cs="宋体"/>
      <w:kern w:val="0"/>
      <w:sz w:val="24"/>
      <w:szCs w:val="24"/>
    </w:rPr>
  </w:style>
  <w:style w:type="paragraph" w:customStyle="1" w:styleId="spbbbord3a">
    <w:name w:val="spbb_bord3a"/>
    <w:basedOn w:val="a"/>
    <w:rsid w:val="00FA087C"/>
    <w:pPr>
      <w:widowControl/>
      <w:pBdr>
        <w:left w:val="single" w:sz="8" w:space="0" w:color="7D7559"/>
        <w:bottom w:val="single" w:sz="8" w:space="0" w:color="7D7559"/>
        <w:right w:val="single" w:sz="8" w:space="0" w:color="7D7559"/>
      </w:pBdr>
      <w:spacing w:before="100" w:beforeAutospacing="1" w:after="100" w:afterAutospacing="1"/>
      <w:jc w:val="left"/>
    </w:pPr>
    <w:rPr>
      <w:rFonts w:ascii="宋体" w:eastAsia="宋体" w:hAnsi="宋体" w:cs="宋体"/>
      <w:kern w:val="0"/>
      <w:sz w:val="24"/>
      <w:szCs w:val="24"/>
    </w:rPr>
  </w:style>
  <w:style w:type="paragraph" w:customStyle="1" w:styleId="spbbbord4b2">
    <w:name w:val="spbb_bord4b2"/>
    <w:basedOn w:val="a"/>
    <w:rsid w:val="00FA087C"/>
    <w:pPr>
      <w:widowControl/>
      <w:pBdr>
        <w:top w:val="single" w:sz="8" w:space="0" w:color="CFC9BB"/>
        <w:left w:val="single" w:sz="8" w:space="0" w:color="CFC9BB"/>
        <w:bottom w:val="single" w:sz="8" w:space="0" w:color="CFC9BB"/>
        <w:right w:val="single" w:sz="8" w:space="0" w:color="CFC9BB"/>
      </w:pBdr>
      <w:spacing w:before="100" w:beforeAutospacing="1" w:after="100" w:afterAutospacing="1"/>
      <w:jc w:val="left"/>
    </w:pPr>
    <w:rPr>
      <w:rFonts w:ascii="宋体" w:eastAsia="宋体" w:hAnsi="宋体" w:cs="宋体"/>
      <w:kern w:val="0"/>
      <w:sz w:val="24"/>
      <w:szCs w:val="24"/>
    </w:rPr>
  </w:style>
  <w:style w:type="paragraph" w:customStyle="1" w:styleId="wsktbord2">
    <w:name w:val="wskt_bord2"/>
    <w:basedOn w:val="a"/>
    <w:rsid w:val="00FA087C"/>
    <w:pPr>
      <w:widowControl/>
      <w:pBdr>
        <w:left w:val="single" w:sz="8" w:space="0" w:color="CCCCCC"/>
        <w:right w:val="single" w:sz="8" w:space="0" w:color="CCCCCC"/>
      </w:pBdr>
      <w:spacing w:before="100" w:beforeAutospacing="1" w:after="100" w:afterAutospacing="1"/>
      <w:jc w:val="left"/>
    </w:pPr>
    <w:rPr>
      <w:rFonts w:ascii="宋体" w:eastAsia="宋体" w:hAnsi="宋体" w:cs="宋体"/>
      <w:kern w:val="0"/>
      <w:sz w:val="24"/>
      <w:szCs w:val="24"/>
    </w:rPr>
  </w:style>
  <w:style w:type="paragraph" w:customStyle="1" w:styleId="wsktbord3a">
    <w:name w:val="wskt_bord3a"/>
    <w:basedOn w:val="a"/>
    <w:rsid w:val="00FA087C"/>
    <w:pPr>
      <w:widowControl/>
      <w:pBdr>
        <w:left w:val="single" w:sz="8" w:space="0" w:color="C9C9C9"/>
        <w:bottom w:val="single" w:sz="8" w:space="0" w:color="C9C9C9"/>
        <w:right w:val="single" w:sz="8" w:space="0" w:color="C9C9C9"/>
      </w:pBdr>
      <w:spacing w:before="100" w:beforeAutospacing="1" w:after="100" w:afterAutospacing="1"/>
      <w:jc w:val="left"/>
    </w:pPr>
    <w:rPr>
      <w:rFonts w:ascii="宋体" w:eastAsia="宋体" w:hAnsi="宋体" w:cs="宋体"/>
      <w:kern w:val="0"/>
      <w:sz w:val="24"/>
      <w:szCs w:val="24"/>
    </w:rPr>
  </w:style>
  <w:style w:type="paragraph" w:customStyle="1" w:styleId="wsktlink1">
    <w:name w:val="wskt_link1"/>
    <w:basedOn w:val="a"/>
    <w:rsid w:val="00FA087C"/>
    <w:pPr>
      <w:widowControl/>
      <w:spacing w:before="100" w:beforeAutospacing="1" w:after="100" w:afterAutospacing="1" w:line="320" w:lineRule="atLeast"/>
      <w:jc w:val="left"/>
    </w:pPr>
    <w:rPr>
      <w:rFonts w:ascii="宋体" w:eastAsia="宋体" w:hAnsi="宋体" w:cs="宋体"/>
      <w:color w:val="333333"/>
      <w:kern w:val="0"/>
      <w:sz w:val="24"/>
      <w:szCs w:val="24"/>
    </w:rPr>
  </w:style>
  <w:style w:type="paragraph" w:customStyle="1" w:styleId="wsktlink">
    <w:name w:val="wskt_link"/>
    <w:basedOn w:val="a"/>
    <w:rsid w:val="00FA087C"/>
    <w:pPr>
      <w:widowControl/>
      <w:spacing w:before="100" w:beforeAutospacing="1" w:after="100" w:afterAutospacing="1" w:line="320" w:lineRule="atLeast"/>
      <w:jc w:val="left"/>
    </w:pPr>
    <w:rPr>
      <w:rFonts w:ascii="宋体" w:eastAsia="宋体" w:hAnsi="宋体" w:cs="宋体"/>
      <w:b/>
      <w:bCs/>
      <w:color w:val="333333"/>
      <w:kern w:val="0"/>
      <w:sz w:val="24"/>
      <w:szCs w:val="24"/>
    </w:rPr>
  </w:style>
  <w:style w:type="paragraph" w:customStyle="1" w:styleId="wsktlink2">
    <w:name w:val="wskt_link2"/>
    <w:basedOn w:val="a"/>
    <w:rsid w:val="00FA087C"/>
    <w:pPr>
      <w:widowControl/>
      <w:spacing w:before="100" w:beforeAutospacing="1" w:after="100" w:afterAutospacing="1" w:line="360" w:lineRule="atLeast"/>
      <w:jc w:val="left"/>
    </w:pPr>
    <w:rPr>
      <w:rFonts w:ascii="宋体" w:eastAsia="宋体" w:hAnsi="宋体" w:cs="宋体"/>
      <w:color w:val="333333"/>
      <w:kern w:val="0"/>
      <w:sz w:val="24"/>
      <w:szCs w:val="24"/>
    </w:rPr>
  </w:style>
  <w:style w:type="paragraph" w:customStyle="1" w:styleId="wsktmore">
    <w:name w:val="wskt_more"/>
    <w:basedOn w:val="a"/>
    <w:rsid w:val="00FA087C"/>
    <w:pPr>
      <w:widowControl/>
      <w:spacing w:before="100" w:beforeAutospacing="1" w:after="100" w:afterAutospacing="1" w:line="320" w:lineRule="atLeast"/>
      <w:jc w:val="left"/>
    </w:pPr>
    <w:rPr>
      <w:rFonts w:ascii="宋体" w:eastAsia="宋体" w:hAnsi="宋体" w:cs="宋体"/>
      <w:color w:val="E9471B"/>
      <w:kern w:val="0"/>
      <w:sz w:val="24"/>
      <w:szCs w:val="24"/>
    </w:rPr>
  </w:style>
  <w:style w:type="paragraph" w:customStyle="1" w:styleId="wsktmore1">
    <w:name w:val="wskt_more1"/>
    <w:basedOn w:val="a"/>
    <w:rsid w:val="00FA087C"/>
    <w:pPr>
      <w:widowControl/>
      <w:spacing w:before="100" w:beforeAutospacing="1" w:after="100" w:afterAutospacing="1" w:line="320" w:lineRule="atLeast"/>
      <w:jc w:val="left"/>
    </w:pPr>
    <w:rPr>
      <w:rFonts w:ascii="宋体" w:eastAsia="宋体" w:hAnsi="宋体" w:cs="宋体"/>
      <w:color w:val="333333"/>
      <w:kern w:val="0"/>
      <w:sz w:val="24"/>
      <w:szCs w:val="24"/>
    </w:rPr>
  </w:style>
  <w:style w:type="paragraph" w:customStyle="1" w:styleId="wsktlink3">
    <w:name w:val="wskt_link3"/>
    <w:basedOn w:val="a"/>
    <w:rsid w:val="00FA087C"/>
    <w:pPr>
      <w:widowControl/>
      <w:spacing w:before="100" w:beforeAutospacing="1" w:after="100" w:afterAutospacing="1" w:line="400" w:lineRule="atLeast"/>
      <w:jc w:val="left"/>
    </w:pPr>
    <w:rPr>
      <w:rFonts w:ascii="宋体" w:eastAsia="宋体" w:hAnsi="宋体" w:cs="宋体"/>
      <w:color w:val="333333"/>
      <w:kern w:val="0"/>
      <w:sz w:val="26"/>
      <w:szCs w:val="26"/>
    </w:rPr>
  </w:style>
  <w:style w:type="paragraph" w:customStyle="1" w:styleId="wsktmenu">
    <w:name w:val="wskt_menu"/>
    <w:basedOn w:val="a"/>
    <w:rsid w:val="00FA087C"/>
    <w:pPr>
      <w:widowControl/>
      <w:spacing w:before="100" w:beforeAutospacing="1" w:after="100" w:afterAutospacing="1" w:line="320" w:lineRule="atLeast"/>
      <w:jc w:val="left"/>
    </w:pPr>
    <w:rPr>
      <w:rFonts w:ascii="宋体" w:eastAsia="宋体" w:hAnsi="宋体" w:cs="宋体"/>
      <w:color w:val="487A00"/>
      <w:kern w:val="0"/>
      <w:sz w:val="24"/>
      <w:szCs w:val="24"/>
    </w:rPr>
  </w:style>
  <w:style w:type="paragraph" w:customStyle="1" w:styleId="dzzhfont">
    <w:name w:val="dzzh_font"/>
    <w:basedOn w:val="a"/>
    <w:rsid w:val="00FA087C"/>
    <w:pPr>
      <w:widowControl/>
      <w:spacing w:before="100" w:beforeAutospacing="1" w:after="100" w:afterAutospacing="1"/>
      <w:jc w:val="left"/>
    </w:pPr>
    <w:rPr>
      <w:rFonts w:ascii="宋体" w:eastAsia="宋体" w:hAnsi="宋体" w:cs="宋体"/>
      <w:b/>
      <w:bCs/>
      <w:color w:val="FFFFFF"/>
      <w:kern w:val="0"/>
      <w:sz w:val="30"/>
      <w:szCs w:val="30"/>
    </w:rPr>
  </w:style>
  <w:style w:type="paragraph" w:styleId="20">
    <w:name w:val="toc 2"/>
    <w:basedOn w:val="a"/>
    <w:autoRedefine/>
    <w:uiPriority w:val="39"/>
    <w:semiHidden/>
    <w:unhideWhenUsed/>
    <w:rsid w:val="00FA087C"/>
    <w:pPr>
      <w:widowControl/>
      <w:spacing w:before="100" w:beforeAutospacing="1" w:after="100" w:afterAutospacing="1"/>
      <w:jc w:val="left"/>
    </w:pPr>
    <w:rPr>
      <w:rFonts w:ascii="宋体" w:eastAsia="宋体" w:hAnsi="宋体" w:cs="宋体"/>
      <w:kern w:val="0"/>
      <w:sz w:val="24"/>
      <w:szCs w:val="24"/>
    </w:rPr>
  </w:style>
  <w:style w:type="paragraph" w:styleId="10">
    <w:name w:val="toc 1"/>
    <w:basedOn w:val="a"/>
    <w:autoRedefine/>
    <w:uiPriority w:val="39"/>
    <w:semiHidden/>
    <w:unhideWhenUsed/>
    <w:rsid w:val="00FA087C"/>
    <w:pPr>
      <w:widowControl/>
      <w:spacing w:before="100" w:beforeAutospacing="1" w:after="100" w:afterAutospacing="1"/>
      <w:jc w:val="left"/>
    </w:pPr>
    <w:rPr>
      <w:rFonts w:ascii="宋体" w:eastAsia="宋体" w:hAnsi="宋体" w:cs="宋体"/>
      <w:kern w:val="0"/>
      <w:sz w:val="24"/>
      <w:szCs w:val="24"/>
    </w:rPr>
  </w:style>
  <w:style w:type="paragraph" w:styleId="30">
    <w:name w:val="toc 3"/>
    <w:basedOn w:val="a"/>
    <w:autoRedefine/>
    <w:uiPriority w:val="39"/>
    <w:semiHidden/>
    <w:unhideWhenUsed/>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5char">
    <w:name w:val="5char"/>
    <w:basedOn w:val="a"/>
    <w:rsid w:val="00FA087C"/>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semiHidden/>
    <w:unhideWhenUsed/>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a00">
    <w:name w:val="a0"/>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21">
    <w:name w:val="2"/>
    <w:basedOn w:val="a"/>
    <w:rsid w:val="00FA087C"/>
    <w:pPr>
      <w:widowControl/>
      <w:spacing w:before="100" w:beforeAutospacing="1" w:after="100" w:afterAutospacing="1"/>
      <w:jc w:val="left"/>
    </w:pPr>
    <w:rPr>
      <w:rFonts w:ascii="宋体" w:eastAsia="宋体" w:hAnsi="宋体" w:cs="宋体"/>
      <w:kern w:val="0"/>
      <w:sz w:val="24"/>
      <w:szCs w:val="24"/>
    </w:rPr>
  </w:style>
  <w:style w:type="paragraph" w:customStyle="1" w:styleId="787820">
    <w:name w:val="787820"/>
    <w:basedOn w:val="a"/>
    <w:rsid w:val="00FA087C"/>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
    <w:uiPriority w:val="99"/>
    <w:semiHidden/>
    <w:unhideWhenUsed/>
    <w:rsid w:val="00EE0D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EE0D6B"/>
    <w:rPr>
      <w:sz w:val="18"/>
      <w:szCs w:val="18"/>
    </w:rPr>
  </w:style>
  <w:style w:type="paragraph" w:styleId="a8">
    <w:name w:val="footer"/>
    <w:basedOn w:val="a"/>
    <w:link w:val="Char0"/>
    <w:uiPriority w:val="99"/>
    <w:semiHidden/>
    <w:unhideWhenUsed/>
    <w:rsid w:val="00EE0D6B"/>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EE0D6B"/>
    <w:rPr>
      <w:sz w:val="18"/>
      <w:szCs w:val="18"/>
    </w:rPr>
  </w:style>
</w:styles>
</file>

<file path=word/webSettings.xml><?xml version="1.0" encoding="utf-8"?>
<w:webSettings xmlns:r="http://schemas.openxmlformats.org/officeDocument/2006/relationships" xmlns:w="http://schemas.openxmlformats.org/wordprocessingml/2006/main">
  <w:divs>
    <w:div w:id="551620313">
      <w:bodyDiv w:val="1"/>
      <w:marLeft w:val="0"/>
      <w:marRight w:val="0"/>
      <w:marTop w:val="0"/>
      <w:marBottom w:val="0"/>
      <w:divBdr>
        <w:top w:val="none" w:sz="0" w:space="0" w:color="auto"/>
        <w:left w:val="none" w:sz="0" w:space="0" w:color="auto"/>
        <w:bottom w:val="none" w:sz="0" w:space="0" w:color="auto"/>
        <w:right w:val="none" w:sz="0" w:space="0" w:color="auto"/>
      </w:divBdr>
      <w:divsChild>
        <w:div w:id="1544713141">
          <w:marLeft w:val="0"/>
          <w:marRight w:val="0"/>
          <w:marTop w:val="0"/>
          <w:marBottom w:val="0"/>
          <w:divBdr>
            <w:top w:val="none" w:sz="0" w:space="0" w:color="auto"/>
            <w:left w:val="none" w:sz="0" w:space="0" w:color="auto"/>
            <w:bottom w:val="none" w:sz="0" w:space="0" w:color="auto"/>
            <w:right w:val="none" w:sz="0" w:space="0" w:color="auto"/>
          </w:divBdr>
          <w:divsChild>
            <w:div w:id="1262565786">
              <w:marLeft w:val="0"/>
              <w:marRight w:val="0"/>
              <w:marTop w:val="0"/>
              <w:marBottom w:val="0"/>
              <w:divBdr>
                <w:top w:val="none" w:sz="0" w:space="0" w:color="auto"/>
                <w:left w:val="none" w:sz="0" w:space="0" w:color="auto"/>
                <w:bottom w:val="none" w:sz="0" w:space="0" w:color="auto"/>
                <w:right w:val="none" w:sz="0" w:space="0" w:color="auto"/>
              </w:divBdr>
            </w:div>
            <w:div w:id="1498034929">
              <w:marLeft w:val="0"/>
              <w:marRight w:val="0"/>
              <w:marTop w:val="0"/>
              <w:marBottom w:val="0"/>
              <w:divBdr>
                <w:top w:val="none" w:sz="0" w:space="0" w:color="auto"/>
                <w:left w:val="none" w:sz="0" w:space="0" w:color="auto"/>
                <w:bottom w:val="none" w:sz="0" w:space="0" w:color="auto"/>
                <w:right w:val="none" w:sz="0" w:space="0" w:color="auto"/>
              </w:divBdr>
            </w:div>
            <w:div w:id="1468280783">
              <w:marLeft w:val="0"/>
              <w:marRight w:val="0"/>
              <w:marTop w:val="0"/>
              <w:marBottom w:val="0"/>
              <w:divBdr>
                <w:top w:val="none" w:sz="0" w:space="0" w:color="auto"/>
                <w:left w:val="none" w:sz="0" w:space="0" w:color="auto"/>
                <w:bottom w:val="none" w:sz="0" w:space="0" w:color="auto"/>
                <w:right w:val="none" w:sz="0" w:space="0" w:color="auto"/>
              </w:divBdr>
            </w:div>
            <w:div w:id="616449979">
              <w:marLeft w:val="0"/>
              <w:marRight w:val="0"/>
              <w:marTop w:val="0"/>
              <w:marBottom w:val="0"/>
              <w:divBdr>
                <w:top w:val="none" w:sz="0" w:space="0" w:color="auto"/>
                <w:left w:val="none" w:sz="0" w:space="0" w:color="auto"/>
                <w:bottom w:val="none" w:sz="0" w:space="0" w:color="auto"/>
                <w:right w:val="none" w:sz="0" w:space="0" w:color="auto"/>
              </w:divBdr>
            </w:div>
            <w:div w:id="1914703574">
              <w:marLeft w:val="0"/>
              <w:marRight w:val="0"/>
              <w:marTop w:val="0"/>
              <w:marBottom w:val="0"/>
              <w:divBdr>
                <w:top w:val="none" w:sz="0" w:space="0" w:color="auto"/>
                <w:left w:val="none" w:sz="0" w:space="0" w:color="auto"/>
                <w:bottom w:val="none" w:sz="0" w:space="0" w:color="auto"/>
                <w:right w:val="none" w:sz="0" w:space="0" w:color="auto"/>
              </w:divBdr>
            </w:div>
            <w:div w:id="154607940">
              <w:marLeft w:val="0"/>
              <w:marRight w:val="0"/>
              <w:marTop w:val="0"/>
              <w:marBottom w:val="0"/>
              <w:divBdr>
                <w:top w:val="none" w:sz="0" w:space="0" w:color="auto"/>
                <w:left w:val="none" w:sz="0" w:space="0" w:color="auto"/>
                <w:bottom w:val="none" w:sz="0" w:space="0" w:color="auto"/>
                <w:right w:val="none" w:sz="0" w:space="0" w:color="auto"/>
              </w:divBdr>
              <w:divsChild>
                <w:div w:id="1073284902">
                  <w:marLeft w:val="0"/>
                  <w:marRight w:val="0"/>
                  <w:marTop w:val="0"/>
                  <w:marBottom w:val="0"/>
                  <w:divBdr>
                    <w:top w:val="none" w:sz="0" w:space="0" w:color="auto"/>
                    <w:left w:val="none" w:sz="0" w:space="0" w:color="auto"/>
                    <w:bottom w:val="none" w:sz="0" w:space="0" w:color="auto"/>
                    <w:right w:val="none" w:sz="0" w:space="0" w:color="auto"/>
                  </w:divBdr>
                </w:div>
                <w:div w:id="980497468">
                  <w:marLeft w:val="0"/>
                  <w:marRight w:val="0"/>
                  <w:marTop w:val="0"/>
                  <w:marBottom w:val="0"/>
                  <w:divBdr>
                    <w:top w:val="none" w:sz="0" w:space="0" w:color="auto"/>
                    <w:left w:val="none" w:sz="0" w:space="0" w:color="auto"/>
                    <w:bottom w:val="none" w:sz="0" w:space="0" w:color="auto"/>
                    <w:right w:val="none" w:sz="0" w:space="0" w:color="auto"/>
                  </w:divBdr>
                </w:div>
                <w:div w:id="2108578416">
                  <w:marLeft w:val="0"/>
                  <w:marRight w:val="0"/>
                  <w:marTop w:val="0"/>
                  <w:marBottom w:val="0"/>
                  <w:divBdr>
                    <w:top w:val="none" w:sz="0" w:space="0" w:color="auto"/>
                    <w:left w:val="none" w:sz="0" w:space="0" w:color="auto"/>
                    <w:bottom w:val="none" w:sz="0" w:space="0" w:color="auto"/>
                    <w:right w:val="none" w:sz="0" w:space="0" w:color="auto"/>
                  </w:divBdr>
                </w:div>
                <w:div w:id="656541008">
                  <w:marLeft w:val="0"/>
                  <w:marRight w:val="0"/>
                  <w:marTop w:val="0"/>
                  <w:marBottom w:val="0"/>
                  <w:divBdr>
                    <w:top w:val="none" w:sz="0" w:space="0" w:color="auto"/>
                    <w:left w:val="none" w:sz="0" w:space="0" w:color="auto"/>
                    <w:bottom w:val="none" w:sz="0" w:space="0" w:color="auto"/>
                    <w:right w:val="none" w:sz="0" w:space="0" w:color="auto"/>
                  </w:divBdr>
                </w:div>
                <w:div w:id="1766731103">
                  <w:marLeft w:val="0"/>
                  <w:marRight w:val="0"/>
                  <w:marTop w:val="0"/>
                  <w:marBottom w:val="0"/>
                  <w:divBdr>
                    <w:top w:val="none" w:sz="0" w:space="0" w:color="auto"/>
                    <w:left w:val="none" w:sz="0" w:space="0" w:color="auto"/>
                    <w:bottom w:val="none" w:sz="0" w:space="0" w:color="auto"/>
                    <w:right w:val="none" w:sz="0" w:space="0" w:color="auto"/>
                  </w:divBdr>
                </w:div>
                <w:div w:id="843933889">
                  <w:marLeft w:val="0"/>
                  <w:marRight w:val="0"/>
                  <w:marTop w:val="0"/>
                  <w:marBottom w:val="0"/>
                  <w:divBdr>
                    <w:top w:val="none" w:sz="0" w:space="0" w:color="auto"/>
                    <w:left w:val="none" w:sz="0" w:space="0" w:color="auto"/>
                    <w:bottom w:val="none" w:sz="0" w:space="0" w:color="auto"/>
                    <w:right w:val="none" w:sz="0" w:space="0" w:color="auto"/>
                  </w:divBdr>
                </w:div>
                <w:div w:id="1255625700">
                  <w:marLeft w:val="0"/>
                  <w:marRight w:val="0"/>
                  <w:marTop w:val="0"/>
                  <w:marBottom w:val="0"/>
                  <w:divBdr>
                    <w:top w:val="none" w:sz="0" w:space="0" w:color="auto"/>
                    <w:left w:val="none" w:sz="0" w:space="0" w:color="auto"/>
                    <w:bottom w:val="none" w:sz="0" w:space="0" w:color="auto"/>
                    <w:right w:val="none" w:sz="0" w:space="0" w:color="auto"/>
                  </w:divBdr>
                </w:div>
                <w:div w:id="1927643110">
                  <w:marLeft w:val="0"/>
                  <w:marRight w:val="0"/>
                  <w:marTop w:val="0"/>
                  <w:marBottom w:val="0"/>
                  <w:divBdr>
                    <w:top w:val="none" w:sz="0" w:space="0" w:color="auto"/>
                    <w:left w:val="none" w:sz="0" w:space="0" w:color="auto"/>
                    <w:bottom w:val="none" w:sz="0" w:space="0" w:color="auto"/>
                    <w:right w:val="none" w:sz="0" w:space="0" w:color="auto"/>
                  </w:divBdr>
                </w:div>
                <w:div w:id="1353606364">
                  <w:marLeft w:val="0"/>
                  <w:marRight w:val="0"/>
                  <w:marTop w:val="0"/>
                  <w:marBottom w:val="0"/>
                  <w:divBdr>
                    <w:top w:val="none" w:sz="0" w:space="0" w:color="auto"/>
                    <w:left w:val="none" w:sz="0" w:space="0" w:color="auto"/>
                    <w:bottom w:val="none" w:sz="0" w:space="0" w:color="auto"/>
                    <w:right w:val="none" w:sz="0" w:space="0" w:color="auto"/>
                  </w:divBdr>
                </w:div>
                <w:div w:id="2051296054">
                  <w:marLeft w:val="0"/>
                  <w:marRight w:val="0"/>
                  <w:marTop w:val="0"/>
                  <w:marBottom w:val="0"/>
                  <w:divBdr>
                    <w:top w:val="none" w:sz="0" w:space="0" w:color="auto"/>
                    <w:left w:val="none" w:sz="0" w:space="0" w:color="auto"/>
                    <w:bottom w:val="none" w:sz="0" w:space="0" w:color="auto"/>
                    <w:right w:val="none" w:sz="0" w:space="0" w:color="auto"/>
                  </w:divBdr>
                </w:div>
                <w:div w:id="82528732">
                  <w:marLeft w:val="0"/>
                  <w:marRight w:val="0"/>
                  <w:marTop w:val="0"/>
                  <w:marBottom w:val="0"/>
                  <w:divBdr>
                    <w:top w:val="none" w:sz="0" w:space="0" w:color="auto"/>
                    <w:left w:val="none" w:sz="0" w:space="0" w:color="auto"/>
                    <w:bottom w:val="none" w:sz="0" w:space="0" w:color="auto"/>
                    <w:right w:val="none" w:sz="0" w:space="0" w:color="auto"/>
                  </w:divBdr>
                </w:div>
              </w:divsChild>
            </w:div>
            <w:div w:id="96110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18"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6"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9"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1"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4"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2"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7"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0"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5"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3"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8" Type="http://schemas.openxmlformats.org/officeDocument/2006/relationships/image" Target="NULL"/><Relationship Id="rId7"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71" Type="http://schemas.openxmlformats.org/officeDocument/2006/relationships/image" Target="NULL"/><Relationship Id="rId2" Type="http://schemas.openxmlformats.org/officeDocument/2006/relationships/settings" Target="settings.xml"/><Relationship Id="rId16"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9"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11"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4"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2"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7"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0"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5"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3"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8"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6" Type="http://schemas.openxmlformats.org/officeDocument/2006/relationships/image" Target="NULL"/><Relationship Id="rId7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3"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8"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6"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9"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7"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1"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10"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19"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1"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4"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2"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0"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5"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14"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2"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7"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0"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5"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3"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8"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6"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4"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9" Type="http://schemas.openxmlformats.org/officeDocument/2006/relationships/image" Target="NULL"/><Relationship Id="rId8"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1"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72" Type="http://schemas.openxmlformats.org/officeDocument/2006/relationships/image" Target="NULL"/><Relationship Id="rId3" Type="http://schemas.openxmlformats.org/officeDocument/2006/relationships/webSettings" Target="webSettings.xml"/><Relationship Id="rId12"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17"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25"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3"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38"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6"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9"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7" Type="http://schemas.openxmlformats.org/officeDocument/2006/relationships/image" Target="NULL"/><Relationship Id="rId20"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41"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54"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62"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 Id="rId70" Type="http://schemas.openxmlformats.org/officeDocument/2006/relationships/image" Target="NULL"/><Relationship Id="rId1" Type="http://schemas.openxmlformats.org/officeDocument/2006/relationships/styles" Target="styles.xml"/><Relationship Id="rId6" Type="http://schemas.openxmlformats.org/officeDocument/2006/relationships/hyperlink" Target="http://www.mlr.gov.cn/BuJianGuanSys/Module/NewGYGG/GyjhEdit.aspx?action=edit&amp;extend=XZQ_DM|231100&amp;enumControl=XZQ_DM|231100|231100&amp;wmguid=6b5a120b-865f-4c82-9d53-c92580eda910&amp;recorderguid=dbed6738-c1f8-41f7-9bd9-600149fe1353&amp;ActionCode=edit&amp;n=62890947&amp;r=tru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72</Pages>
  <Words>7553</Words>
  <Characters>43057</Characters>
  <Application>Microsoft Office Word</Application>
  <DocSecurity>0</DocSecurity>
  <Lines>358</Lines>
  <Paragraphs>101</Paragraphs>
  <ScaleCrop>false</ScaleCrop>
  <Company>HY</Company>
  <LinksUpToDate>false</LinksUpToDate>
  <CharactersWithSpaces>50509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Azrael</dc:creator>
  <cp:keywords/>
  <dc:description/>
  <cp:lastModifiedBy>Azrael</cp:lastModifiedBy>
  <cp:revision>3</cp:revision>
  <dcterms:created xsi:type="dcterms:W3CDTF">2012-09-03T07:15:00Z</dcterms:created>
  <dcterms:modified xsi:type="dcterms:W3CDTF">2012-09-03T07:21:00Z</dcterms:modified>
</cp:coreProperties>
</file>